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360" w:lineRule="auto"/>
        <w:jc w:val="center"/>
        <w:rPr>
          <w:rFonts w:ascii="宋体" w:hAnsi="宋体" w:eastAsia="宋体"/>
          <w:color w:val="000000" w:themeColor="text1"/>
          <w:sz w:val="28"/>
          <w14:textFill>
            <w14:solidFill>
              <w14:schemeClr w14:val="tx1"/>
            </w14:solidFill>
          </w14:textFill>
        </w:rPr>
      </w:pPr>
    </w:p>
    <w:p>
      <w:pPr>
        <w:tabs>
          <w:tab w:val="left" w:pos="7560"/>
        </w:tabs>
        <w:spacing w:line="360" w:lineRule="auto"/>
        <w:jc w:val="center"/>
        <w:rPr>
          <w:rFonts w:ascii="宋体" w:hAnsi="宋体" w:eastAsia="宋体"/>
          <w:color w:val="000000" w:themeColor="text1"/>
          <w:sz w:val="28"/>
          <w14:textFill>
            <w14:solidFill>
              <w14:schemeClr w14:val="tx1"/>
            </w14:solidFill>
          </w14:textFill>
        </w:rPr>
      </w:pPr>
    </w:p>
    <w:p>
      <w:pPr>
        <w:tabs>
          <w:tab w:val="left" w:pos="7560"/>
        </w:tabs>
        <w:spacing w:line="360" w:lineRule="auto"/>
        <w:ind w:firstLine="560" w:firstLineChars="200"/>
        <w:jc w:val="center"/>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t>宁国水务有限公司</w:t>
      </w:r>
    </w:p>
    <w:p>
      <w:pPr>
        <w:tabs>
          <w:tab w:val="left" w:pos="7560"/>
        </w:tabs>
        <w:spacing w:line="360" w:lineRule="auto"/>
        <w:ind w:firstLine="560" w:firstLineChars="200"/>
        <w:rPr>
          <w:rFonts w:ascii="宋体" w:hAnsi="宋体" w:eastAsia="宋体"/>
          <w:color w:val="000000" w:themeColor="text1"/>
          <w:sz w:val="28"/>
          <w14:textFill>
            <w14:solidFill>
              <w14:schemeClr w14:val="tx1"/>
            </w14:solidFill>
          </w14:textFill>
        </w:rPr>
      </w:pPr>
    </w:p>
    <w:p>
      <w:pPr>
        <w:tabs>
          <w:tab w:val="left" w:pos="7560"/>
        </w:tabs>
        <w:spacing w:line="360" w:lineRule="auto"/>
        <w:ind w:firstLine="560" w:firstLineChars="200"/>
        <w:rPr>
          <w:rFonts w:ascii="宋体" w:hAnsi="宋体" w:eastAsia="宋体"/>
          <w:color w:val="000000" w:themeColor="text1"/>
          <w:sz w:val="28"/>
          <w14:textFill>
            <w14:solidFill>
              <w14:schemeClr w14:val="tx1"/>
            </w14:solidFill>
          </w14:textFill>
        </w:rPr>
      </w:pPr>
    </w:p>
    <w:p>
      <w:pPr>
        <w:tabs>
          <w:tab w:val="left" w:pos="7560"/>
        </w:tabs>
        <w:spacing w:line="360" w:lineRule="auto"/>
        <w:jc w:val="center"/>
        <w:rPr>
          <w:rFonts w:ascii="宋体" w:hAnsi="宋体" w:eastAsia="宋体"/>
          <w:b/>
          <w:bCs/>
          <w:color w:val="000000" w:themeColor="text1"/>
          <w:sz w:val="44"/>
          <w14:textFill>
            <w14:solidFill>
              <w14:schemeClr w14:val="tx1"/>
            </w14:solidFill>
          </w14:textFill>
        </w:rPr>
      </w:pPr>
      <w:r>
        <w:rPr>
          <w:rFonts w:hint="eastAsia" w:ascii="宋体" w:hAnsi="宋体" w:eastAsia="宋体"/>
          <w:b/>
          <w:bCs/>
          <w:color w:val="000000" w:themeColor="text1"/>
          <w:sz w:val="44"/>
          <w14:textFill>
            <w14:solidFill>
              <w14:schemeClr w14:val="tx1"/>
            </w14:solidFill>
          </w14:textFill>
        </w:rPr>
        <w:t>招标文件</w:t>
      </w:r>
    </w:p>
    <w:p>
      <w:pPr>
        <w:tabs>
          <w:tab w:val="left" w:pos="7560"/>
        </w:tabs>
        <w:spacing w:line="360" w:lineRule="auto"/>
        <w:ind w:firstLine="560" w:firstLineChars="200"/>
        <w:rPr>
          <w:rFonts w:ascii="宋体" w:hAnsi="宋体" w:eastAsia="宋体"/>
          <w:color w:val="000000" w:themeColor="text1"/>
          <w:sz w:val="28"/>
          <w14:textFill>
            <w14:solidFill>
              <w14:schemeClr w14:val="tx1"/>
            </w14:solidFill>
          </w14:textFill>
        </w:rPr>
      </w:pPr>
    </w:p>
    <w:p>
      <w:pPr>
        <w:tabs>
          <w:tab w:val="left" w:pos="7560"/>
        </w:tabs>
        <w:spacing w:line="360" w:lineRule="auto"/>
        <w:rPr>
          <w:rFonts w:ascii="宋体" w:hAnsi="宋体" w:eastAsia="宋体"/>
          <w:color w:val="000000" w:themeColor="text1"/>
          <w:sz w:val="28"/>
          <w14:textFill>
            <w14:solidFill>
              <w14:schemeClr w14:val="tx1"/>
            </w14:solidFill>
          </w14:textFill>
        </w:rPr>
      </w:pPr>
    </w:p>
    <w:p>
      <w:pPr>
        <w:tabs>
          <w:tab w:val="left" w:pos="7560"/>
        </w:tabs>
        <w:spacing w:line="360" w:lineRule="auto"/>
        <w:rPr>
          <w:rFonts w:ascii="宋体" w:hAnsi="宋体" w:eastAsia="宋体"/>
          <w:color w:val="000000" w:themeColor="text1"/>
          <w:sz w:val="28"/>
          <w14:textFill>
            <w14:solidFill>
              <w14:schemeClr w14:val="tx1"/>
            </w14:solidFill>
          </w14:textFill>
        </w:rPr>
      </w:pPr>
    </w:p>
    <w:p>
      <w:pPr>
        <w:tabs>
          <w:tab w:val="left" w:pos="7560"/>
        </w:tabs>
        <w:spacing w:line="360" w:lineRule="auto"/>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t>项目名称：宁国水务有限公司2024年供水管网探漏服务</w:t>
      </w:r>
    </w:p>
    <w:p>
      <w:pPr>
        <w:tabs>
          <w:tab w:val="left" w:pos="7560"/>
        </w:tabs>
        <w:spacing w:line="360" w:lineRule="auto"/>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t>项目编号：FW11724008</w:t>
      </w:r>
    </w:p>
    <w:p>
      <w:pPr>
        <w:tabs>
          <w:tab w:val="left" w:pos="7560"/>
        </w:tabs>
        <w:spacing w:line="360" w:lineRule="auto"/>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t>招标人：宁国水务有限公司</w:t>
      </w:r>
    </w:p>
    <w:p>
      <w:pPr>
        <w:tabs>
          <w:tab w:val="left" w:pos="7560"/>
        </w:tabs>
        <w:spacing w:line="360" w:lineRule="auto"/>
        <w:ind w:firstLine="560" w:firstLineChars="200"/>
        <w:rPr>
          <w:rFonts w:ascii="宋体" w:hAnsi="宋体" w:eastAsia="宋体"/>
          <w:color w:val="000000" w:themeColor="text1"/>
          <w:sz w:val="28"/>
          <w14:textFill>
            <w14:solidFill>
              <w14:schemeClr w14:val="tx1"/>
            </w14:solidFill>
          </w14:textFill>
        </w:rPr>
      </w:pPr>
    </w:p>
    <w:p>
      <w:pPr>
        <w:tabs>
          <w:tab w:val="left" w:pos="7560"/>
        </w:tabs>
        <w:spacing w:line="360" w:lineRule="auto"/>
        <w:ind w:firstLine="560" w:firstLineChars="200"/>
        <w:rPr>
          <w:rFonts w:ascii="宋体" w:hAnsi="宋体" w:eastAsia="宋体"/>
          <w:color w:val="000000" w:themeColor="text1"/>
          <w:sz w:val="28"/>
          <w14:textFill>
            <w14:solidFill>
              <w14:schemeClr w14:val="tx1"/>
            </w14:solidFill>
          </w14:textFill>
        </w:rPr>
      </w:pPr>
    </w:p>
    <w:p>
      <w:pPr>
        <w:tabs>
          <w:tab w:val="left" w:pos="7560"/>
        </w:tabs>
        <w:spacing w:line="360" w:lineRule="auto"/>
        <w:ind w:firstLine="720" w:firstLineChars="200"/>
        <w:jc w:val="center"/>
        <w:rPr>
          <w:rFonts w:ascii="宋体" w:hAnsi="宋体" w:eastAsia="宋体"/>
          <w:color w:val="000000" w:themeColor="text1"/>
          <w:sz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p>
    <w:p>
      <w:pPr>
        <w:tabs>
          <w:tab w:val="left" w:pos="7560"/>
        </w:tabs>
        <w:spacing w:line="360" w:lineRule="auto"/>
        <w:jc w:val="center"/>
        <w:rPr>
          <w:rFonts w:ascii="宋体" w:hAnsi="宋体" w:eastAsia="宋体"/>
          <w:b/>
          <w:color w:val="000000" w:themeColor="text1"/>
          <w:sz w:val="36"/>
          <w:szCs w:val="36"/>
          <w14:textFill>
            <w14:solidFill>
              <w14:schemeClr w14:val="tx1"/>
            </w14:solidFill>
          </w14:textFill>
        </w:rPr>
      </w:pPr>
      <w:r>
        <w:rPr>
          <w:rFonts w:hint="eastAsia" w:ascii="宋体" w:hAnsi="宋体" w:eastAsia="宋体"/>
          <w:b/>
          <w:color w:val="000000" w:themeColor="text1"/>
          <w:sz w:val="36"/>
          <w:szCs w:val="36"/>
          <w14:textFill>
            <w14:solidFill>
              <w14:schemeClr w14:val="tx1"/>
            </w14:solidFill>
          </w14:textFill>
        </w:rPr>
        <w:t>目  录</w:t>
      </w:r>
    </w:p>
    <w:p>
      <w:pPr>
        <w:tabs>
          <w:tab w:val="left" w:pos="7560"/>
        </w:tabs>
        <w:spacing w:line="360" w:lineRule="auto"/>
        <w:ind w:firstLine="307" w:firstLineChars="128"/>
        <w:rPr>
          <w:rFonts w:ascii="宋体" w:hAnsi="宋体" w:eastAsia="宋体"/>
          <w:color w:val="000000" w:themeColor="text1"/>
          <w:sz w:val="24"/>
          <w14:textFill>
            <w14:solidFill>
              <w14:schemeClr w14:val="tx1"/>
            </w14:solidFill>
          </w14:textFill>
        </w:rPr>
      </w:pPr>
    </w:p>
    <w:p>
      <w:pPr>
        <w:tabs>
          <w:tab w:val="left" w:pos="7560"/>
        </w:tabs>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第一章 招标公告</w:t>
      </w:r>
    </w:p>
    <w:p>
      <w:pPr>
        <w:tabs>
          <w:tab w:val="left" w:pos="7560"/>
        </w:tabs>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第二章 投标须知</w:t>
      </w:r>
    </w:p>
    <w:p>
      <w:pPr>
        <w:tabs>
          <w:tab w:val="left" w:pos="7560"/>
        </w:tabs>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第三章 项目评分表</w:t>
      </w:r>
    </w:p>
    <w:p>
      <w:pPr>
        <w:tabs>
          <w:tab w:val="left" w:pos="7560"/>
        </w:tabs>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第四章 合同主要条款</w:t>
      </w:r>
    </w:p>
    <w:p>
      <w:pPr>
        <w:tabs>
          <w:tab w:val="left" w:pos="7560"/>
        </w:tabs>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第五章 服务清单</w:t>
      </w:r>
    </w:p>
    <w:p>
      <w:pPr>
        <w:tabs>
          <w:tab w:val="left" w:pos="7560"/>
        </w:tabs>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第六章 招标项目要求</w:t>
      </w:r>
    </w:p>
    <w:p>
      <w:pPr>
        <w:tabs>
          <w:tab w:val="left" w:pos="7560"/>
        </w:tabs>
        <w:spacing w:line="360" w:lineRule="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第七章 投标文件格式</w:t>
      </w:r>
    </w:p>
    <w:p>
      <w:pPr>
        <w:spacing w:line="360" w:lineRule="auto"/>
        <w:rPr>
          <w:color w:val="000000" w:themeColor="text1"/>
          <w14:textFill>
            <w14:solidFill>
              <w14:schemeClr w14:val="tx1"/>
            </w14:solidFill>
          </w14:textFill>
        </w:rPr>
      </w:pPr>
    </w:p>
    <w:p>
      <w:pPr>
        <w:spacing w:line="360" w:lineRule="auto"/>
        <w:jc w:val="center"/>
        <w:outlineLvl w:val="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r>
        <w:rPr>
          <w:rFonts w:hint="eastAsia" w:ascii="宋体" w:hAnsi="宋体" w:eastAsia="宋体" w:cs="宋体"/>
          <w:b/>
          <w:color w:val="000000" w:themeColor="text1"/>
          <w:sz w:val="28"/>
          <w:szCs w:val="28"/>
          <w14:textFill>
            <w14:solidFill>
              <w14:schemeClr w14:val="tx1"/>
            </w14:solidFill>
          </w14:textFill>
        </w:rPr>
        <w:t>第一章  招标公告</w:t>
      </w:r>
    </w:p>
    <w:p>
      <w:pPr>
        <w:tabs>
          <w:tab w:val="left" w:pos="7560"/>
        </w:tabs>
        <w:spacing w:line="360" w:lineRule="auto"/>
        <w:rPr>
          <w:rFonts w:ascii="宋体" w:hAnsi="宋体" w:eastAsia="宋体" w:cs="宋体"/>
          <w:color w:val="000000" w:themeColor="text1"/>
          <w:sz w:val="24"/>
          <w14:textFill>
            <w14:solidFill>
              <w14:schemeClr w14:val="tx1"/>
            </w14:solidFill>
          </w14:textFill>
        </w:rPr>
      </w:pP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宁国水务有限公司就</w:t>
      </w:r>
      <w:r>
        <w:rPr>
          <w:rFonts w:hint="eastAsia" w:ascii="宋体" w:hAnsi="宋体" w:eastAsia="宋体" w:cs="宋体"/>
          <w:color w:val="000000" w:themeColor="text1"/>
          <w:sz w:val="24"/>
          <w:u w:val="single"/>
          <w14:textFill>
            <w14:solidFill>
              <w14:schemeClr w14:val="tx1"/>
            </w14:solidFill>
          </w14:textFill>
        </w:rPr>
        <w:t>宁国水务有限公司2024年度供水管网探漏服务</w:t>
      </w:r>
      <w:r>
        <w:rPr>
          <w:rFonts w:hint="eastAsia" w:ascii="宋体" w:hAnsi="宋体" w:eastAsia="宋体" w:cs="宋体"/>
          <w:color w:val="000000" w:themeColor="text1"/>
          <w:sz w:val="24"/>
          <w14:textFill>
            <w14:solidFill>
              <w14:schemeClr w14:val="tx1"/>
            </w14:solidFill>
          </w14:textFill>
        </w:rPr>
        <w:t>项目进行公开招标，欢迎符合资质要求并能提供相关服务的公司参加投标。</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宁国水务有限公司2024年供水管网探漏服务</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项目编号：</w:t>
      </w:r>
      <w:r>
        <w:rPr>
          <w:rFonts w:hint="eastAsia" w:ascii="宋体" w:hAnsi="宋体" w:eastAsia="宋体" w:cs="宋体"/>
          <w:color w:val="000000" w:themeColor="text1"/>
          <w:sz w:val="24"/>
          <w14:textFill>
            <w14:solidFill>
              <w14:schemeClr w14:val="tx1"/>
            </w14:solidFill>
          </w14:textFill>
        </w:rPr>
        <w:t>FW11724008</w:t>
      </w:r>
    </w:p>
    <w:p>
      <w:pPr>
        <w:pStyle w:val="3"/>
        <w:spacing w:before="0" w:after="0" w:line="360" w:lineRule="auto"/>
      </w:pPr>
      <w:r>
        <w:rPr>
          <w:rFonts w:hint="eastAsia" w:ascii="宋体" w:hAnsi="宋体" w:eastAsia="宋体" w:cs="宋体"/>
          <w:color w:val="000000" w:themeColor="text1"/>
          <w:sz w:val="24"/>
          <w14:textFill>
            <w14:solidFill>
              <w14:schemeClr w14:val="tx1"/>
            </w14:solidFill>
          </w14:textFill>
        </w:rPr>
        <w:t>项目总预算：98万元</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项目内容：</w:t>
      </w:r>
      <w:r>
        <w:rPr>
          <w:rFonts w:hint="eastAsia" w:ascii="宋体" w:hAnsi="宋体" w:eastAsia="宋体" w:cs="宋体"/>
          <w:color w:val="000000" w:themeColor="text1"/>
          <w:sz w:val="24"/>
          <w14:textFill>
            <w14:solidFill>
              <w14:schemeClr w14:val="tx1"/>
            </w14:solidFill>
          </w14:textFill>
        </w:rPr>
        <w:t>宁国水务有限公司2024年供水管网探漏服务项目1项（详见招标文件）</w:t>
      </w:r>
    </w:p>
    <w:p>
      <w:pPr>
        <w:pStyle w:val="3"/>
        <w:spacing w:before="0" w:after="0" w:line="360" w:lineRule="auto"/>
        <w:rPr>
          <w:rFonts w:eastAsia="宋体"/>
          <w:b w:val="0"/>
          <w:bCs w:val="0"/>
        </w:rPr>
      </w:pPr>
      <w:r>
        <w:rPr>
          <w:rFonts w:hint="eastAsia" w:ascii="宋体" w:hAnsi="宋体" w:eastAsia="宋体" w:cs="宋体"/>
          <w:color w:val="000000" w:themeColor="text1"/>
          <w:sz w:val="24"/>
          <w14:textFill>
            <w14:solidFill>
              <w14:schemeClr w14:val="tx1"/>
            </w14:solidFill>
          </w14:textFill>
        </w:rPr>
        <w:t>项目预估：</w:t>
      </w:r>
      <w:r>
        <w:rPr>
          <w:rFonts w:hint="eastAsia" w:ascii="宋体" w:hAnsi="宋体" w:eastAsia="宋体" w:cs="宋体"/>
          <w:b w:val="0"/>
          <w:bCs w:val="0"/>
          <w:color w:val="000000" w:themeColor="text1"/>
          <w:sz w:val="24"/>
          <w14:textFill>
            <w14:solidFill>
              <w14:schemeClr w14:val="tx1"/>
            </w14:solidFill>
          </w14:textFill>
        </w:rPr>
        <w:t>预计项目数量933m³/h（该数量为投标预估数量包含定点，不为最终发生数量）</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投标报价的上限：</w:t>
      </w:r>
      <w:r>
        <w:rPr>
          <w:rFonts w:hint="cs" w:ascii="宋体" w:hAnsi="宋体" w:eastAsia="宋体" w:cs="宋体"/>
          <w:color w:val="000000" w:themeColor="text1"/>
          <w:sz w:val="24"/>
          <w14:textFill>
            <w14:solidFill>
              <w14:schemeClr w14:val="tx1"/>
            </w14:solidFill>
          </w14:textFill>
        </w:rPr>
        <w:t>¥</w:t>
      </w:r>
      <w:r>
        <w:rPr>
          <w:rFonts w:ascii="宋体" w:hAnsi="宋体" w:eastAsia="宋体" w:cs="宋体"/>
          <w:color w:val="000000" w:themeColor="text1"/>
          <w:sz w:val="24"/>
          <w14:textFill>
            <w14:solidFill>
              <w14:schemeClr w14:val="tx1"/>
            </w14:solidFill>
          </w14:textFill>
        </w:rPr>
        <w:t>0.12</w:t>
      </w:r>
      <w:r>
        <w:rPr>
          <w:rFonts w:hint="eastAsia" w:ascii="宋体" w:hAnsi="宋体" w:eastAsia="宋体" w:cs="宋体"/>
          <w:color w:val="000000" w:themeColor="text1"/>
          <w:sz w:val="24"/>
          <w14:textFill>
            <w14:solidFill>
              <w14:schemeClr w14:val="tx1"/>
            </w14:solidFill>
          </w14:textFill>
        </w:rPr>
        <w:t>元</w:t>
      </w:r>
      <w:r>
        <w:rPr>
          <w:rFonts w:ascii="宋体" w:hAnsi="宋体" w:eastAsia="宋体" w:cs="宋体"/>
          <w:color w:val="000000" w:themeColor="text1"/>
          <w:sz w:val="24"/>
          <w14:textFill>
            <w14:solidFill>
              <w14:schemeClr w14:val="tx1"/>
            </w14:solidFill>
          </w14:textFill>
        </w:rPr>
        <w:t>/m³·</w:t>
      </w:r>
      <w:r>
        <w:rPr>
          <w:rFonts w:hint="eastAsia" w:ascii="宋体" w:hAnsi="宋体" w:eastAsia="宋体" w:cs="宋体"/>
          <w:color w:val="000000" w:themeColor="text1"/>
          <w:sz w:val="24"/>
          <w14:textFill>
            <w14:solidFill>
              <w14:schemeClr w14:val="tx1"/>
            </w14:solidFill>
          </w14:textFill>
        </w:rPr>
        <w:t>年（人民币壹角贰分年每立方米），投标人投标报价不得超出上限，否则作无效标处理。</w:t>
      </w:r>
    </w:p>
    <w:p>
      <w:pPr>
        <w:tabs>
          <w:tab w:val="left" w:pos="7560"/>
        </w:tabs>
        <w:spacing w:line="360" w:lineRule="auto"/>
        <w:rPr>
          <w:rFonts w:ascii="宋体" w:hAnsi="宋体" w:eastAsia="宋体" w:cs="宋体"/>
          <w:color w:val="000000" w:themeColor="text1"/>
          <w:sz w:val="24"/>
          <w14:textFill>
            <w14:solidFill>
              <w14:schemeClr w14:val="tx1"/>
            </w14:solidFill>
          </w14:textFill>
        </w:rPr>
      </w:pPr>
    </w:p>
    <w:p>
      <w:pPr>
        <w:tabs>
          <w:tab w:val="left" w:pos="7560"/>
        </w:tabs>
        <w:spacing w:line="360" w:lineRule="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投标人资质要求：</w:t>
      </w:r>
    </w:p>
    <w:p>
      <w:pPr>
        <w:tabs>
          <w:tab w:val="left" w:pos="0"/>
        </w:tabs>
        <w:spacing w:line="360" w:lineRule="auto"/>
        <w:rPr>
          <w:rFonts w:ascii="宋体" w:hAnsi="宋体" w:eastAsia="宋体" w:cs="宋体"/>
          <w:sz w:val="24"/>
        </w:rPr>
      </w:pPr>
      <w:r>
        <w:rPr>
          <w:rFonts w:hint="eastAsia" w:ascii="宋体" w:hAnsi="宋体" w:eastAsia="宋体" w:cs="宋体"/>
          <w:sz w:val="24"/>
        </w:rPr>
        <w:t>1.投标人必须是在中华人民共和国境内注册的独立法人。</w:t>
      </w:r>
    </w:p>
    <w:p>
      <w:pPr>
        <w:tabs>
          <w:tab w:val="left" w:pos="0"/>
        </w:tabs>
        <w:spacing w:line="360" w:lineRule="auto"/>
        <w:rPr>
          <w:rFonts w:ascii="宋体" w:hAnsi="宋体" w:eastAsia="宋体" w:cs="宋体"/>
          <w:sz w:val="24"/>
        </w:rPr>
      </w:pPr>
      <w:r>
        <w:rPr>
          <w:rFonts w:hint="eastAsia" w:ascii="宋体" w:hAnsi="宋体" w:eastAsia="宋体" w:cs="宋体"/>
          <w:sz w:val="24"/>
        </w:rPr>
        <w:t>2.投标人须具有国家测绘地理信息局颁发的丙级及以上测绘资质。</w:t>
      </w:r>
    </w:p>
    <w:p>
      <w:pPr>
        <w:tabs>
          <w:tab w:val="left" w:pos="0"/>
        </w:tabs>
        <w:spacing w:line="360" w:lineRule="auto"/>
        <w:rPr>
          <w:rFonts w:ascii="宋体" w:hAnsi="宋体" w:eastAsia="宋体" w:cs="宋体"/>
          <w:sz w:val="24"/>
        </w:rPr>
      </w:pPr>
      <w:r>
        <w:rPr>
          <w:rFonts w:hint="eastAsia" w:ascii="宋体" w:hAnsi="宋体" w:eastAsia="宋体" w:cs="宋体"/>
          <w:sz w:val="24"/>
        </w:rPr>
        <w:t>3.投标人拟派担任本项目的项目负责人须具备中级工程师及以上职称的相关专业人员。</w:t>
      </w:r>
    </w:p>
    <w:p>
      <w:pPr>
        <w:tabs>
          <w:tab w:val="left" w:pos="0"/>
        </w:tabs>
        <w:spacing w:line="360" w:lineRule="auto"/>
        <w:rPr>
          <w:rFonts w:ascii="宋体" w:hAnsi="宋体" w:eastAsia="宋体" w:cs="宋体"/>
          <w:sz w:val="24"/>
        </w:rPr>
      </w:pPr>
      <w:r>
        <w:rPr>
          <w:rFonts w:hint="eastAsia" w:ascii="宋体" w:hAnsi="宋体" w:eastAsia="宋体" w:cs="宋体"/>
          <w:sz w:val="24"/>
        </w:rPr>
        <w:t>4.投标人信誉良好，近三年内没有骗取中标和严重违约等行为。</w:t>
      </w:r>
    </w:p>
    <w:p>
      <w:pPr>
        <w:tabs>
          <w:tab w:val="left" w:pos="0"/>
        </w:tabs>
        <w:spacing w:line="360" w:lineRule="auto"/>
        <w:rPr>
          <w:rFonts w:ascii="宋体" w:hAnsi="宋体" w:eastAsia="宋体" w:cs="宋体"/>
          <w:sz w:val="24"/>
        </w:rPr>
      </w:pPr>
      <w:r>
        <w:rPr>
          <w:rFonts w:hint="eastAsia" w:ascii="宋体" w:hAnsi="宋体" w:eastAsia="宋体" w:cs="宋体"/>
          <w:sz w:val="24"/>
        </w:rPr>
        <w:t>5.本项目不接受联合体投标，不允许转包、分包。</w:t>
      </w:r>
    </w:p>
    <w:p>
      <w:pPr>
        <w:tabs>
          <w:tab w:val="left" w:pos="7560"/>
        </w:tabs>
        <w:spacing w:line="360" w:lineRule="auto"/>
        <w:rPr>
          <w:rFonts w:ascii="宋体" w:hAnsi="宋体" w:eastAsia="宋体" w:cs="宋体"/>
          <w:color w:val="000000" w:themeColor="text1"/>
          <w:sz w:val="24"/>
          <w14:textFill>
            <w14:solidFill>
              <w14:schemeClr w14:val="tx1"/>
            </w14:solidFill>
          </w14:textFill>
        </w:rPr>
      </w:pP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招标文件获取时间：</w:t>
      </w:r>
      <w:r>
        <w:rPr>
          <w:rFonts w:hint="eastAsia" w:ascii="宋体" w:hAnsi="宋体" w:eastAsia="宋体" w:cs="宋体"/>
          <w:color w:val="000000" w:themeColor="text1"/>
          <w:sz w:val="24"/>
          <w14:textFill>
            <w14:solidFill>
              <w14:schemeClr w14:val="tx1"/>
            </w14:solidFill>
          </w14:textFill>
        </w:rPr>
        <w:t>合格供应商可从</w:t>
      </w:r>
      <w:r>
        <w:rPr>
          <w:rFonts w:hint="eastAsia" w:ascii="宋体" w:hAnsi="宋体" w:eastAsia="宋体" w:cs="宋体"/>
          <w:color w:val="000000" w:themeColor="text1"/>
          <w:sz w:val="24"/>
          <w:u w:val="single"/>
          <w14:textFill>
            <w14:solidFill>
              <w14:schemeClr w14:val="tx1"/>
            </w14:solidFill>
          </w14:textFill>
        </w:rPr>
        <w:t>深圳环水集团招标采购数字管理平台（</w:t>
      </w:r>
      <w:r>
        <w:fldChar w:fldCharType="begin"/>
      </w:r>
      <w:r>
        <w:instrText xml:space="preserve"> HYPERLINK "https://cg.sz-water.com.cn:8000/swjt/j_form" </w:instrText>
      </w:r>
      <w:r>
        <w:fldChar w:fldCharType="separate"/>
      </w:r>
      <w:r>
        <w:rPr>
          <w:rStyle w:val="49"/>
          <w:rFonts w:hint="eastAsia" w:ascii="宋体" w:hAnsi="宋体" w:eastAsia="宋体" w:cs="宋体"/>
          <w:color w:val="000000" w:themeColor="text1"/>
          <w:sz w:val="24"/>
          <w14:textFill>
            <w14:solidFill>
              <w14:schemeClr w14:val="tx1"/>
            </w14:solidFill>
          </w14:textFill>
        </w:rPr>
        <w:t>https://cg.sz-water.com.cn</w:t>
      </w:r>
      <w:r>
        <w:rPr>
          <w:rStyle w:val="4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u w:val="singl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规定时间内报名下载招标文件。潜在投标人获取招标文件截止日后，不得更改潜在投标人名称。</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招标文件获取地点：</w:t>
      </w:r>
      <w:r>
        <w:fldChar w:fldCharType="begin"/>
      </w:r>
      <w:r>
        <w:instrText xml:space="preserve"> HYPERLINK "https://cg.sz-water.com.cn:8000/swjt/j_form" </w:instrText>
      </w:r>
      <w:r>
        <w:fldChar w:fldCharType="separate"/>
      </w:r>
      <w:r>
        <w:rPr>
          <w:rStyle w:val="49"/>
          <w:rFonts w:hint="eastAsia" w:ascii="宋体" w:hAnsi="宋体" w:eastAsia="宋体" w:cs="宋体"/>
          <w:color w:val="000000" w:themeColor="text1"/>
          <w:sz w:val="24"/>
          <w14:textFill>
            <w14:solidFill>
              <w14:schemeClr w14:val="tx1"/>
            </w14:solidFill>
          </w14:textFill>
        </w:rPr>
        <w:t>https://cg.sz-water.com.cn</w:t>
      </w:r>
      <w:r>
        <w:rPr>
          <w:rStyle w:val="4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深圳环水集团招标采购数字管理平台下载招标文件</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答疑截止时间：</w:t>
      </w:r>
      <w:r>
        <w:rPr>
          <w:rFonts w:hint="eastAsia" w:ascii="宋体" w:hAnsi="宋体" w:eastAsia="宋体" w:cs="宋体"/>
          <w:color w:val="000000" w:themeColor="text1"/>
          <w:sz w:val="24"/>
          <w14:textFill>
            <w14:solidFill>
              <w14:schemeClr w14:val="tx1"/>
            </w14:solidFill>
          </w14:textFill>
        </w:rPr>
        <w:t>投标截止时间前3日</w:t>
      </w:r>
    </w:p>
    <w:p>
      <w:pPr>
        <w:tabs>
          <w:tab w:val="left" w:pos="7560"/>
        </w:tabs>
        <w:spacing w:line="360" w:lineRule="auto"/>
        <w:jc w:val="left"/>
        <w:rPr>
          <w:b/>
          <w:bCs/>
        </w:rPr>
      </w:pPr>
      <w:r>
        <w:rPr>
          <w:rFonts w:hint="eastAsia" w:ascii="宋体" w:hAnsi="宋体" w:eastAsia="宋体" w:cs="宋体"/>
          <w:b/>
          <w:bCs/>
          <w:color w:val="000000" w:themeColor="text1"/>
          <w:sz w:val="24"/>
          <w14:textFill>
            <w14:solidFill>
              <w14:schemeClr w14:val="tx1"/>
            </w14:solidFill>
          </w14:textFill>
        </w:rPr>
        <w:t>投标截止时间：</w:t>
      </w:r>
      <w:r>
        <w:rPr>
          <w:rFonts w:hint="eastAsia" w:ascii="宋体" w:hAnsi="宋体" w:eastAsia="宋体" w:cs="宋体"/>
          <w:color w:val="000000" w:themeColor="text1"/>
          <w:sz w:val="24"/>
          <w14:textFill>
            <w14:solidFill>
              <w14:schemeClr w14:val="tx1"/>
            </w14:solidFill>
          </w14:textFill>
        </w:rPr>
        <w:t>所有投标文件应于</w:t>
      </w:r>
      <w:r>
        <w:rPr>
          <w:rFonts w:hint="eastAsia" w:ascii="宋体" w:hAnsi="宋体" w:eastAsia="宋体" w:cs="宋体"/>
          <w:color w:val="000000" w:themeColor="text1"/>
          <w:sz w:val="24"/>
          <w:u w:val="single"/>
          <w14:textFill>
            <w14:solidFill>
              <w14:schemeClr w14:val="tx1"/>
            </w14:solidFill>
          </w14:textFill>
        </w:rPr>
        <w:t>深圳环水集团招标采购数字管理平台（</w:t>
      </w:r>
      <w:r>
        <w:fldChar w:fldCharType="begin"/>
      </w:r>
      <w:r>
        <w:instrText xml:space="preserve"> HYPERLINK "https://cg.sz-water.com.cn:8000/swjt/j_form" </w:instrText>
      </w:r>
      <w:r>
        <w:fldChar w:fldCharType="separate"/>
      </w:r>
      <w:r>
        <w:rPr>
          <w:rStyle w:val="49"/>
          <w:rFonts w:hint="eastAsia" w:ascii="宋体" w:hAnsi="宋体" w:eastAsia="宋体" w:cs="宋体"/>
          <w:color w:val="000000" w:themeColor="text1"/>
          <w:sz w:val="24"/>
          <w14:textFill>
            <w14:solidFill>
              <w14:schemeClr w14:val="tx1"/>
            </w14:solidFill>
          </w14:textFill>
        </w:rPr>
        <w:t>https://cg.sz-water.com.cn</w:t>
      </w:r>
      <w:r>
        <w:rPr>
          <w:rStyle w:val="4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u w:val="singl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规定时间内，完成递交投标文件，</w:t>
      </w:r>
      <w:r>
        <w:rPr>
          <w:rFonts w:hint="eastAsia" w:ascii="宋体" w:hAnsi="宋体" w:eastAsia="宋体" w:cs="宋体"/>
          <w:b/>
          <w:bCs/>
          <w:color w:val="000000" w:themeColor="text1"/>
          <w:sz w:val="24"/>
          <w14:textFill>
            <w14:solidFill>
              <w14:schemeClr w14:val="tx1"/>
            </w14:solidFill>
          </w14:textFill>
        </w:rPr>
        <w:t>线上递交至（</w:t>
      </w:r>
      <w:r>
        <w:rPr>
          <w:rFonts w:hint="eastAsia" w:ascii="宋体" w:hAnsi="宋体" w:eastAsia="宋体" w:cs="宋体"/>
          <w:b/>
          <w:bCs/>
          <w:color w:val="000000" w:themeColor="text1"/>
          <w:sz w:val="24"/>
          <w:u w:val="single"/>
          <w14:textFill>
            <w14:solidFill>
              <w14:schemeClr w14:val="tx1"/>
            </w14:solidFill>
          </w14:textFill>
        </w:rPr>
        <w:t>深圳环水集团招标采购数字管理平台</w:t>
      </w:r>
      <w:r>
        <w:rPr>
          <w:rFonts w:hint="eastAsia" w:ascii="宋体" w:hAnsi="宋体" w:eastAsia="宋体" w:cs="宋体"/>
          <w:b/>
          <w:bCs/>
          <w:color w:val="000000" w:themeColor="text1"/>
          <w:sz w:val="24"/>
          <w14:textFill>
            <w14:solidFill>
              <w14:schemeClr w14:val="tx1"/>
            </w14:solidFill>
          </w14:textFill>
        </w:rPr>
        <w:t>），线下递交至宁国水务有限公司。本项目要求线上线下同时递交，如出现单一递交情况，视为投标无效。</w:t>
      </w:r>
    </w:p>
    <w:p>
      <w:pPr>
        <w:tabs>
          <w:tab w:val="left" w:pos="7560"/>
        </w:tabs>
        <w:spacing w:line="360" w:lineRule="auto"/>
        <w:rPr>
          <w:rFonts w:ascii="宋体" w:hAnsi="宋体" w:eastAsia="宋体" w:cs="宋体"/>
          <w:b/>
          <w:bCs/>
          <w:color w:val="000000" w:themeColor="text1"/>
          <w:sz w:val="24"/>
          <w14:textFill>
            <w14:solidFill>
              <w14:schemeClr w14:val="tx1"/>
            </w14:solidFill>
          </w14:textFill>
        </w:rPr>
      </w:pP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开标时间：</w:t>
      </w:r>
      <w:r>
        <w:rPr>
          <w:rFonts w:hint="eastAsia" w:ascii="宋体" w:hAnsi="宋体" w:eastAsia="宋体" w:cs="宋体"/>
          <w:color w:val="000000" w:themeColor="text1"/>
          <w:sz w:val="24"/>
          <w:u w:val="single"/>
          <w14:textFill>
            <w14:solidFill>
              <w14:schemeClr w14:val="tx1"/>
            </w14:solidFill>
          </w14:textFill>
        </w:rPr>
        <w:t>深圳环水集团招标采购数字管理平台（</w:t>
      </w:r>
      <w:r>
        <w:fldChar w:fldCharType="begin"/>
      </w:r>
      <w:r>
        <w:instrText xml:space="preserve"> HYPERLINK "https://cg.sz-water.com.cn:8000/swjt/j_form" </w:instrText>
      </w:r>
      <w:r>
        <w:fldChar w:fldCharType="separate"/>
      </w:r>
      <w:r>
        <w:rPr>
          <w:rStyle w:val="49"/>
          <w:rFonts w:hint="eastAsia" w:ascii="宋体" w:hAnsi="宋体" w:eastAsia="宋体" w:cs="宋体"/>
          <w:color w:val="000000" w:themeColor="text1"/>
          <w:sz w:val="24"/>
          <w14:textFill>
            <w14:solidFill>
              <w14:schemeClr w14:val="tx1"/>
            </w14:solidFill>
          </w14:textFill>
        </w:rPr>
        <w:t>https://cg.sz-water.com.cn</w:t>
      </w:r>
      <w:r>
        <w:rPr>
          <w:rStyle w:val="4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u w:val="single"/>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规定时间</w:t>
      </w:r>
    </w:p>
    <w:p>
      <w:pPr>
        <w:pStyle w:val="3"/>
        <w:rPr>
          <w:rFonts w:ascii="宋体" w:hAnsi="宋体" w:eastAsia="宋体" w:cs="宋体"/>
          <w:color w:val="000000" w:themeColor="text1"/>
          <w:sz w:val="24"/>
          <w14:textFill>
            <w14:solidFill>
              <w14:schemeClr w14:val="tx1"/>
            </w14:solidFill>
          </w14:textFill>
        </w:rPr>
      </w:pPr>
    </w:p>
    <w:p>
      <w:pPr>
        <w:pStyle w:val="3"/>
      </w:pPr>
      <w:r>
        <w:rPr>
          <w:rFonts w:hint="eastAsia" w:ascii="宋体" w:hAnsi="宋体" w:eastAsia="宋体" w:cs="宋体"/>
          <w:color w:val="000000" w:themeColor="text1"/>
          <w:sz w:val="24"/>
          <w14:textFill>
            <w14:solidFill>
              <w14:schemeClr w14:val="tx1"/>
            </w14:solidFill>
          </w14:textFill>
        </w:rPr>
        <w:t>投标特殊说明：本项目投标采用线上线下同时递交投标文件，线上为存档，线下评审，如出现单一递交情况，视为投标无效。投标文件如有出入，最终以线下投标文件正本为准。</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开标地址：</w:t>
      </w:r>
      <w:r>
        <w:rPr>
          <w:rFonts w:hint="eastAsia" w:ascii="宋体" w:hAnsi="宋体" w:eastAsia="宋体" w:cs="宋体"/>
          <w:color w:val="000000" w:themeColor="text1"/>
          <w:sz w:val="24"/>
          <w14:textFill>
            <w14:solidFill>
              <w14:schemeClr w14:val="tx1"/>
            </w14:solidFill>
          </w14:textFill>
        </w:rPr>
        <w:t>宁国水务有限公司二楼会议室及</w:t>
      </w:r>
      <w:r>
        <w:rPr>
          <w:rFonts w:hint="eastAsia" w:ascii="宋体" w:hAnsi="宋体" w:eastAsia="宋体" w:cs="宋体"/>
          <w:color w:val="000000" w:themeColor="text1"/>
          <w:sz w:val="24"/>
          <w:u w:val="single"/>
          <w14:textFill>
            <w14:solidFill>
              <w14:schemeClr w14:val="tx1"/>
            </w14:solidFill>
          </w14:textFill>
        </w:rPr>
        <w:t>深圳环水集团招标采购数字管理平台（</w:t>
      </w:r>
      <w:r>
        <w:fldChar w:fldCharType="begin"/>
      </w:r>
      <w:r>
        <w:instrText xml:space="preserve"> HYPERLINK "https://cg.sz-water.com.cn:8000/swjt/j_form" </w:instrText>
      </w:r>
      <w:r>
        <w:fldChar w:fldCharType="separate"/>
      </w:r>
      <w:r>
        <w:rPr>
          <w:rStyle w:val="49"/>
          <w:rFonts w:hint="eastAsia" w:ascii="宋体" w:hAnsi="宋体" w:eastAsia="宋体" w:cs="宋体"/>
          <w:color w:val="000000" w:themeColor="text1"/>
          <w:sz w:val="24"/>
          <w14:textFill>
            <w14:solidFill>
              <w14:schemeClr w14:val="tx1"/>
            </w14:solidFill>
          </w14:textFill>
        </w:rPr>
        <w:t>https://cg.sz-water.com.cn</w:t>
      </w:r>
      <w:r>
        <w:rPr>
          <w:rStyle w:val="49"/>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u w:val="single"/>
          <w14:textFill>
            <w14:solidFill>
              <w14:schemeClr w14:val="tx1"/>
            </w14:solidFill>
          </w14:textFill>
        </w:rPr>
        <w:t>）</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招标人名称：</w:t>
      </w:r>
      <w:r>
        <w:rPr>
          <w:rFonts w:hint="eastAsia" w:ascii="宋体" w:hAnsi="宋体" w:eastAsia="宋体" w:cs="宋体"/>
          <w:color w:val="000000" w:themeColor="text1"/>
          <w:sz w:val="24"/>
          <w14:textFill>
            <w14:solidFill>
              <w14:schemeClr w14:val="tx1"/>
            </w14:solidFill>
          </w14:textFill>
        </w:rPr>
        <w:t>宁国水务有限公司</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招标联系人：</w:t>
      </w:r>
      <w:r>
        <w:rPr>
          <w:rFonts w:hint="eastAsia" w:ascii="宋体" w:hAnsi="宋体" w:eastAsia="宋体" w:cs="宋体"/>
          <w:color w:val="000000" w:themeColor="text1"/>
          <w:sz w:val="24"/>
          <w14:textFill>
            <w14:solidFill>
              <w14:schemeClr w14:val="tx1"/>
            </w14:solidFill>
          </w14:textFill>
        </w:rPr>
        <w:t>余工 18205639394</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招标文件购买咨询联系人：</w:t>
      </w:r>
      <w:r>
        <w:rPr>
          <w:rFonts w:hint="eastAsia" w:ascii="宋体" w:hAnsi="宋体" w:eastAsia="宋体" w:cs="宋体"/>
          <w:color w:val="000000" w:themeColor="text1"/>
          <w:sz w:val="24"/>
          <w14:textFill>
            <w14:solidFill>
              <w14:schemeClr w14:val="tx1"/>
            </w14:solidFill>
          </w14:textFill>
        </w:rPr>
        <w:t>余工 18205639394</w:t>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联系邮箱：</w:t>
      </w:r>
      <w:r>
        <w:fldChar w:fldCharType="begin"/>
      </w:r>
      <w:r>
        <w:instrText xml:space="preserve"> HYPERLINK "mailto:978473775@qq.com" </w:instrText>
      </w:r>
      <w:r>
        <w:fldChar w:fldCharType="separate"/>
      </w:r>
      <w:r>
        <w:rPr>
          <w:rStyle w:val="49"/>
          <w:rFonts w:hint="eastAsia" w:ascii="宋体" w:hAnsi="宋体" w:eastAsia="宋体" w:cs="宋体"/>
          <w:color w:val="000000" w:themeColor="text1"/>
          <w:sz w:val="24"/>
          <w14:textFill>
            <w14:solidFill>
              <w14:schemeClr w14:val="tx1"/>
            </w14:solidFill>
          </w14:textFill>
        </w:rPr>
        <w:t>978473775@qq.com</w:t>
      </w:r>
      <w:r>
        <w:rPr>
          <w:rStyle w:val="49"/>
          <w:rFonts w:hint="eastAsia" w:ascii="宋体" w:hAnsi="宋体" w:eastAsia="宋体" w:cs="宋体"/>
          <w:color w:val="000000" w:themeColor="text1"/>
          <w:sz w:val="24"/>
          <w14:textFill>
            <w14:solidFill>
              <w14:schemeClr w14:val="tx1"/>
            </w14:solidFill>
          </w14:textFill>
        </w:rPr>
        <w:fldChar w:fldCharType="end"/>
      </w:r>
    </w:p>
    <w:p>
      <w:pPr>
        <w:tabs>
          <w:tab w:val="left" w:pos="756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项目联系人：</w:t>
      </w:r>
      <w:r>
        <w:rPr>
          <w:rFonts w:hint="eastAsia" w:ascii="宋体" w:hAnsi="宋体" w:eastAsia="宋体" w:cs="宋体"/>
          <w:color w:val="000000" w:themeColor="text1"/>
          <w:sz w:val="24"/>
          <w14:textFill>
            <w14:solidFill>
              <w14:schemeClr w14:val="tx1"/>
            </w14:solidFill>
          </w14:textFill>
        </w:rPr>
        <w:t>余工 18205639394</w:t>
      </w:r>
    </w:p>
    <w:p>
      <w:r>
        <w:rPr>
          <w:rFonts w:hint="eastAsia" w:ascii="宋体" w:hAnsi="宋体" w:eastAsia="宋体" w:cs="宋体"/>
          <w:b/>
          <w:bCs/>
          <w:color w:val="000000" w:themeColor="text1"/>
          <w:sz w:val="24"/>
          <w14:textFill>
            <w14:solidFill>
              <w14:schemeClr w14:val="tx1"/>
            </w14:solidFill>
          </w14:textFill>
        </w:rPr>
        <w:t>深圳环水集团招标采购数字管理平台联系人：</w:t>
      </w:r>
      <w:r>
        <w:rPr>
          <w:rFonts w:hint="eastAsia" w:ascii="宋体" w:hAnsi="宋体" w:eastAsia="宋体" w:cs="宋体"/>
          <w:color w:val="000000" w:themeColor="text1"/>
          <w:sz w:val="24"/>
          <w14:textFill>
            <w14:solidFill>
              <w14:schemeClr w14:val="tx1"/>
            </w14:solidFill>
          </w14:textFill>
        </w:rPr>
        <w:t>陈工 18664987375</w:t>
      </w:r>
    </w:p>
    <w:p>
      <w:pPr>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p>
    <w:p>
      <w:pPr>
        <w:spacing w:line="360" w:lineRule="auto"/>
        <w:jc w:val="center"/>
        <w:outlineLvl w:val="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第二章  投标须知</w:t>
      </w:r>
    </w:p>
    <w:p>
      <w:pPr>
        <w:pStyle w:val="3"/>
        <w:jc w:val="center"/>
        <w:rPr>
          <w:rFonts w:ascii="宋体" w:hAnsi="宋体" w:cs="宋体"/>
          <w:b w:val="0"/>
          <w:bCs w:val="0"/>
          <w:color w:val="000000" w:themeColor="text1"/>
          <w:sz w:val="21"/>
          <w:szCs w:val="21"/>
          <w14:textFill>
            <w14:solidFill>
              <w14:schemeClr w14:val="tx1"/>
            </w14:solidFill>
          </w14:textFill>
        </w:rPr>
      </w:pPr>
      <w:r>
        <w:rPr>
          <w:rFonts w:hint="eastAsia" w:ascii="宋体" w:hAnsi="宋体" w:cs="宋体"/>
          <w:b w:val="0"/>
          <w:bCs w:val="0"/>
          <w:color w:val="000000" w:themeColor="text1"/>
          <w:sz w:val="21"/>
          <w:szCs w:val="21"/>
          <w14:textFill>
            <w14:solidFill>
              <w14:schemeClr w14:val="tx1"/>
            </w14:solidFill>
          </w14:textFill>
        </w:rPr>
        <w:t>一、投标须知前附表</w:t>
      </w:r>
    </w:p>
    <w:tbl>
      <w:tblPr>
        <w:tblStyle w:val="40"/>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2310"/>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35" w:type="dxa"/>
            <w:vAlign w:val="center"/>
          </w:tcPr>
          <w:p>
            <w:pPr>
              <w:tabs>
                <w:tab w:val="left" w:pos="7560"/>
              </w:tabs>
              <w:spacing w:line="360" w:lineRule="auto"/>
              <w:ind w:left="-105" w:leftChars="-50" w:right="-107" w:rightChars="-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项号</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内容</w:t>
            </w:r>
          </w:p>
        </w:tc>
        <w:tc>
          <w:tcPr>
            <w:tcW w:w="6443" w:type="dxa"/>
            <w:vAlign w:val="center"/>
          </w:tcPr>
          <w:p>
            <w:pPr>
              <w:tabs>
                <w:tab w:val="left" w:pos="7560"/>
              </w:tabs>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宁国水务有限公司2024年度供水管网探漏服务项目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olor w:val="000000"/>
                <w:szCs w:val="21"/>
              </w:rPr>
              <w:t>招标范围</w:t>
            </w:r>
          </w:p>
        </w:tc>
        <w:tc>
          <w:tcPr>
            <w:tcW w:w="6443" w:type="dxa"/>
            <w:vAlign w:val="center"/>
          </w:tcPr>
          <w:p>
            <w:pPr>
              <w:pStyle w:val="3"/>
              <w:spacing w:before="0" w:after="0" w:line="360" w:lineRule="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、三水厂高压管区域、低压管区域及河沥溪水厂所覆盖的供水区域的日常探漏、定点，年度预算为98万元。（具体年检漏量以实际发生为准）</w:t>
            </w:r>
            <w:r>
              <w:rPr>
                <w:rFonts w:hint="eastAsia" w:ascii="宋体" w:hAnsi="宋体" w:eastAsia="宋体" w:cs="宋体"/>
                <w:b w:val="0"/>
                <w:bCs w:val="0"/>
                <w:color w:val="000000" w:themeColor="text1"/>
                <w:sz w:val="21"/>
                <w:szCs w:val="21"/>
                <w14:textFill>
                  <w14:solidFill>
                    <w14:schemeClr w14:val="tx1"/>
                  </w14:solidFill>
                </w14:textFill>
              </w:rPr>
              <w:t>预计项目数量933m³/h（该数量为投标预估数量包含定点，不为最终发生数量）</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2、本次招标为投标报价单价招标，招标将产生1家年度服务商；如有效投标人少于3家时作流标处理。</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3、本项目将产生的年度服务商有效期至2025年4月30日，单价在服务期间原则上不再进行调整。</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4、采购主体可根据各中标人的中标单价、服务质量、实际检漏量和检漏组织实施能力择优选择中标人进行检漏服务。</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5、本次招标以中标单价发布中标通知书，原则上在一个招标年度内中标单价不做调整。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招标人指定分包项目</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采用的币种</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服务期</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olor w:val="000000"/>
                <w:szCs w:val="21"/>
              </w:rPr>
              <w:t>自合同签订之日起</w:t>
            </w:r>
            <w:r>
              <w:rPr>
                <w:rFonts w:hint="eastAsia" w:ascii="宋体" w:hAnsi="宋体" w:eastAsia="宋体" w:cs="宋体"/>
                <w:color w:val="000000" w:themeColor="text1"/>
                <w:szCs w:val="21"/>
                <w14:textFill>
                  <w14:solidFill>
                    <w14:schemeClr w14:val="tx1"/>
                  </w14:solidFill>
                </w14:textFill>
              </w:rPr>
              <w:t>至2025年4月30日</w:t>
            </w:r>
            <w:r>
              <w:rPr>
                <w:rFonts w:hint="eastAsia" w:ascii="宋体" w:hAnsi="宋体" w:eastAsia="宋体"/>
                <w:color w:val="000000"/>
                <w:szCs w:val="21"/>
              </w:rPr>
              <w:t>。</w:t>
            </w:r>
            <w:r>
              <w:rPr>
                <w:rFonts w:hint="eastAsia" w:ascii="宋体" w:hAnsi="宋体" w:eastAsia="宋体"/>
                <w:b/>
                <w:color w:val="000000"/>
                <w:szCs w:val="21"/>
              </w:rPr>
              <w:t>（投</w:t>
            </w:r>
            <w:r>
              <w:rPr>
                <w:rFonts w:ascii="宋体" w:hAnsi="宋体" w:eastAsia="宋体"/>
                <w:b/>
                <w:color w:val="000000"/>
                <w:szCs w:val="21"/>
              </w:rPr>
              <w:t>标文件需明确</w:t>
            </w:r>
            <w:r>
              <w:rPr>
                <w:rFonts w:hint="eastAsia" w:ascii="宋体" w:hAnsi="宋体" w:eastAsia="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投标人资质要求</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1.投标人必须是在中华人民共和国境内注册的独立法人。</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2.投标人须具有国家测绘地理信息局颁发的丙级及以上测绘资质。</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3.投标人拟派担任本项目的项目负责人须具备中级工程师及以上职称的相关专业人员。</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4.投标人信誉良好，近三年内没有骗取中标和严重违约等行为。</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5.本项目不接受联合体投标，不允许转包、分包。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报价方法</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1、本项目投标报价为单价报价，投标报价为按照招标人要求完成本项目所必须的一切成本和费用，包括含人工费、车辆费、报告编制费、安全措施费、税费等一切费用。投标人应提供详尽的分项报价清单。</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2、服务商开具合规有效服务量的含税全额发票，按服务订单以实际检漏估算。</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、工程结束后服务商可根据双方确认后的实际工程量，依照检漏费用结算计费标准进行结算，计算公式为工程费用</w:t>
            </w:r>
            <w:r>
              <w:rPr>
                <w:rFonts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查明漏水点总漏量</w:t>
            </w:r>
            <w:r>
              <w:rPr>
                <w:rFonts w:ascii="宋体" w:hAnsi="宋体" w:eastAsia="宋体" w:cs="宋体"/>
                <w:color w:val="000000" w:themeColor="text1"/>
                <w:szCs w:val="21"/>
                <w14:textFill>
                  <w14:solidFill>
                    <w14:schemeClr w14:val="tx1"/>
                  </w14:solidFill>
                </w14:textFill>
              </w:rPr>
              <w:t>m3/h×24h/</w:t>
            </w:r>
            <w:r>
              <w:rPr>
                <w:rFonts w:hint="eastAsia" w:ascii="宋体" w:hAnsi="宋体" w:eastAsia="宋体" w:cs="宋体"/>
                <w:color w:val="000000" w:themeColor="text1"/>
                <w:szCs w:val="21"/>
                <w14:textFill>
                  <w14:solidFill>
                    <w14:schemeClr w14:val="tx1"/>
                  </w14:solidFill>
                </w14:textFill>
              </w:rPr>
              <w:t>天×</w:t>
            </w:r>
            <w:r>
              <w:rPr>
                <w:rFonts w:ascii="宋体" w:hAnsi="宋体" w:eastAsia="宋体" w:cs="宋体"/>
                <w:color w:val="000000" w:themeColor="text1"/>
                <w:szCs w:val="21"/>
                <w14:textFill>
                  <w14:solidFill>
                    <w14:schemeClr w14:val="tx1"/>
                  </w14:solidFill>
                </w14:textFill>
              </w:rPr>
              <w:t>365</w:t>
            </w:r>
            <w:r>
              <w:rPr>
                <w:rFonts w:hint="eastAsia" w:ascii="宋体" w:hAnsi="宋体" w:eastAsia="宋体" w:cs="宋体"/>
                <w:color w:val="000000" w:themeColor="text1"/>
                <w:szCs w:val="21"/>
                <w14:textFill>
                  <w14:solidFill>
                    <w14:schemeClr w14:val="tx1"/>
                  </w14:solidFill>
                </w14:textFill>
              </w:rPr>
              <w:t>天×合同签订价元</w:t>
            </w:r>
            <w:r>
              <w:rPr>
                <w:rFonts w:ascii="宋体" w:hAnsi="宋体" w:eastAsia="宋体" w:cs="宋体"/>
                <w:color w:val="000000" w:themeColor="text1"/>
                <w:szCs w:val="21"/>
                <w14:textFill>
                  <w14:solidFill>
                    <w14:schemeClr w14:val="tx1"/>
                  </w14:solidFill>
                </w14:textFill>
              </w:rPr>
              <w:t>/m³·</w:t>
            </w:r>
            <w:r>
              <w:rPr>
                <w:rFonts w:hint="eastAsia" w:ascii="宋体" w:hAnsi="宋体" w:eastAsia="宋体" w:cs="宋体"/>
                <w:color w:val="000000" w:themeColor="text1"/>
                <w:szCs w:val="21"/>
                <w14:textFill>
                  <w14:solidFill>
                    <w14:schemeClr w14:val="tx1"/>
                  </w14:solidFill>
                </w14:textFill>
              </w:rPr>
              <w:t>年（含税金费用，币种为人民币）。</w:t>
            </w:r>
          </w:p>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4、为招标人提供的定点服务按每处2m³/h漏量进行结算。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8</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投标报价的上限</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cs"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0.12</w:t>
            </w:r>
            <w:r>
              <w:rPr>
                <w:rFonts w:hint="eastAsia" w:ascii="宋体" w:hAnsi="宋体" w:eastAsia="宋体" w:cs="宋体"/>
                <w:color w:val="000000" w:themeColor="text1"/>
                <w:szCs w:val="21"/>
                <w14:textFill>
                  <w14:solidFill>
                    <w14:schemeClr w14:val="tx1"/>
                  </w14:solidFill>
                </w14:textFill>
              </w:rPr>
              <w:t>元</w:t>
            </w:r>
            <w:r>
              <w:rPr>
                <w:rFonts w:ascii="宋体" w:hAnsi="宋体" w:eastAsia="宋体" w:cs="宋体"/>
                <w:color w:val="000000" w:themeColor="text1"/>
                <w:szCs w:val="21"/>
                <w14:textFill>
                  <w14:solidFill>
                    <w14:schemeClr w14:val="tx1"/>
                  </w14:solidFill>
                </w14:textFill>
              </w:rPr>
              <w:t>/m³·</w:t>
            </w:r>
            <w:r>
              <w:rPr>
                <w:rFonts w:hint="eastAsia" w:ascii="宋体" w:hAnsi="宋体" w:eastAsia="宋体" w:cs="宋体"/>
                <w:color w:val="000000" w:themeColor="text1"/>
                <w:szCs w:val="21"/>
                <w14:textFill>
                  <w14:solidFill>
                    <w14:schemeClr w14:val="tx1"/>
                  </w14:solidFill>
                </w14:textFill>
              </w:rPr>
              <w:t>年（人民币壹角贰分年每立方米），投标人投标报价不得超出上限，否则作无效标处理。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9</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投标人的替代方案</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w:t>
            </w:r>
          </w:p>
        </w:tc>
        <w:tc>
          <w:tcPr>
            <w:tcW w:w="2310" w:type="dxa"/>
            <w:vAlign w:val="center"/>
          </w:tcPr>
          <w:p>
            <w:pPr>
              <w:tabs>
                <w:tab w:val="left" w:pos="7560"/>
              </w:tabs>
              <w:spacing w:line="360" w:lineRule="auto"/>
              <w:ind w:left="-107" w:leftChars="-51" w:right="-107" w:rightChars="-51" w:firstLine="79" w:firstLineChars="3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联合体投标</w:t>
            </w:r>
          </w:p>
        </w:tc>
        <w:tc>
          <w:tcPr>
            <w:tcW w:w="6443" w:type="dxa"/>
            <w:vAlign w:val="center"/>
          </w:tcPr>
          <w:p>
            <w:pPr>
              <w:tabs>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w:t>
            </w:r>
          </w:p>
        </w:tc>
        <w:tc>
          <w:tcPr>
            <w:tcW w:w="2310" w:type="dxa"/>
            <w:vAlign w:val="center"/>
          </w:tcPr>
          <w:p>
            <w:pPr>
              <w:tabs>
                <w:tab w:val="left" w:pos="7560"/>
              </w:tabs>
              <w:spacing w:line="360" w:lineRule="auto"/>
              <w:ind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评标方法</w:t>
            </w:r>
          </w:p>
        </w:tc>
        <w:tc>
          <w:tcPr>
            <w:tcW w:w="6443" w:type="dxa"/>
            <w:vAlign w:val="center"/>
          </w:tcPr>
          <w:p>
            <w:pPr>
              <w:tabs>
                <w:tab w:val="left" w:pos="-3"/>
                <w:tab w:val="left" w:pos="7560"/>
              </w:tabs>
              <w:spacing w:line="360" w:lineRule="auto"/>
              <w:ind w:leftChars="-1" w:right="-51" w:hanging="2" w:hangingChars="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本项目采用综合评分法：</w:t>
            </w:r>
          </w:p>
          <w:p>
            <w:pPr>
              <w:tabs>
                <w:tab w:val="left" w:pos="-3"/>
                <w:tab w:val="left" w:pos="7560"/>
              </w:tabs>
              <w:spacing w:line="360" w:lineRule="auto"/>
              <w:ind w:leftChars="-1" w:right="-51" w:hanging="2" w:hangingChars="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1.资格符合性审查</w:t>
            </w:r>
          </w:p>
          <w:p>
            <w:pPr>
              <w:tabs>
                <w:tab w:val="left" w:pos="-3"/>
                <w:tab w:val="left" w:pos="7560"/>
              </w:tabs>
              <w:spacing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审查各投标人的资格证明文件以及对招标文件关键条款的响应，通过审查的有效投标人进入后续的评分环节。</w:t>
            </w:r>
          </w:p>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.采用综合评估法，如</w:t>
            </w:r>
            <w:r>
              <w:rPr>
                <w:rFonts w:hint="eastAsia" w:ascii="宋体" w:hAnsi="宋体" w:eastAsia="宋体" w:cs="宋体"/>
                <w:color w:val="000000" w:themeColor="text1"/>
                <w:szCs w:val="21"/>
                <w:lang w:val="en-US" w:eastAsia="zh-CN"/>
                <w14:textFill>
                  <w14:solidFill>
                    <w14:schemeClr w14:val="tx1"/>
                  </w14:solidFill>
                </w14:textFill>
              </w:rPr>
              <w:t>通过</w:t>
            </w:r>
            <w:r>
              <w:rPr>
                <w:rFonts w:hint="eastAsia" w:ascii="宋体" w:hAnsi="宋体" w:eastAsia="宋体" w:cs="宋体"/>
                <w:color w:val="000000" w:themeColor="text1"/>
                <w:szCs w:val="21"/>
                <w14:textFill>
                  <w14:solidFill>
                    <w14:schemeClr w14:val="tx1"/>
                  </w14:solidFill>
                </w14:textFill>
              </w:rPr>
              <w:t>资格符合性审查投标人在</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家以上时：</w:t>
            </w:r>
          </w:p>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□先按投标报价由低至高顺序排定前</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名为入围投标，招标人仅对入围投标进行组织评标。</w:t>
            </w:r>
          </w:p>
          <w:p>
            <w:pPr>
              <w:tabs>
                <w:tab w:val="left" w:pos="-3"/>
                <w:tab w:val="left" w:pos="7560"/>
              </w:tabs>
              <w:spacing w:line="360" w:lineRule="auto"/>
              <w:ind w:leftChars="-1" w:right="-51" w:hanging="2" w:hangingChars="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■通过票决法，得票数由高至低顺序排定前</w:t>
            </w: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名为入围投标，招标人仅对入围投标进行组织评标。</w:t>
            </w:r>
          </w:p>
          <w:p>
            <w:pPr>
              <w:tabs>
                <w:tab w:val="left" w:pos="-3"/>
                <w:tab w:val="left" w:pos="7560"/>
              </w:tabs>
              <w:spacing w:line="360" w:lineRule="auto"/>
              <w:rPr>
                <w:rFonts w:hint="eastAsia" w:ascii="宋体" w:hAnsi="宋体" w:eastAsia="宋体" w:cs="宋体"/>
                <w:color w:val="000000" w:themeColor="text1"/>
                <w:szCs w:val="21"/>
                <w14:textFill>
                  <w14:solidFill>
                    <w14:schemeClr w14:val="tx1"/>
                  </w14:solidFill>
                </w14:textFill>
              </w:rPr>
            </w:pPr>
          </w:p>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.评分标准</w:t>
            </w:r>
          </w:p>
          <w:tbl>
            <w:tblPr>
              <w:tblStyle w:val="40"/>
              <w:tblW w:w="0" w:type="auto"/>
              <w:tblInd w:w="0" w:type="dxa"/>
              <w:tblLayout w:type="autofit"/>
              <w:tblCellMar>
                <w:top w:w="0" w:type="dxa"/>
                <w:left w:w="108" w:type="dxa"/>
                <w:bottom w:w="0" w:type="dxa"/>
                <w:right w:w="108" w:type="dxa"/>
              </w:tblCellMar>
            </w:tblPr>
            <w:tblGrid>
              <w:gridCol w:w="630"/>
              <w:gridCol w:w="1530"/>
              <w:gridCol w:w="1080"/>
              <w:gridCol w:w="2775"/>
            </w:tblGrid>
            <w:tr>
              <w:tblPrEx>
                <w:tblCellMar>
                  <w:top w:w="0" w:type="dxa"/>
                  <w:left w:w="108" w:type="dxa"/>
                  <w:bottom w:w="0" w:type="dxa"/>
                  <w:right w:w="108"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评审因素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权重</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评审内容</w:t>
                  </w:r>
                </w:p>
              </w:tc>
            </w:tr>
            <w:tr>
              <w:tblPrEx>
                <w:tblCellMar>
                  <w:top w:w="0" w:type="dxa"/>
                  <w:left w:w="108" w:type="dxa"/>
                  <w:bottom w:w="0" w:type="dxa"/>
                  <w:right w:w="108" w:type="dxa"/>
                </w:tblCellMar>
              </w:tblPrEx>
              <w:trPr>
                <w:trHeight w:val="10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kern w:val="0"/>
                      <w:szCs w:val="21"/>
                      <w:lang w:bidi="ar"/>
                      <w14:textFill>
                        <w14:solidFill>
                          <w14:schemeClr w14:val="tx1"/>
                        </w14:solidFill>
                      </w14:textFill>
                    </w:rPr>
                    <w:t>30</w:t>
                  </w:r>
                  <w:r>
                    <w:rPr>
                      <w:rFonts w:hint="eastAsia" w:ascii="宋体" w:hAnsi="宋体" w:eastAsia="宋体" w:cs="宋体"/>
                      <w:color w:val="000000" w:themeColor="text1"/>
                      <w:kern w:val="0"/>
                      <w:szCs w:val="21"/>
                      <w:lang w:bidi="ar"/>
                      <w14:textFill>
                        <w14:solidFill>
                          <w14:schemeClr w14:val="tx1"/>
                        </w14:solidFill>
                      </w14:textFill>
                    </w:rPr>
                    <w:t>%</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对招标文件技术条款的响应，服务的整体方案、质控措施、保障措施、技术实力、实施能力等</w:t>
                  </w:r>
                </w:p>
              </w:tc>
            </w:tr>
            <w:tr>
              <w:tblPrEx>
                <w:tblCellMar>
                  <w:top w:w="0" w:type="dxa"/>
                  <w:left w:w="108" w:type="dxa"/>
                  <w:bottom w:w="0" w:type="dxa"/>
                  <w:right w:w="108" w:type="dxa"/>
                </w:tblCellMar>
              </w:tblPrEx>
              <w:trPr>
                <w:trHeight w:val="10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商务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kern w:val="0"/>
                      <w:szCs w:val="21"/>
                      <w:lang w:bidi="ar"/>
                      <w14:textFill>
                        <w14:solidFill>
                          <w14:schemeClr w14:val="tx1"/>
                        </w14:solidFill>
                      </w14:textFill>
                    </w:rPr>
                    <w:t>30</w:t>
                  </w:r>
                  <w:r>
                    <w:rPr>
                      <w:rFonts w:hint="eastAsia" w:ascii="宋体" w:hAnsi="宋体" w:eastAsia="宋体" w:cs="宋体"/>
                      <w:color w:val="000000" w:themeColor="text1"/>
                      <w:kern w:val="0"/>
                      <w:szCs w:val="21"/>
                      <w:lang w:bidi="ar"/>
                      <w14:textFill>
                        <w14:solidFill>
                          <w14:schemeClr w14:val="tx1"/>
                        </w14:solidFill>
                      </w14:textFill>
                    </w:rPr>
                    <w:t>%</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投标人资质，服务业绩，综合实力等</w:t>
                  </w:r>
                </w:p>
              </w:tc>
            </w:tr>
            <w:tr>
              <w:tblPrEx>
                <w:tblCellMar>
                  <w:top w:w="0" w:type="dxa"/>
                  <w:left w:w="108" w:type="dxa"/>
                  <w:bottom w:w="0" w:type="dxa"/>
                  <w:right w:w="108" w:type="dxa"/>
                </w:tblCellMar>
              </w:tblPrEx>
              <w:trPr>
                <w:trHeight w:val="526"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价格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kern w:val="0"/>
                      <w:szCs w:val="21"/>
                      <w:lang w:bidi="ar"/>
                      <w14:textFill>
                        <w14:solidFill>
                          <w14:schemeClr w14:val="tx1"/>
                        </w14:solidFill>
                      </w14:textFill>
                    </w:rPr>
                    <w:t>40</w:t>
                  </w:r>
                  <w:r>
                    <w:rPr>
                      <w:rFonts w:hint="eastAsia" w:ascii="宋体" w:hAnsi="宋体" w:eastAsia="宋体" w:cs="宋体"/>
                      <w:color w:val="000000" w:themeColor="text1"/>
                      <w:kern w:val="0"/>
                      <w:szCs w:val="21"/>
                      <w:lang w:bidi="ar"/>
                      <w14:textFill>
                        <w14:solidFill>
                          <w14:schemeClr w14:val="tx1"/>
                        </w14:solidFill>
                      </w14:textFill>
                    </w:rPr>
                    <w:t>%</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投标报价，详见招标文件项目评分表</w:t>
                  </w:r>
                </w:p>
              </w:tc>
            </w:tr>
            <w:tr>
              <w:tblPrEx>
                <w:tblCellMar>
                  <w:top w:w="0" w:type="dxa"/>
                  <w:left w:w="108" w:type="dxa"/>
                  <w:bottom w:w="0" w:type="dxa"/>
                  <w:right w:w="108" w:type="dxa"/>
                </w:tblCellMar>
              </w:tblPrEx>
              <w:trPr>
                <w:trHeight w:val="820"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00" w:line="360" w:lineRule="auto"/>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综合得分＝技术得分＋商务得分＋价格得分</w:t>
                  </w:r>
                </w:p>
              </w:tc>
            </w:tr>
          </w:tbl>
          <w:p>
            <w:pPr>
              <w:tabs>
                <w:tab w:val="left" w:pos="-3"/>
                <w:tab w:val="left" w:pos="7560"/>
              </w:tabs>
              <w:spacing w:line="360" w:lineRule="auto"/>
              <w:ind w:leftChars="-1" w:right="-51" w:hanging="2" w:hangingChars="1"/>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.中标候选人</w:t>
            </w:r>
          </w:p>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本项目确定1名中标人。确定中标候选人按综合得分由高到低顺序排列。综合得分相同的，按暂定投标总价由低到高顺序排列。综合得分且投标总价相同的，按技术方案优劣顺序排列。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投标文件递交</w:t>
            </w:r>
          </w:p>
        </w:tc>
        <w:tc>
          <w:tcPr>
            <w:tcW w:w="6443" w:type="dxa"/>
            <w:vAlign w:val="center"/>
          </w:tcPr>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地点：线上递交至（深圳环水集团招标采购数字管理平台），线下递交至宁国水务有限公司。本项目要求线上线下同时递交，如出现单一递交情况，视为投标无效。</w:t>
            </w:r>
          </w:p>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截止时间：深圳环水集团招标采购数字管理平台（</w:t>
            </w:r>
            <w:r>
              <w:fldChar w:fldCharType="begin"/>
            </w:r>
            <w:r>
              <w:instrText xml:space="preserve"> HYPERLINK "https://cg.sz-water.com.cn:8000/swjt/j_form" </w:instrText>
            </w:r>
            <w:r>
              <w:fldChar w:fldCharType="separate"/>
            </w:r>
            <w:r>
              <w:rPr>
                <w:rFonts w:hint="eastAsia" w:ascii="宋体" w:hAnsi="宋体" w:eastAsia="宋体" w:cs="宋体"/>
                <w:color w:val="000000" w:themeColor="text1"/>
                <w:szCs w:val="21"/>
                <w14:textFill>
                  <w14:solidFill>
                    <w14:schemeClr w14:val="tx1"/>
                  </w14:solidFill>
                </w14:textFill>
              </w:rPr>
              <w:t>https://cg.sz-water.com.cn</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）规定时间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投标保证金提交</w:t>
            </w:r>
          </w:p>
        </w:tc>
        <w:tc>
          <w:tcPr>
            <w:tcW w:w="6443" w:type="dxa"/>
            <w:vAlign w:val="center"/>
          </w:tcPr>
          <w:p>
            <w:pPr>
              <w:tabs>
                <w:tab w:val="left" w:pos="-3"/>
                <w:tab w:val="left" w:pos="7560"/>
              </w:tabs>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投标有效期</w:t>
            </w:r>
          </w:p>
        </w:tc>
        <w:tc>
          <w:tcPr>
            <w:tcW w:w="6443" w:type="dxa"/>
            <w:vAlign w:val="center"/>
          </w:tcPr>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15</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招标人对招标文件的澄清或修补的期限</w:t>
            </w:r>
          </w:p>
        </w:tc>
        <w:tc>
          <w:tcPr>
            <w:tcW w:w="6443" w:type="dxa"/>
            <w:vAlign w:val="center"/>
          </w:tcPr>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在投标截止日期前3日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16</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开标</w:t>
            </w:r>
          </w:p>
        </w:tc>
        <w:tc>
          <w:tcPr>
            <w:tcW w:w="6443" w:type="dxa"/>
            <w:vAlign w:val="center"/>
          </w:tcPr>
          <w:p>
            <w:pPr>
              <w:tabs>
                <w:tab w:val="left" w:pos="-3"/>
                <w:tab w:val="left" w:pos="7560"/>
              </w:tabs>
              <w:spacing w:line="360" w:lineRule="auto"/>
              <w:ind w:leftChars="-1" w:right="-51" w:hanging="2" w:hangingChars="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地点：宁国水务有限公司二楼会议室</w:t>
            </w:r>
          </w:p>
          <w:p>
            <w:pPr>
              <w:tabs>
                <w:tab w:val="left" w:pos="-3"/>
                <w:tab w:val="left" w:pos="7560"/>
              </w:tabs>
              <w:spacing w:line="360" w:lineRule="auto"/>
              <w:ind w:leftChars="-1" w:right="-51" w:hanging="2" w:hangingChars="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时间：深圳环水集团招标采购数字管理平台（</w:t>
            </w:r>
            <w:r>
              <w:fldChar w:fldCharType="begin"/>
            </w:r>
            <w:r>
              <w:instrText xml:space="preserve"> HYPERLINK "https://cg.sz-water.com.cn:8000/swjt/j_form" </w:instrText>
            </w:r>
            <w:r>
              <w:fldChar w:fldCharType="separate"/>
            </w:r>
            <w:r>
              <w:rPr>
                <w:rFonts w:hint="eastAsia" w:ascii="宋体" w:hAnsi="宋体" w:eastAsia="宋体" w:cs="宋体"/>
                <w:color w:val="000000" w:themeColor="text1"/>
                <w:szCs w:val="21"/>
                <w14:textFill>
                  <w14:solidFill>
                    <w14:schemeClr w14:val="tx1"/>
                  </w14:solidFill>
                </w14:textFill>
              </w:rPr>
              <w:t>https://cg.sz-water.com.cn</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）规定时间</w:t>
            </w:r>
          </w:p>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（时间、地点如有变动另行通知）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发出中标通知书</w:t>
            </w:r>
          </w:p>
        </w:tc>
        <w:tc>
          <w:tcPr>
            <w:tcW w:w="6443" w:type="dxa"/>
            <w:vAlign w:val="center"/>
          </w:tcPr>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评标结束后5日内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签订合同</w:t>
            </w:r>
          </w:p>
        </w:tc>
        <w:tc>
          <w:tcPr>
            <w:tcW w:w="6443" w:type="dxa"/>
            <w:vAlign w:val="center"/>
          </w:tcPr>
          <w:p>
            <w:pPr>
              <w:tabs>
                <w:tab w:val="left" w:pos="-3"/>
                <w:tab w:val="left" w:pos="7560"/>
              </w:tabs>
              <w:spacing w:line="360" w:lineRule="auto"/>
              <w:ind w:leftChars="-1" w:right="-51" w:hanging="2" w:hangingChars="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中标人收到中标通知书30天内，由招标人采购主体与中标人签订合同，根据合同约定进行结算。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付款方式</w:t>
            </w:r>
          </w:p>
        </w:tc>
        <w:tc>
          <w:tcPr>
            <w:tcW w:w="6443" w:type="dxa"/>
            <w:vAlign w:val="center"/>
          </w:tcPr>
          <w:p>
            <w:pPr>
              <w:widowControl/>
              <w:spacing w:line="360" w:lineRule="auto"/>
              <w:rPr>
                <w:rFonts w:ascii="宋体" w:hAnsi="宋体" w:eastAsia="宋体"/>
                <w:b/>
                <w:color w:val="000000"/>
                <w:szCs w:val="21"/>
              </w:rPr>
            </w:pPr>
            <w:r>
              <w:rPr>
                <w:rFonts w:hint="eastAsia" w:ascii="宋体" w:hAnsi="宋体" w:eastAsia="宋体"/>
                <w:color w:val="000000"/>
                <w:szCs w:val="21"/>
              </w:rPr>
              <w:t>按</w:t>
            </w:r>
            <w:r>
              <w:rPr>
                <w:rFonts w:hint="eastAsia" w:ascii="宋体" w:hAnsi="宋体" w:eastAsia="宋体"/>
                <w:szCs w:val="21"/>
              </w:rPr>
              <w:t>服</w:t>
            </w:r>
            <w:r>
              <w:rPr>
                <w:rFonts w:ascii="宋体" w:hAnsi="宋体" w:eastAsia="宋体"/>
                <w:szCs w:val="21"/>
              </w:rPr>
              <w:t>务</w:t>
            </w:r>
            <w:r>
              <w:rPr>
                <w:rFonts w:hint="eastAsia" w:ascii="宋体" w:hAnsi="宋体" w:eastAsia="宋体"/>
                <w:szCs w:val="21"/>
              </w:rPr>
              <w:t>订</w:t>
            </w:r>
            <w:r>
              <w:rPr>
                <w:rFonts w:ascii="宋体" w:hAnsi="宋体" w:eastAsia="宋体"/>
                <w:szCs w:val="21"/>
              </w:rPr>
              <w:t>单</w:t>
            </w:r>
            <w:r>
              <w:rPr>
                <w:rFonts w:hint="eastAsia" w:ascii="宋体" w:hAnsi="宋体" w:eastAsia="宋体"/>
                <w:szCs w:val="21"/>
              </w:rPr>
              <w:t>以实际检漏量结</w:t>
            </w:r>
            <w:r>
              <w:rPr>
                <w:rFonts w:ascii="宋体" w:hAnsi="宋体" w:eastAsia="宋体"/>
                <w:szCs w:val="21"/>
              </w:rPr>
              <w:t>算</w:t>
            </w:r>
            <w:r>
              <w:rPr>
                <w:rFonts w:hint="eastAsia" w:ascii="宋体" w:hAnsi="宋体" w:eastAsia="宋体"/>
                <w:szCs w:val="21"/>
              </w:rPr>
              <w:t>，结算时间以甲方通知为准</w:t>
            </w:r>
            <w:r>
              <w:rPr>
                <w:rFonts w:hint="eastAsia" w:ascii="宋体" w:hAnsi="宋体" w:eastAsia="宋体"/>
                <w:b/>
                <w:color w:val="000000"/>
                <w:szCs w:val="21"/>
              </w:rPr>
              <w:t>（投</w:t>
            </w:r>
            <w:r>
              <w:rPr>
                <w:rFonts w:ascii="宋体" w:hAnsi="宋体" w:eastAsia="宋体"/>
                <w:b/>
                <w:color w:val="000000"/>
                <w:szCs w:val="21"/>
              </w:rPr>
              <w:t>标文件需明确</w:t>
            </w:r>
            <w:r>
              <w:rPr>
                <w:rFonts w:hint="eastAsia" w:ascii="宋体" w:hAnsi="宋体" w:eastAsia="宋体"/>
                <w:b/>
                <w:color w:val="000000"/>
                <w:szCs w:val="21"/>
              </w:rPr>
              <w:t>）</w:t>
            </w:r>
          </w:p>
          <w:p>
            <w:pPr>
              <w:widowControl/>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付款要求：</w:t>
            </w:r>
          </w:p>
          <w:p>
            <w:pPr>
              <w:widowControl/>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1、若在合同履行期间，国家增值税率发生变化，则调税不调价。</w:t>
            </w:r>
          </w:p>
          <w:p>
            <w:pPr>
              <w:tabs>
                <w:tab w:val="left" w:pos="-3"/>
                <w:tab w:val="left" w:pos="7560"/>
              </w:tabs>
              <w:spacing w:line="360" w:lineRule="auto"/>
              <w:ind w:right="-5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2、收款方、出具发票方、合同乙方均必须与中标人名称一致。支付每笔付款前，中标人需提供等额的增值税普通发票，付款均以银行转账方式进行。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olor w:val="000000"/>
                <w:szCs w:val="21"/>
              </w:rPr>
              <w:t>检漏、上报工作要求</w:t>
            </w:r>
          </w:p>
        </w:tc>
        <w:tc>
          <w:tcPr>
            <w:tcW w:w="6443" w:type="dxa"/>
            <w:vAlign w:val="center"/>
          </w:tcPr>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新宋体" w:hAnsi="新宋体" w:eastAsia="新宋体"/>
              </w:rPr>
              <w:t>1、中标单位探得漏点，应2个工作日内上报。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履约担保金额</w:t>
            </w:r>
          </w:p>
        </w:tc>
        <w:tc>
          <w:tcPr>
            <w:tcW w:w="6443" w:type="dxa"/>
            <w:vAlign w:val="center"/>
          </w:tcPr>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重新招标</w:t>
            </w:r>
          </w:p>
        </w:tc>
        <w:tc>
          <w:tcPr>
            <w:tcW w:w="6443" w:type="dxa"/>
            <w:vAlign w:val="center"/>
          </w:tcPr>
          <w:p>
            <w:pPr>
              <w:snapToGrid w:val="0"/>
              <w:spacing w:line="360" w:lineRule="auto"/>
              <w:rPr>
                <w:rFonts w:ascii="宋体" w:hAnsi="宋体" w:eastAsia="宋体"/>
                <w:color w:val="000000"/>
                <w:szCs w:val="21"/>
              </w:rPr>
            </w:pPr>
            <w:r>
              <w:rPr>
                <w:rFonts w:hint="eastAsia" w:ascii="宋体" w:hAnsi="宋体" w:eastAsia="宋体"/>
                <w:szCs w:val="21"/>
              </w:rPr>
              <w:t>1、截止投标文件递交截止时间，有效投标人不足3家的</w:t>
            </w:r>
            <w:r>
              <w:rPr>
                <w:rFonts w:hint="eastAsia" w:ascii="宋体" w:hAnsi="宋体" w:eastAsia="宋体"/>
                <w:color w:val="000000"/>
                <w:szCs w:val="21"/>
              </w:rPr>
              <w:t>。</w:t>
            </w:r>
          </w:p>
          <w:p>
            <w:p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olor w:val="000000"/>
                <w:szCs w:val="21"/>
              </w:rPr>
              <w:t>2、</w:t>
            </w:r>
            <w:r>
              <w:rPr>
                <w:rFonts w:hint="eastAsia" w:ascii="宋体" w:hAnsi="宋体" w:eastAsia="宋体"/>
                <w:szCs w:val="21"/>
              </w:rPr>
              <w:t>经</w:t>
            </w:r>
            <w:r>
              <w:rPr>
                <w:rFonts w:hint="eastAsia" w:ascii="宋体" w:hAnsi="宋体" w:eastAsia="宋体"/>
                <w:color w:val="000000"/>
                <w:szCs w:val="21"/>
              </w:rPr>
              <w:t>招</w:t>
            </w:r>
            <w:r>
              <w:rPr>
                <w:rFonts w:ascii="宋体" w:hAnsi="宋体" w:eastAsia="宋体"/>
                <w:color w:val="000000"/>
                <w:szCs w:val="21"/>
              </w:rPr>
              <w:t>标人评标小组</w:t>
            </w:r>
            <w:r>
              <w:rPr>
                <w:rFonts w:hint="eastAsia" w:ascii="宋体" w:hAnsi="宋体" w:eastAsia="宋体"/>
                <w:szCs w:val="21"/>
              </w:rPr>
              <w:t>评审后否决所有投标的。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不再招标</w:t>
            </w:r>
          </w:p>
        </w:tc>
        <w:tc>
          <w:tcPr>
            <w:tcW w:w="6443" w:type="dxa"/>
            <w:vAlign w:val="center"/>
          </w:tcPr>
          <w:p>
            <w:p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szCs w:val="21"/>
              </w:rPr>
              <w:t>重新招标后有效投标人仍少于3个或者所有投标被否决的，不再进行招标。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tabs>
                <w:tab w:val="left" w:pos="7560"/>
              </w:tabs>
              <w:spacing w:line="360" w:lineRule="auto"/>
              <w:ind w:left="-105" w:leftChars="-50" w:right="-51"/>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w:t>
            </w:r>
          </w:p>
        </w:tc>
        <w:tc>
          <w:tcPr>
            <w:tcW w:w="2310" w:type="dxa"/>
            <w:vAlign w:val="center"/>
          </w:tcPr>
          <w:p>
            <w:pPr>
              <w:tabs>
                <w:tab w:val="left" w:pos="7560"/>
              </w:tabs>
              <w:spacing w:line="360" w:lineRule="auto"/>
              <w:ind w:left="-13" w:leftChars="-24" w:right="-51" w:hanging="37" w:hangingChars="18"/>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招标人对招标文件的答疑的期限</w:t>
            </w:r>
          </w:p>
        </w:tc>
        <w:tc>
          <w:tcPr>
            <w:tcW w:w="6443" w:type="dxa"/>
            <w:vAlign w:val="center"/>
          </w:tcPr>
          <w:p>
            <w:p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在投标截止日期前2日</w:t>
            </w:r>
          </w:p>
        </w:tc>
      </w:tr>
    </w:tbl>
    <w:p>
      <w:pPr>
        <w:tabs>
          <w:tab w:val="left" w:pos="7560"/>
        </w:tabs>
        <w:spacing w:line="360" w:lineRule="auto"/>
        <w:rPr>
          <w:rFonts w:ascii="宋体" w:hAnsi="宋体" w:eastAsia="宋体"/>
          <w:color w:val="000000" w:themeColor="text1"/>
          <w:szCs w:val="21"/>
          <w14:textFill>
            <w14:solidFill>
              <w14:schemeClr w14:val="tx1"/>
            </w14:solidFill>
          </w14:textFill>
        </w:rPr>
        <w:sectPr>
          <w:headerReference r:id="rId3" w:type="default"/>
          <w:footerReference r:id="rId4" w:type="default"/>
          <w:pgSz w:w="11906" w:h="16838"/>
          <w:pgMar w:top="1418" w:right="1418" w:bottom="1361" w:left="1418" w:header="851" w:footer="992" w:gutter="0"/>
          <w:pgNumType w:fmt="numberInDash"/>
          <w:cols w:space="720" w:num="1"/>
          <w:docGrid w:linePitch="312" w:charSpace="0"/>
        </w:sectPr>
      </w:pPr>
    </w:p>
    <w:p>
      <w:pPr>
        <w:pStyle w:val="3"/>
        <w:jc w:val="center"/>
        <w:rPr>
          <w:rFonts w:ascii="宋体" w:hAnsi="宋体"/>
          <w:b w:val="0"/>
          <w:color w:val="000000" w:themeColor="text1"/>
          <w:sz w:val="24"/>
          <w:szCs w:val="24"/>
          <w14:textFill>
            <w14:solidFill>
              <w14:schemeClr w14:val="tx1"/>
            </w14:solidFill>
          </w14:textFill>
        </w:rPr>
      </w:pPr>
      <w:r>
        <w:rPr>
          <w:rFonts w:hint="eastAsia" w:ascii="宋体" w:hAnsi="宋体"/>
          <w:b w:val="0"/>
          <w:color w:val="000000" w:themeColor="text1"/>
          <w:sz w:val="24"/>
          <w:szCs w:val="24"/>
          <w14:textFill>
            <w14:solidFill>
              <w14:schemeClr w14:val="tx1"/>
            </w14:solidFill>
          </w14:textFill>
        </w:rPr>
        <w:t>二、投标须知</w:t>
      </w: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（一）总则</w:t>
      </w:r>
    </w:p>
    <w:p>
      <w:pPr>
        <w:tabs>
          <w:tab w:val="left" w:pos="7560"/>
        </w:tabs>
        <w:spacing w:line="360" w:lineRule="auto"/>
        <w:ind w:firstLine="420" w:firstLineChars="2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1、投标相关事项见前附表，同时还应符合本须知各条款要求。</w:t>
      </w:r>
    </w:p>
    <w:p>
      <w:pPr>
        <w:tabs>
          <w:tab w:val="left" w:pos="7560"/>
        </w:tabs>
        <w:spacing w:line="360" w:lineRule="auto"/>
        <w:ind w:firstLine="420" w:firstLineChars="2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2、只有在法律和财务上独立，根据商业法规运作，有相应资质的、具有良好的银行资信和商业信誉，具有圆满履行合同的能力，且不是招标人附属机构的企业才可以参与投标。</w:t>
      </w:r>
    </w:p>
    <w:p>
      <w:pPr>
        <w:tabs>
          <w:tab w:val="left" w:pos="7560"/>
        </w:tabs>
        <w:spacing w:line="360" w:lineRule="auto"/>
        <w:ind w:firstLine="420" w:firstLineChars="2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3、投标人应承担其编制投标文件与递交投标文件所涉及的一切费用。不论投标结果如何，招标人在任何情况下无义务和也无责任承担这些费用。</w:t>
      </w: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（二）招标文件</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4、招标文件包括下列内容： </w:t>
      </w:r>
    </w:p>
    <w:p>
      <w:pPr>
        <w:tabs>
          <w:tab w:val="left" w:pos="7560"/>
        </w:tabs>
        <w:spacing w:line="360" w:lineRule="auto"/>
        <w:ind w:left="420"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第一章 招标公告</w:t>
      </w:r>
    </w:p>
    <w:p>
      <w:pPr>
        <w:tabs>
          <w:tab w:val="left" w:pos="7560"/>
        </w:tabs>
        <w:spacing w:line="360" w:lineRule="auto"/>
        <w:ind w:left="420"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第二章 投标须知</w:t>
      </w:r>
    </w:p>
    <w:p>
      <w:pPr>
        <w:tabs>
          <w:tab w:val="left" w:pos="7560"/>
        </w:tabs>
        <w:spacing w:line="360" w:lineRule="auto"/>
        <w:ind w:left="420"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第三章 项目评分表</w:t>
      </w:r>
    </w:p>
    <w:p>
      <w:pPr>
        <w:tabs>
          <w:tab w:val="left" w:pos="7560"/>
        </w:tabs>
        <w:spacing w:line="360" w:lineRule="auto"/>
        <w:ind w:left="420"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第四章 合同主要条款</w:t>
      </w:r>
    </w:p>
    <w:p>
      <w:pPr>
        <w:tabs>
          <w:tab w:val="left" w:pos="7560"/>
        </w:tabs>
        <w:spacing w:line="360" w:lineRule="auto"/>
        <w:ind w:left="420"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第五章 服务清单</w:t>
      </w:r>
    </w:p>
    <w:p>
      <w:pPr>
        <w:tabs>
          <w:tab w:val="left" w:pos="7560"/>
        </w:tabs>
        <w:spacing w:line="360" w:lineRule="auto"/>
        <w:ind w:left="420"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第六章 招标项目要求</w:t>
      </w:r>
    </w:p>
    <w:p>
      <w:pPr>
        <w:tabs>
          <w:tab w:val="left" w:pos="7560"/>
        </w:tabs>
        <w:spacing w:line="360" w:lineRule="auto"/>
        <w:ind w:left="420" w:firstLine="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第七章 投标文件格式</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投标人应认真阅读招标文件中所有章节、条款、格式、附表和附件。如果投标人没有按照招标文件的要求提交全部资料，或者投标文件没有对招标文件在各方面都作出实质性响应，则属于投标人的风险。根据本须知的规定，没有实质上响应招标文件要求的投标将被拒绝。</w:t>
      </w:r>
    </w:p>
    <w:p>
      <w:pPr>
        <w:tabs>
          <w:tab w:val="left" w:pos="7560"/>
        </w:tabs>
        <w:spacing w:line="360" w:lineRule="auto"/>
        <w:ind w:firstLine="422" w:firstLineChars="200"/>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招标文件中标注“</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”的条款为不可偏离条款，投标文件若对于不可偏离条款有任何不满足将导致废标。招标文件中标注“▲”的条款为重要条款，投标文件若对于重要条款有任何不满足将导致严重扣分。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6、除前款内容外，招标人在投标截止日期前2日以书面形式发出的招标文件的澄清（答疑）纪要、修改（补充）函件，均是招标文件的组成部分，对招标人投标人起约束作用。</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7、凡获得本招标文件者，无论投标与否，均应对本招标文件负有保密责任，不得向第三方转让或者泄露有关内容。</w:t>
      </w:r>
    </w:p>
    <w:p>
      <w:pPr>
        <w:tabs>
          <w:tab w:val="left" w:pos="709"/>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招标文件的澄清将在投标人须知前附表规定的时间内以数据电文形式发给所有获取招标文件的投标人，投标人可在深圳环水集团招标采购数字管理平台中查阅。如有质疑，投标人应在招标文件规定的时间内通过深圳环水集团招标采购数字管理平台向招标人提出。</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9、招标文件的修改</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（1）在投标截止期前的任何时候，无论出于何种原因，招标人可主动地在解答投标人提出的澄清问题时对招标文件进行修改。</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（2）在投标截止时间前，招标人可在深圳环水集团招标采购数字管理平台发布澄清文件修改招标文件，通知所有已获取招标文件的投标人，并同步发布至深圳阳光采购平台（https://www.szygcgpt.com/）。</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（3）为使投标人在编写投标文件时有充足的时间对招标文件的修改部分进行研究，招标人可以自行酌情延后投标截止期。</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10、投标担保（本项目不适用）</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11、履约担保（本项目不适用）</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12、公开招标失败的处理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（1）本项目公开招标过程中若由于投标截止后实际递交</w:t>
      </w:r>
      <w:r>
        <w:rPr>
          <w:rFonts w:ascii="宋体" w:hAnsi="宋体" w:eastAsia="宋体"/>
          <w:color w:val="000000" w:themeColor="text1"/>
          <w:szCs w:val="21"/>
          <w14:textFill>
            <w14:solidFill>
              <w14:schemeClr w14:val="tx1"/>
            </w14:solidFill>
          </w14:textFill>
        </w:rPr>
        <w:t>投标</w:t>
      </w:r>
      <w:r>
        <w:rPr>
          <w:rFonts w:hint="eastAsia" w:ascii="宋体" w:hAnsi="宋体" w:eastAsia="宋体"/>
          <w:color w:val="000000" w:themeColor="text1"/>
          <w:szCs w:val="21"/>
          <w14:textFill>
            <w14:solidFill>
              <w14:schemeClr w14:val="tx1"/>
            </w14:solidFill>
          </w14:textFill>
        </w:rPr>
        <w:t>文件的供应商数量不足、经评标小组评审对招标文件作实质响应的供应商不足等原因造成公开招标失败，可由招标人重新组织采购。</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（2）重新组织采购有以下两种组织形式：</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①由招标人重新组织公开招标；</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②根据实际情况需要向主管部门提出非公开招标方式申请，经主管部门批准公开招标失败采购项目可转为竞争性谈判或单一来源谈判方式采购。</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（3）公开招标失败的采购项目重新组织公开招标，招标人要重新按公开招标流程发布招标公告和招标文件、组成评标小组等组织采购活动。</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公开招标失败的采购项目经主管部门批准转为竞争性谈判或单一来源谈判方式采购的，可不另行制作谈判文件，招标人可就原招标文件中资质、技术及评标方法等变动情况向拟谈判对象发出谈判邀请，与原招标文件具同等效力，变动部分以谈判邀请文件为准。转为竞争性谈判或单一来源谈判方式采购的，供应商的原投标文件转为谈判应答文件。</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（三）投标文件的编制</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13、投标语言</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投标人提交的招标文件以及投标人与招标人就有关投标所有来往函电均应使用中文。投标人可以使用外文的说明或其它材料，但必须同时翻译成中文，且以中文为准。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14、投标文件的组成</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投标文件由资格审查文件、投标书、商</w:t>
      </w:r>
      <w:r>
        <w:rPr>
          <w:rFonts w:ascii="宋体" w:hAnsi="宋体" w:eastAsia="宋体"/>
          <w:color w:val="000000" w:themeColor="text1"/>
          <w:szCs w:val="21"/>
          <w14:textFill>
            <w14:solidFill>
              <w14:schemeClr w14:val="tx1"/>
            </w14:solidFill>
          </w14:textFill>
        </w:rPr>
        <w:t>务</w:t>
      </w:r>
      <w:r>
        <w:rPr>
          <w:rFonts w:hint="eastAsia" w:ascii="宋体" w:hAnsi="宋体" w:eastAsia="宋体"/>
          <w:color w:val="000000" w:themeColor="text1"/>
          <w:szCs w:val="21"/>
          <w14:textFill>
            <w14:solidFill>
              <w14:schemeClr w14:val="tx1"/>
            </w14:solidFill>
          </w14:textFill>
        </w:rPr>
        <w:t>标、技术标组成。</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投标文件格式见招标文件第七章。</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15、投标报价</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（1）投标报价包括投标总价和分项报价。投标人应完整地说明所提供服务的项</w:t>
      </w:r>
      <w:r>
        <w:rPr>
          <w:rFonts w:ascii="宋体" w:hAnsi="宋体" w:eastAsia="宋体"/>
          <w:color w:val="000000" w:themeColor="text1"/>
          <w:szCs w:val="21"/>
          <w14:textFill>
            <w14:solidFill>
              <w14:schemeClr w14:val="tx1"/>
            </w14:solidFill>
          </w14:textFill>
        </w:rPr>
        <w:t>目</w:t>
      </w:r>
      <w:r>
        <w:rPr>
          <w:rFonts w:hint="eastAsia" w:ascii="宋体" w:hAnsi="宋体" w:eastAsia="宋体"/>
          <w:color w:val="000000" w:themeColor="text1"/>
          <w:szCs w:val="21"/>
          <w14:textFill>
            <w14:solidFill>
              <w14:schemeClr w14:val="tx1"/>
            </w14:solidFill>
          </w14:textFill>
        </w:rPr>
        <w:t>名称、服</w:t>
      </w:r>
      <w:r>
        <w:rPr>
          <w:rFonts w:ascii="宋体" w:hAnsi="宋体" w:eastAsia="宋体"/>
          <w:color w:val="000000" w:themeColor="text1"/>
          <w:szCs w:val="21"/>
          <w14:textFill>
            <w14:solidFill>
              <w14:schemeClr w14:val="tx1"/>
            </w14:solidFill>
          </w14:textFill>
        </w:rPr>
        <w:t>务</w:t>
      </w:r>
      <w:r>
        <w:rPr>
          <w:rFonts w:hint="eastAsia" w:ascii="宋体" w:hAnsi="宋体" w:eastAsia="宋体"/>
          <w:color w:val="000000" w:themeColor="text1"/>
          <w:szCs w:val="21"/>
          <w14:textFill>
            <w14:solidFill>
              <w14:schemeClr w14:val="tx1"/>
            </w14:solidFill>
          </w14:textFill>
        </w:rPr>
        <w:t>单价、合价和总价。报价为含税价。</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（2）只允许有一套报价，任何有选择的报价将不予接受。</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（3）报价不低于投标人完成该招标项目的成本。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（4）投标报价中所使用的计量单位，一律采用招标文件规定的计量单位。</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（5）如果投标报价中数字小写和中文大写表示的金额之间有差异，以中文大写金额为准；如果单价和数量的乘积与总价有差异，以其中最低的价格为准。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（6）如果投标文件中投标报价存在前后不一致的情况，以投标书附表3投标函投标报价为准。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16、资格证明文件</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投标人应提交证明其有资格参加投标和中标后有能力履行合同的文件，并作为其投标文件一部分。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17、证明服务合格性的文件</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（1）投标人应提交有关证明文件，证明其按合同要求提供的所有服务的合格性，并能满足招标文件的要求，证明文件应作为投标文件的一部分。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（2）证明服务能够满足招标文件要求的文件可以是文字资料、图纸和资料。</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18、投标文件的式样和签署</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（1）投标文件由投标人的法定代表人或经正式授权并对投标人有约束力的代表签字。由授权代表签字时，须在投标文件中加附“投标文件签署授权委托书”，其格式应符合招标文件第七章的规定。</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（2）除投标人对错漏之处做必要的修改或补充，投标文件中不得有行间插字、涂改和增删。如确有错漏之处确需要手工修改或补充，则必须在修改或补充之处盖投标人公章。</w:t>
      </w:r>
    </w:p>
    <w:p>
      <w:pPr>
        <w:tabs>
          <w:tab w:val="left" w:pos="7560"/>
        </w:tabs>
        <w:spacing w:line="360" w:lineRule="auto"/>
        <w:ind w:firstLine="420" w:firstLineChars="200"/>
        <w:rPr>
          <w:rFonts w:ascii="宋体" w:hAnsi="宋体" w:eastAsia="宋体"/>
          <w:szCs w:val="21"/>
        </w:rPr>
      </w:pPr>
    </w:p>
    <w:p>
      <w:pPr>
        <w:tabs>
          <w:tab w:val="left" w:pos="7560"/>
        </w:tabs>
        <w:spacing w:line="360" w:lineRule="auto"/>
        <w:jc w:val="center"/>
        <w:rPr>
          <w:rFonts w:ascii="宋体" w:hAnsi="宋体" w:eastAsia="宋体"/>
          <w:szCs w:val="21"/>
        </w:rPr>
      </w:pPr>
      <w:r>
        <w:rPr>
          <w:rFonts w:hint="eastAsia" w:ascii="宋体" w:hAnsi="宋体" w:eastAsia="宋体"/>
          <w:szCs w:val="21"/>
        </w:rPr>
        <w:t>（四）投标文件的递交</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21、投标截止期</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（1）投标人提交投标文件的时间不得迟于本须知前附表规定的截止日期和时间。</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（2）招标人可以通过修改招标文件自行酌情延迟投标截止期。在此情况下，招标人与投标人之间受投标截止期制约的所有权利和义务均应延长至新的截止期。</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22、迟交的投标文件</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投标人须在投标截止时间前完成所有投标文件的上传，投标截止时间前未完投标文件上传的，视为投标文件未递交。</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23、投标文件的补充、修改和撤回</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（1）投标人在递交投标文件后，可以补充、修改或撤回其投标文件，但必须在规定的投标截止时间之前，以书面形式通知招标人。</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（2）在投标截止时间之后，投标人不得补充、修改投标文件。</w:t>
      </w:r>
    </w:p>
    <w:p>
      <w:pPr>
        <w:tabs>
          <w:tab w:val="left" w:pos="7560"/>
        </w:tabs>
        <w:spacing w:line="360" w:lineRule="auto"/>
        <w:ind w:firstLine="420" w:firstLineChars="200"/>
        <w:rPr>
          <w:rFonts w:ascii="宋体" w:hAnsi="宋体" w:eastAsia="宋体"/>
          <w:szCs w:val="21"/>
        </w:rPr>
      </w:pPr>
      <w:r>
        <w:rPr>
          <w:rFonts w:hint="eastAsia" w:ascii="宋体" w:hAnsi="宋体" w:eastAsia="宋体"/>
          <w:szCs w:val="21"/>
        </w:rPr>
        <w:t>（3）在投标截止期至投标有效期届满之间的这段时间内，投标人不得撤回其投标。</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numPr>
          <w:ilvl w:val="0"/>
          <w:numId w:val="12"/>
        </w:num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解密与开标</w:t>
      </w:r>
    </w:p>
    <w:p>
      <w:pPr>
        <w:tabs>
          <w:tab w:val="left" w:pos="-3"/>
          <w:tab w:val="left" w:pos="756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b/>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线上递交至（深圳环水集团招标采购数字管理平台），线下递交至宁国水务有限公司。本项目要求线上线下同时递交，如出现单一递交情况，视为投标无效。需线下到场开标。</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25、如果招标人根据招标文件的规定难以准确判断某投标人的投标文件是否应予受理的，或有投标人在开标会上对审查程序与结果提出异议的，招标人将记录有关情况提交评标小组表决决定。</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（六）评标</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26、由招标人成立的评标小组负责评标。</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27、开标结束后，开始评标，评标采用保密方式进行。</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28、投标文件有下列情况之一的，将作无效标处理：</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（1）投标文件逾期提交；</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（2）投标文件未按规定的格式填写，内容不全或涂改、字迹模糊、辨认不清；</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（3）投标文件未提供有效的法定代表人资格证明书和投标文件签署授权委托书的；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（4）投标文件未提供投标函、投标函无单位盖章，或未经由法定代表人或法定代表人委托的代理人签署的；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（5）投标服务明显不符合本招标文件的项目需求；</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（6）出现影响招标公正的违法、违规行为的；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（7）投标文件内容与招标文件要求有严重背离的；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（8）招标文件中标注“★”的不可偏离条款在投标文件中未满足的；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（9）投标文件中提供虚假材料骗取中标的；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（10）投标报价大于投标报价的上限的；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（11）投标人提交的电子标书格式不符合投标要求或开标后无法读取导入的。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有下列情形之一的，经评标小组遵循少数服从多数的原则集体表决认定后，按围标、串标行为对待，除按废标处理外，招标人将提请有关管理部门根据情况依法做出处罚：</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（1）不同投标人的投标文件内容存在非正常一致；</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（2）不同投标人的投标文件错漏之处一致的；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（3）不同投标人的投标文件由同一单位或者同一人编制的；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（4）不同投标人的投标文件载明的项目组机构成员出现同一人的；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（5）不同投标人的投标文件相互混装的；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（6）不同投标人委托同一人提交投标文件的；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（7）不同投标人的投标文件由同一台电脑编制的；（不同投标人的电子投标文件中包含的计算机网卡MAC地址、CPU序列号和硬盘序列号信息均相同的）</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（8）评标小组认定的其他围标、串通投标情形。</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评标小组经评审，认为所有投标都不符合招标文件要求的，可以否决所有投标。</w:t>
      </w:r>
    </w:p>
    <w:p>
      <w:pPr>
        <w:tabs>
          <w:tab w:val="left" w:pos="7560"/>
        </w:tabs>
        <w:spacing w:line="360" w:lineRule="auto"/>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（七）中标</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29、招标人不承诺将合同授予报价最低的投标人。</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30、招标人将根据招标结果发布中标公告，中标公告公示期为3日。</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31、在投标有效期内，招标人将中标结果在前附表规定的时间内向中标人发出中标通知书。</w:t>
      </w:r>
    </w:p>
    <w:p>
      <w:pPr>
        <w:tabs>
          <w:tab w:val="left" w:pos="7560"/>
        </w:tabs>
        <w:spacing w:line="360" w:lineRule="auto"/>
        <w:ind w:firstLine="420"/>
        <w:rPr>
          <w:rFonts w:ascii="宋体" w:hAnsi="宋体" w:eastAsia="宋体" w:cs="宋体"/>
          <w:color w:val="000000" w:themeColor="text1"/>
          <w:szCs w:val="21"/>
          <w14:textFill>
            <w14:solidFill>
              <w14:schemeClr w14:val="tx1"/>
            </w14:solidFill>
          </w14:textFill>
        </w:rPr>
      </w:pPr>
    </w:p>
    <w:p>
      <w:pPr>
        <w:tabs>
          <w:tab w:val="left" w:pos="7560"/>
        </w:tabs>
        <w:spacing w:line="360" w:lineRule="auto"/>
        <w:ind w:firstLine="42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（八）授予合同</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36、招标人与中标人须于前附表规定的时间内，依据</w:t>
      </w:r>
      <w:r>
        <w:rPr>
          <w:rFonts w:hint="eastAsia" w:ascii="宋体" w:hAnsi="宋体" w:eastAsia="宋体" w:cs="宋体"/>
          <w:color w:val="000000" w:themeColor="text1"/>
          <w:szCs w:val="21"/>
          <w14:textFill>
            <w14:solidFill>
              <w14:schemeClr w14:val="tx1"/>
            </w14:solidFill>
          </w14:textFill>
        </w:rPr>
        <w:t>《中华人民共和国民法典》</w:t>
      </w:r>
      <w:r>
        <w:rPr>
          <w:rFonts w:hint="eastAsia" w:ascii="宋体" w:hAnsi="宋体" w:eastAsia="宋体"/>
          <w:color w:val="000000" w:themeColor="text1"/>
          <w:szCs w:val="21"/>
          <w14:textFill>
            <w14:solidFill>
              <w14:schemeClr w14:val="tx1"/>
            </w14:solidFill>
          </w14:textFill>
        </w:rPr>
        <w:t>及招投标文件签订合同。</w:t>
      </w:r>
    </w:p>
    <w:p>
      <w:pPr>
        <w:tabs>
          <w:tab w:val="left" w:pos="7560"/>
        </w:tabs>
        <w:spacing w:line="360" w:lineRule="auto"/>
        <w:ind w:firstLine="420" w:firstLineChars="200"/>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投标人中标后如不按时与招标人签订合同，则招标人将有权废除中标，投标人支付招标投标价格百分之五的补偿金给招标人。另外，给招标人造成的损失超过上述金额的，招标人还有权要求投标人对超过部分进行赔偿。</w:t>
      </w:r>
    </w:p>
    <w:p>
      <w:pPr>
        <w:spacing w:line="360" w:lineRule="auto"/>
        <w:jc w:val="center"/>
        <w:outlineLvl w:val="0"/>
        <w:rPr>
          <w:rFonts w:ascii="宋体" w:hAnsi="宋体" w:eastAsia="宋体" w:cs="宋体"/>
          <w:b/>
          <w:bCs/>
          <w:color w:val="000000" w:themeColor="text1"/>
          <w:sz w:val="28"/>
          <w:szCs w:val="21"/>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r>
        <w:rPr>
          <w:rFonts w:hint="eastAsia" w:ascii="宋体" w:hAnsi="宋体" w:eastAsia="宋体" w:cs="宋体"/>
          <w:b/>
          <w:color w:val="000000" w:themeColor="text1"/>
          <w:sz w:val="28"/>
          <w:szCs w:val="28"/>
          <w14:textFill>
            <w14:solidFill>
              <w14:schemeClr w14:val="tx1"/>
            </w14:solidFill>
          </w14:textFill>
        </w:rPr>
        <w:t>第三章  项目评分表</w:t>
      </w:r>
    </w:p>
    <w:p>
      <w:pPr>
        <w:tabs>
          <w:tab w:val="left" w:pos="7560"/>
        </w:tabs>
        <w:spacing w:line="360" w:lineRule="auto"/>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br w:type="textWrapping"/>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 总则</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1.1为保证招标工作的公开、公平和公正，加强本项目的评标工作，使评标工作规范化、标准化、科学化，选择有经验、有实力、信誉好的投标单位承担工作任务，依据《中华人民共和国招标投标法》相关法规、文件特制定本评标办法。</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1.2本项目的招标人纪检监督部门工作人员对工程的开标、评标、实施监督管理。</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1.3评标原则：按公正、科学、客观、平等竞争的要求，从中选择有制造及供货经验、业绩及信誉良好、综合实力强的投标人作为中标候选人。</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1.4对于评标小组意见有分歧的问题，评标小组实行少数服从多数的原则进行表决，表决结果经评标小组全体成员过半数通过有效。</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 评标小组</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招标人将依法组建评标小组，评标小组由招标人单位相关人员及外聘专家组成，成员人数为五人（含）以上单数，其中有关技术方面的相关人员不少于三分之二。与投标人有利害关系的成员应当回避，评标小组名单在评审结果确定之前应当保密。</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 评标程序</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本项目采用综合评分法。是指在最大限度地满足招标文件实质性要求前提下，按照招标文件规定的评审标准进行评审，并按汇总得分由高到低的顺序推荐中标候选人。全部评标过程将按以下步骤进行：</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1)评标准备；</w:t>
      </w:r>
    </w:p>
    <w:p>
      <w:pPr>
        <w:spacing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2)资格审查；</w:t>
      </w:r>
    </w:p>
    <w:p>
      <w:pPr>
        <w:spacing w:line="360" w:lineRule="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lang w:val="en-US" w:eastAsia="zh-CN"/>
          <w14:textFill>
            <w14:solidFill>
              <w14:schemeClr w14:val="tx1"/>
            </w14:solidFill>
          </w14:textFill>
        </w:rPr>
        <w:t>票决入围；</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4)项目评审；</w:t>
      </w:r>
    </w:p>
    <w:p>
      <w:pPr>
        <w:spacing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5)中标候选人的推荐；</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评标报告。</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 评标准备</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4.1评标小组人员进入评标室后，首先推选一名专家担任评标小组组长。评标小组组长负责评标过程中的组织工作，引导评标小组按约定的程序进行评标。</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4.2评标小组人员应当熟悉招标文件、评标方法等有关文件，包括项目概况、招标范围、招标目的、评标方法、评标所用表格、以及打分方法等。</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 资格审查</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5.1本项目资格审查工作在开标后交由评标小组进行审查。</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5.2评审内容见第七章投标文件格式投标人资质证明文件。</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 项目评审</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6.1评标小组对通过资格审查的投标文件的商务标和技术标进行详细评审。即：各评委根据招标文件规定的商务标、技术标评分规则，对投标文件商务标、技术标进行评分。评审内容见综合评分表。</w:t>
      </w:r>
      <w:r>
        <w:rPr>
          <w:rFonts w:hint="eastAsia" w:ascii="宋体" w:hAnsi="宋体" w:eastAsia="宋体" w:cs="宋体"/>
          <w:color w:val="000000" w:themeColor="text1"/>
          <w:szCs w:val="21"/>
          <w14:textFill>
            <w14:solidFill>
              <w14:schemeClr w14:val="tx1"/>
            </w14:solidFill>
          </w14:textFill>
        </w:rPr>
        <w:br w:type="textWrapping"/>
      </w:r>
      <w:r>
        <w:rPr>
          <w:rFonts w:hint="eastAsia" w:ascii="宋体" w:hAnsi="宋体" w:eastAsia="宋体" w:cs="宋体"/>
          <w:color w:val="000000" w:themeColor="text1"/>
          <w:szCs w:val="21"/>
          <w14:textFill>
            <w14:solidFill>
              <w14:schemeClr w14:val="tx1"/>
            </w14:solidFill>
          </w14:textFill>
        </w:rPr>
        <w:t>6.2为了有助于投标文件的审查、评价和比较，对投标文件含义不明确、同类问题表述不一致或者有明显文字和计算错误的内容，评标小组可以用书面形式（应当由评标小组全体成员签字）要求投标人作出必要的澄清、说明或者纠正。投标人的澄清、说明或者补正应当用采用书面形式（由其受权的代表签字），并不得超出投标文件的范围或者改变投标文件的实质性的内容。根据招标文件第二章投标须知第15条，凡属于评标小组在评审中发现的算术错误进行核实的修改不在此列。</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6.3 评标小组将以综合汇总的方式对所有评标小组成员的独立评分进行汇总，计算出每个投标人的综合得分。当评标小组成员为7人及以上单数时，在评委打分中去掉一个最高分和一个最低分，取余下评委评审得分之和作为投标人该项最终得分（四舍五入保留小数点后两位）。</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6.4 推荐中标候选人。</w:t>
      </w:r>
    </w:p>
    <w:p>
      <w:pPr>
        <w:spacing w:line="360" w:lineRule="auto"/>
        <w:rPr>
          <w:rFonts w:ascii="宋体" w:hAnsi="宋体" w:eastAsia="宋体" w:cs="宋体"/>
          <w:color w:val="000000" w:themeColor="text1"/>
          <w:szCs w:val="21"/>
          <w14:textFill>
            <w14:solidFill>
              <w14:schemeClr w14:val="tx1"/>
            </w14:solidFill>
          </w14:textFill>
        </w:rPr>
      </w:pPr>
    </w:p>
    <w:p>
      <w:pPr>
        <w:numPr>
          <w:ilvl w:val="0"/>
          <w:numId w:val="13"/>
        </w:num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中标候选人的推荐</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7.1 按评审综合得分从高至低的顺序进行排序，向招标人推荐评审综合得分第一名的中标候选人，形成评标报告。</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7.2 若出现评审综合得分相同的情形，如不影响中标候选人家数，可以并列计；如影响中标候选人家数，按投标报价由低到高顺序排列。暂定投标总价且投标报价相同的，按技术方案优劣顺序排列。</w:t>
      </w:r>
    </w:p>
    <w:p>
      <w:pPr>
        <w:spacing w:line="360" w:lineRule="auto"/>
        <w:rPr>
          <w:rFonts w:ascii="宋体" w:hAnsi="宋体" w:eastAsia="宋体" w:cs="宋体"/>
          <w:color w:val="000000" w:themeColor="text1"/>
          <w:szCs w:val="21"/>
          <w14:textFill>
            <w14:solidFill>
              <w14:schemeClr w14:val="tx1"/>
            </w14:solidFill>
          </w14:textFill>
        </w:rPr>
      </w:pPr>
    </w:p>
    <w:p>
      <w:pPr>
        <w:numPr>
          <w:ilvl w:val="0"/>
          <w:numId w:val="13"/>
        </w:num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附则</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本评标办法由招标人负责解释。</w:t>
      </w:r>
    </w:p>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br w:type="page"/>
      </w:r>
      <w:r>
        <w:rPr>
          <w:rFonts w:hint="eastAsia" w:ascii="宋体" w:hAnsi="宋体" w:eastAsia="宋体" w:cs="宋体"/>
          <w:b/>
          <w:bCs/>
          <w:color w:val="000000" w:themeColor="text1"/>
          <w:szCs w:val="21"/>
          <w14:textFill>
            <w14:solidFill>
              <w14:schemeClr w14:val="tx1"/>
            </w14:solidFill>
          </w14:textFill>
        </w:rPr>
        <w:t>综合评分表</w:t>
      </w:r>
    </w:p>
    <w:p>
      <w:pPr>
        <w:rPr>
          <w:color w:val="000000" w:themeColor="text1"/>
          <w14:textFill>
            <w14:solidFill>
              <w14:schemeClr w14:val="tx1"/>
            </w14:solidFill>
          </w14:textFill>
        </w:rPr>
      </w:pPr>
    </w:p>
    <w:tbl>
      <w:tblPr>
        <w:tblStyle w:val="4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233"/>
        <w:gridCol w:w="555"/>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80" w:type="pct"/>
            <w:vAlign w:val="center"/>
          </w:tcPr>
          <w:p>
            <w:pPr>
              <w:spacing w:line="360" w:lineRule="auto"/>
              <w:jc w:val="center"/>
              <w:rPr>
                <w:rStyle w:val="213"/>
                <w:rFonts w:ascii="宋体" w:hAnsi="宋体" w:eastAsia="宋体"/>
                <w:b/>
                <w:bCs/>
                <w:szCs w:val="21"/>
              </w:rPr>
            </w:pPr>
            <w:r>
              <w:rPr>
                <w:rStyle w:val="213"/>
                <w:rFonts w:hint="eastAsia" w:ascii="宋体" w:hAnsi="宋体" w:eastAsia="宋体"/>
                <w:b/>
                <w:bCs/>
                <w:szCs w:val="21"/>
              </w:rPr>
              <w:t>类别</w:t>
            </w:r>
          </w:p>
        </w:tc>
        <w:tc>
          <w:tcPr>
            <w:tcW w:w="664" w:type="pct"/>
            <w:vAlign w:val="center"/>
          </w:tcPr>
          <w:p>
            <w:pPr>
              <w:spacing w:line="360" w:lineRule="auto"/>
              <w:jc w:val="center"/>
              <w:rPr>
                <w:rStyle w:val="213"/>
                <w:rFonts w:ascii="宋体" w:hAnsi="宋体" w:eastAsia="宋体"/>
                <w:b/>
                <w:bCs/>
                <w:szCs w:val="21"/>
              </w:rPr>
            </w:pPr>
            <w:r>
              <w:rPr>
                <w:rStyle w:val="213"/>
                <w:rFonts w:hint="eastAsia" w:ascii="宋体" w:hAnsi="宋体" w:eastAsia="宋体"/>
                <w:b/>
                <w:bCs/>
                <w:szCs w:val="21"/>
              </w:rPr>
              <w:t>评分项目</w:t>
            </w:r>
          </w:p>
        </w:tc>
        <w:tc>
          <w:tcPr>
            <w:tcW w:w="299" w:type="pct"/>
            <w:vAlign w:val="center"/>
          </w:tcPr>
          <w:p>
            <w:pPr>
              <w:spacing w:line="360" w:lineRule="auto"/>
              <w:jc w:val="center"/>
              <w:rPr>
                <w:rStyle w:val="213"/>
                <w:rFonts w:ascii="宋体" w:hAnsi="宋体" w:eastAsia="宋体"/>
                <w:b/>
                <w:bCs/>
                <w:szCs w:val="21"/>
              </w:rPr>
            </w:pPr>
            <w:r>
              <w:rPr>
                <w:rStyle w:val="213"/>
                <w:rFonts w:hint="eastAsia" w:ascii="宋体" w:hAnsi="宋体" w:eastAsia="宋体"/>
                <w:b/>
                <w:bCs/>
                <w:szCs w:val="21"/>
              </w:rPr>
              <w:t>分</w:t>
            </w:r>
            <w:r>
              <w:rPr>
                <w:rStyle w:val="213"/>
                <w:rFonts w:ascii="宋体" w:hAnsi="宋体" w:eastAsia="宋体"/>
                <w:b/>
                <w:bCs/>
                <w:szCs w:val="21"/>
              </w:rPr>
              <w:t>值</w:t>
            </w:r>
          </w:p>
        </w:tc>
        <w:tc>
          <w:tcPr>
            <w:tcW w:w="3357" w:type="pct"/>
            <w:vAlign w:val="center"/>
          </w:tcPr>
          <w:p>
            <w:pPr>
              <w:spacing w:line="360" w:lineRule="auto"/>
              <w:jc w:val="center"/>
              <w:rPr>
                <w:rStyle w:val="213"/>
                <w:rFonts w:ascii="宋体" w:hAnsi="宋体" w:eastAsia="宋体"/>
                <w:b/>
                <w:bCs/>
                <w:szCs w:val="21"/>
              </w:rPr>
            </w:pPr>
            <w:r>
              <w:rPr>
                <w:rStyle w:val="213"/>
                <w:rFonts w:hint="eastAsia" w:ascii="宋体" w:hAnsi="宋体" w:eastAsia="宋体"/>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80" w:type="pct"/>
            <w:vAlign w:val="center"/>
          </w:tcPr>
          <w:p>
            <w:pPr>
              <w:spacing w:line="360" w:lineRule="auto"/>
              <w:jc w:val="center"/>
              <w:rPr>
                <w:rStyle w:val="213"/>
                <w:rFonts w:ascii="宋体" w:hAnsi="宋体" w:eastAsia="宋体"/>
                <w:bCs/>
                <w:szCs w:val="21"/>
                <w:highlight w:val="yellow"/>
              </w:rPr>
            </w:pPr>
            <w:r>
              <w:rPr>
                <w:rStyle w:val="213"/>
                <w:rFonts w:hint="eastAsia" w:ascii="宋体" w:hAnsi="宋体" w:eastAsia="宋体"/>
                <w:bCs/>
                <w:szCs w:val="21"/>
                <w:highlight w:val="yellow"/>
              </w:rPr>
              <w:t>价</w:t>
            </w:r>
            <w:r>
              <w:rPr>
                <w:rStyle w:val="213"/>
                <w:rFonts w:ascii="宋体" w:hAnsi="宋体" w:eastAsia="宋体"/>
                <w:bCs/>
                <w:szCs w:val="21"/>
                <w:highlight w:val="yellow"/>
              </w:rPr>
              <w:t>格</w:t>
            </w:r>
            <w:r>
              <w:rPr>
                <w:rStyle w:val="213"/>
                <w:rFonts w:hint="eastAsia" w:ascii="宋体" w:hAnsi="宋体" w:eastAsia="宋体"/>
                <w:bCs/>
                <w:szCs w:val="21"/>
                <w:highlight w:val="yellow"/>
              </w:rPr>
              <w:t>得分</w:t>
            </w:r>
          </w:p>
          <w:p>
            <w:pPr>
              <w:spacing w:line="360" w:lineRule="auto"/>
              <w:jc w:val="center"/>
              <w:rPr>
                <w:rStyle w:val="213"/>
                <w:rFonts w:ascii="宋体" w:hAnsi="宋体" w:eastAsia="宋体"/>
                <w:b/>
                <w:bCs/>
                <w:szCs w:val="21"/>
                <w:highlight w:val="yellow"/>
              </w:rPr>
            </w:pPr>
            <w:r>
              <w:rPr>
                <w:rStyle w:val="213"/>
                <w:rFonts w:hint="eastAsia" w:ascii="宋体" w:hAnsi="宋体" w:eastAsia="宋体"/>
                <w:bCs/>
                <w:szCs w:val="21"/>
                <w:highlight w:val="yellow"/>
              </w:rPr>
              <w:t>（4</w:t>
            </w:r>
            <w:r>
              <w:rPr>
                <w:rStyle w:val="213"/>
                <w:rFonts w:ascii="宋体" w:hAnsi="宋体" w:eastAsia="宋体"/>
                <w:bCs/>
                <w:szCs w:val="21"/>
                <w:highlight w:val="yellow"/>
              </w:rPr>
              <w:t>0</w:t>
            </w:r>
            <w:r>
              <w:rPr>
                <w:rStyle w:val="213"/>
                <w:rFonts w:hint="eastAsia" w:ascii="宋体" w:hAnsi="宋体" w:eastAsia="宋体"/>
                <w:bCs/>
                <w:szCs w:val="21"/>
                <w:highlight w:val="yellow"/>
              </w:rPr>
              <w:t>分）</w:t>
            </w:r>
          </w:p>
        </w:tc>
        <w:tc>
          <w:tcPr>
            <w:tcW w:w="664" w:type="pct"/>
            <w:vAlign w:val="center"/>
          </w:tcPr>
          <w:p>
            <w:pPr>
              <w:spacing w:line="360" w:lineRule="auto"/>
              <w:jc w:val="center"/>
              <w:rPr>
                <w:rStyle w:val="213"/>
                <w:rFonts w:ascii="宋体" w:hAnsi="宋体" w:eastAsia="宋体"/>
                <w:bCs/>
                <w:szCs w:val="21"/>
                <w:highlight w:val="yellow"/>
              </w:rPr>
            </w:pPr>
            <w:r>
              <w:rPr>
                <w:rStyle w:val="213"/>
                <w:rFonts w:hint="eastAsia" w:ascii="宋体" w:hAnsi="宋体" w:eastAsia="宋体"/>
                <w:bCs/>
                <w:szCs w:val="21"/>
                <w:highlight w:val="yellow"/>
              </w:rPr>
              <w:t>投标报价</w:t>
            </w:r>
            <w:r>
              <w:rPr>
                <w:rFonts w:hint="eastAsia" w:ascii="宋体" w:hAnsi="宋体" w:eastAsia="宋体" w:cs="宋体"/>
                <w:szCs w:val="21"/>
                <w:highlight w:val="yellow"/>
              </w:rPr>
              <w:t>（暂定投标总价）</w:t>
            </w:r>
          </w:p>
        </w:tc>
        <w:tc>
          <w:tcPr>
            <w:tcW w:w="299" w:type="pct"/>
            <w:vAlign w:val="center"/>
          </w:tcPr>
          <w:p>
            <w:pPr>
              <w:spacing w:line="360" w:lineRule="auto"/>
              <w:jc w:val="center"/>
              <w:rPr>
                <w:rFonts w:ascii="宋体" w:hAnsi="宋体" w:eastAsia="宋体"/>
                <w:color w:val="000000"/>
                <w:szCs w:val="21"/>
                <w:highlight w:val="yellow"/>
              </w:rPr>
            </w:pPr>
            <w:r>
              <w:rPr>
                <w:rFonts w:hint="eastAsia" w:ascii="宋体" w:hAnsi="宋体" w:eastAsia="宋体"/>
                <w:color w:val="000000"/>
                <w:szCs w:val="21"/>
                <w:highlight w:val="yellow"/>
              </w:rPr>
              <w:t>40</w:t>
            </w:r>
          </w:p>
        </w:tc>
        <w:tc>
          <w:tcPr>
            <w:tcW w:w="3357" w:type="pct"/>
          </w:tcPr>
          <w:p>
            <w:pPr>
              <w:spacing w:line="360" w:lineRule="auto"/>
              <w:rPr>
                <w:rFonts w:hint="eastAsia" w:ascii="宋体" w:hAnsi="宋体" w:eastAsia="宋体"/>
                <w:highlight w:val="yellow"/>
              </w:rPr>
            </w:pPr>
            <w:r>
              <w:rPr>
                <w:rFonts w:hint="eastAsia" w:ascii="宋体" w:hAnsi="宋体" w:eastAsia="宋体"/>
                <w:highlight w:val="yellow"/>
              </w:rPr>
              <w:t>1.评标基准费率（Q）计算方法：取所有通过初步评审的投标文件的有效投标报价费率的算术平均值（当有效投标报价数量大于或者等于</w:t>
            </w:r>
            <w:r>
              <w:rPr>
                <w:rFonts w:hint="eastAsia" w:ascii="宋体" w:hAnsi="宋体" w:eastAsia="宋体"/>
                <w:highlight w:val="yellow"/>
                <w:lang w:val="en-US" w:eastAsia="zh-CN"/>
              </w:rPr>
              <w:t>5</w:t>
            </w:r>
            <w:r>
              <w:rPr>
                <w:rFonts w:hint="eastAsia" w:ascii="宋体" w:hAnsi="宋体" w:eastAsia="宋体"/>
                <w:highlight w:val="yellow"/>
              </w:rPr>
              <w:t>家时，去掉一个最高报价费率和一个最低报价费率后计算算术平均值）为评标基准费率。注：计算值保留两位有效小数，第三位小数四舍五入。</w:t>
            </w:r>
          </w:p>
          <w:p>
            <w:pPr>
              <w:spacing w:line="360" w:lineRule="auto"/>
              <w:rPr>
                <w:rFonts w:hint="eastAsia" w:ascii="宋体" w:hAnsi="宋体" w:eastAsia="宋体"/>
                <w:highlight w:val="yellow"/>
              </w:rPr>
            </w:pPr>
            <w:r>
              <w:rPr>
                <w:rFonts w:hint="eastAsia" w:ascii="宋体" w:hAnsi="宋体" w:eastAsia="宋体"/>
                <w:highlight w:val="yellow"/>
              </w:rPr>
              <w:t>2.报价得分M（分）计算方法：M＝N-100× |P-Q|/Q×F</w:t>
            </w:r>
          </w:p>
          <w:p>
            <w:pPr>
              <w:spacing w:line="360" w:lineRule="auto"/>
              <w:rPr>
                <w:rFonts w:hint="eastAsia" w:ascii="宋体" w:hAnsi="宋体" w:eastAsia="宋体"/>
                <w:highlight w:val="yellow"/>
              </w:rPr>
            </w:pPr>
            <w:r>
              <w:rPr>
                <w:rFonts w:hint="eastAsia" w:ascii="宋体" w:hAnsi="宋体" w:eastAsia="宋体"/>
                <w:highlight w:val="yellow"/>
              </w:rPr>
              <w:t>其中 N（分）：投标报价权重分值，为40分；</w:t>
            </w:r>
          </w:p>
          <w:p>
            <w:pPr>
              <w:spacing w:line="360" w:lineRule="auto"/>
              <w:rPr>
                <w:rFonts w:hint="eastAsia" w:ascii="宋体" w:hAnsi="宋体" w:eastAsia="宋体"/>
                <w:highlight w:val="yellow"/>
              </w:rPr>
            </w:pPr>
            <w:r>
              <w:rPr>
                <w:rFonts w:hint="eastAsia" w:ascii="宋体" w:hAnsi="宋体" w:eastAsia="宋体"/>
                <w:highlight w:val="yellow"/>
              </w:rPr>
              <w:t>P：投标文件通过初步评审的有效投标报价费率；</w:t>
            </w:r>
          </w:p>
          <w:p>
            <w:pPr>
              <w:spacing w:line="360" w:lineRule="auto"/>
              <w:rPr>
                <w:rFonts w:hint="eastAsia" w:ascii="宋体" w:hAnsi="宋体" w:eastAsia="宋体"/>
                <w:highlight w:val="yellow"/>
              </w:rPr>
            </w:pPr>
            <w:r>
              <w:rPr>
                <w:rFonts w:hint="eastAsia" w:ascii="宋体" w:hAnsi="宋体" w:eastAsia="宋体"/>
                <w:highlight w:val="yellow"/>
              </w:rPr>
              <w:t>Q：评标基准费率；</w:t>
            </w:r>
          </w:p>
          <w:p>
            <w:pPr>
              <w:spacing w:line="360" w:lineRule="auto"/>
              <w:rPr>
                <w:rFonts w:hint="eastAsia" w:ascii="宋体" w:hAnsi="宋体" w:eastAsia="宋体"/>
                <w:highlight w:val="yellow"/>
              </w:rPr>
            </w:pPr>
            <w:r>
              <w:rPr>
                <w:rFonts w:hint="eastAsia" w:ascii="宋体" w:hAnsi="宋体" w:eastAsia="宋体"/>
                <w:highlight w:val="yellow"/>
              </w:rPr>
              <w:t xml:space="preserve">F：偏离扣分分值，当P≥Q，F=0.4；当P＜Q，F=0.2。 </w:t>
            </w:r>
          </w:p>
          <w:p>
            <w:pPr>
              <w:spacing w:line="360" w:lineRule="auto"/>
              <w:rPr>
                <w:rFonts w:hint="eastAsia" w:ascii="宋体" w:hAnsi="宋体" w:eastAsia="宋体"/>
                <w:highlight w:val="yellow"/>
              </w:rPr>
            </w:pPr>
            <w:r>
              <w:rPr>
                <w:rFonts w:hint="eastAsia" w:ascii="宋体" w:hAnsi="宋体" w:eastAsia="宋体"/>
                <w:highlight w:val="yellow"/>
              </w:rPr>
              <w:t>注：（1）计算值按四舍五入法保留两位有效小数，第三位小数四舍五入。</w:t>
            </w:r>
          </w:p>
          <w:p>
            <w:pPr>
              <w:spacing w:line="360" w:lineRule="auto"/>
              <w:rPr>
                <w:rFonts w:hint="eastAsia" w:ascii="宋体" w:hAnsi="宋体" w:eastAsia="宋体"/>
                <w:highlight w:val="yellow"/>
              </w:rPr>
            </w:pPr>
            <w:r>
              <w:rPr>
                <w:rFonts w:hint="eastAsia" w:ascii="宋体" w:hAnsi="宋体" w:eastAsia="宋体"/>
                <w:highlight w:val="yellow"/>
              </w:rPr>
              <w:t>（2）本项最高分40分。</w:t>
            </w:r>
          </w:p>
          <w:p>
            <w:pPr>
              <w:spacing w:line="360" w:lineRule="auto"/>
              <w:rPr>
                <w:rFonts w:ascii="宋体" w:hAnsi="宋体" w:eastAsia="宋体"/>
                <w:highlight w:val="yellow"/>
              </w:rPr>
            </w:pPr>
            <w:r>
              <w:rPr>
                <w:rFonts w:hint="eastAsia" w:ascii="宋体" w:hAnsi="宋体" w:eastAsia="宋体"/>
                <w:highlight w:val="yellow"/>
              </w:rPr>
              <w:t>（3）除计算错误外，评标基准费率不因招投标当事人质疑、投诉、复议以及其它任何情形而改变。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80" w:type="pct"/>
            <w:vMerge w:val="restart"/>
            <w:vAlign w:val="center"/>
          </w:tcPr>
          <w:p>
            <w:pPr>
              <w:spacing w:line="360" w:lineRule="auto"/>
              <w:jc w:val="center"/>
              <w:rPr>
                <w:rFonts w:ascii="宋体" w:hAnsi="宋体" w:eastAsia="宋体"/>
                <w:szCs w:val="21"/>
              </w:rPr>
            </w:pPr>
            <w:r>
              <w:rPr>
                <w:rFonts w:ascii="宋体" w:hAnsi="宋体" w:eastAsia="宋体"/>
                <w:szCs w:val="21"/>
              </w:rPr>
              <w:t>商务得分</w:t>
            </w:r>
            <w:r>
              <w:rPr>
                <w:rFonts w:hint="eastAsia" w:ascii="宋体" w:hAnsi="宋体" w:eastAsia="宋体"/>
                <w:szCs w:val="21"/>
              </w:rPr>
              <w:t>（</w:t>
            </w:r>
            <w:r>
              <w:rPr>
                <w:rFonts w:ascii="宋体" w:hAnsi="宋体" w:eastAsia="宋体"/>
                <w:szCs w:val="21"/>
              </w:rPr>
              <w:t>30分</w:t>
            </w:r>
            <w:r>
              <w:rPr>
                <w:rFonts w:hint="eastAsia" w:ascii="宋体" w:hAnsi="宋体" w:eastAsia="宋体"/>
                <w:szCs w:val="21"/>
              </w:rPr>
              <w:t>）</w:t>
            </w:r>
          </w:p>
        </w:tc>
        <w:tc>
          <w:tcPr>
            <w:tcW w:w="664" w:type="pct"/>
            <w:vMerge w:val="restart"/>
            <w:vAlign w:val="center"/>
          </w:tcPr>
          <w:p>
            <w:pPr>
              <w:spacing w:line="360" w:lineRule="auto"/>
              <w:jc w:val="center"/>
              <w:rPr>
                <w:rFonts w:ascii="宋体" w:hAnsi="宋体" w:eastAsia="宋体"/>
              </w:rPr>
            </w:pPr>
            <w:r>
              <w:rPr>
                <w:rFonts w:ascii="宋体" w:hAnsi="宋体" w:eastAsia="宋体"/>
              </w:rPr>
              <w:t>综合实力</w:t>
            </w:r>
          </w:p>
        </w:tc>
        <w:tc>
          <w:tcPr>
            <w:tcW w:w="299" w:type="pct"/>
            <w:tcBorders>
              <w:top w:val="nil"/>
            </w:tcBorders>
            <w:vAlign w:val="center"/>
          </w:tcPr>
          <w:p>
            <w:pPr>
              <w:spacing w:line="360" w:lineRule="auto"/>
              <w:jc w:val="center"/>
              <w:rPr>
                <w:rFonts w:ascii="宋体" w:hAnsi="宋体" w:eastAsia="宋体"/>
              </w:rPr>
            </w:pPr>
            <w:r>
              <w:rPr>
                <w:rFonts w:ascii="宋体" w:hAnsi="宋体" w:eastAsia="宋体"/>
              </w:rPr>
              <w:t>5</w:t>
            </w:r>
          </w:p>
        </w:tc>
        <w:tc>
          <w:tcPr>
            <w:tcW w:w="3357" w:type="pct"/>
            <w:tcBorders>
              <w:top w:val="nil"/>
            </w:tcBorders>
          </w:tcPr>
          <w:p>
            <w:pPr>
              <w:spacing w:line="360" w:lineRule="auto"/>
              <w:rPr>
                <w:rFonts w:ascii="宋体" w:hAnsi="宋体" w:eastAsia="宋体"/>
                <w:szCs w:val="21"/>
              </w:rPr>
            </w:pPr>
            <w:r>
              <w:rPr>
                <w:rFonts w:hint="eastAsia" w:ascii="宋体" w:hAnsi="宋体" w:eastAsia="宋体" w:cs="仿宋"/>
                <w:szCs w:val="21"/>
              </w:rPr>
              <w:t>投标人提供常驻人员不少于</w:t>
            </w:r>
            <w:r>
              <w:rPr>
                <w:rFonts w:hint="eastAsia" w:ascii="宋体" w:hAnsi="宋体" w:eastAsia="宋体" w:cs="仿宋"/>
                <w:szCs w:val="21"/>
                <w:lang w:val="en-US" w:eastAsia="zh-CN"/>
              </w:rPr>
              <w:t>2</w:t>
            </w:r>
            <w:r>
              <w:rPr>
                <w:rFonts w:hint="eastAsia" w:ascii="宋体" w:hAnsi="宋体" w:eastAsia="宋体" w:cs="仿宋"/>
                <w:szCs w:val="21"/>
              </w:rPr>
              <w:t>人的人员名单（提供社保证明，横向比较给分。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80" w:type="pct"/>
            <w:vMerge w:val="continue"/>
            <w:vAlign w:val="center"/>
          </w:tcPr>
          <w:p>
            <w:pPr>
              <w:spacing w:line="360" w:lineRule="auto"/>
              <w:jc w:val="center"/>
              <w:rPr>
                <w:rFonts w:ascii="宋体" w:hAnsi="宋体" w:eastAsia="宋体"/>
                <w:szCs w:val="21"/>
              </w:rPr>
            </w:pPr>
          </w:p>
        </w:tc>
        <w:tc>
          <w:tcPr>
            <w:tcW w:w="664" w:type="pct"/>
            <w:vMerge w:val="continue"/>
            <w:vAlign w:val="center"/>
          </w:tcPr>
          <w:p>
            <w:pPr>
              <w:snapToGrid w:val="0"/>
              <w:spacing w:line="360" w:lineRule="auto"/>
              <w:jc w:val="center"/>
              <w:rPr>
                <w:rFonts w:ascii="宋体" w:hAnsi="宋体" w:eastAsia="宋体"/>
              </w:rPr>
            </w:pPr>
          </w:p>
        </w:tc>
        <w:tc>
          <w:tcPr>
            <w:tcW w:w="299" w:type="pct"/>
            <w:vAlign w:val="center"/>
          </w:tcPr>
          <w:p>
            <w:pPr>
              <w:spacing w:line="360" w:lineRule="auto"/>
              <w:jc w:val="center"/>
              <w:rPr>
                <w:rFonts w:ascii="宋体" w:hAnsi="宋体" w:eastAsia="宋体"/>
              </w:rPr>
            </w:pPr>
            <w:r>
              <w:rPr>
                <w:rFonts w:ascii="宋体" w:hAnsi="宋体" w:eastAsia="宋体"/>
              </w:rPr>
              <w:t>4</w:t>
            </w:r>
          </w:p>
        </w:tc>
        <w:tc>
          <w:tcPr>
            <w:tcW w:w="3357" w:type="pct"/>
            <w:vAlign w:val="center"/>
          </w:tcPr>
          <w:p>
            <w:pPr>
              <w:spacing w:line="360" w:lineRule="auto"/>
              <w:jc w:val="left"/>
              <w:rPr>
                <w:rFonts w:ascii="宋体" w:hAnsi="宋体" w:eastAsia="宋体" w:cs="宋体"/>
                <w:kern w:val="0"/>
                <w:szCs w:val="21"/>
              </w:rPr>
            </w:pPr>
            <w:r>
              <w:rPr>
                <w:rFonts w:hint="eastAsia" w:ascii="宋体" w:hAnsi="宋体" w:eastAsia="宋体" w:cs="仿宋"/>
                <w:szCs w:val="21"/>
              </w:rPr>
              <w:t>投标人提供探漏相关的仪器、设备照片及证明（发票或其他可证明的资料），横向比较给分。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Merge w:val="continue"/>
            <w:vAlign w:val="center"/>
          </w:tcPr>
          <w:p>
            <w:pPr>
              <w:snapToGrid w:val="0"/>
              <w:spacing w:line="360" w:lineRule="auto"/>
              <w:jc w:val="center"/>
              <w:rPr>
                <w:rFonts w:ascii="宋体" w:hAnsi="宋体" w:eastAsia="宋体"/>
              </w:rPr>
            </w:pPr>
          </w:p>
        </w:tc>
        <w:tc>
          <w:tcPr>
            <w:tcW w:w="299" w:type="pct"/>
            <w:vAlign w:val="center"/>
          </w:tcPr>
          <w:p>
            <w:pPr>
              <w:spacing w:line="360" w:lineRule="auto"/>
              <w:jc w:val="center"/>
              <w:rPr>
                <w:rFonts w:ascii="宋体" w:hAnsi="宋体" w:eastAsia="宋体"/>
                <w:bCs/>
                <w:szCs w:val="21"/>
              </w:rPr>
            </w:pPr>
            <w:r>
              <w:rPr>
                <w:rFonts w:ascii="宋体" w:hAnsi="宋体" w:eastAsia="宋体"/>
                <w:bCs/>
                <w:szCs w:val="21"/>
              </w:rPr>
              <w:t>4</w:t>
            </w:r>
          </w:p>
        </w:tc>
        <w:tc>
          <w:tcPr>
            <w:tcW w:w="3357" w:type="pct"/>
            <w:vAlign w:val="center"/>
          </w:tcPr>
          <w:p>
            <w:pPr>
              <w:spacing w:line="360" w:lineRule="auto"/>
              <w:rPr>
                <w:rFonts w:ascii="宋体" w:hAnsi="宋体" w:eastAsia="宋体"/>
                <w:bCs/>
                <w:szCs w:val="21"/>
              </w:rPr>
            </w:pPr>
            <w:r>
              <w:rPr>
                <w:rFonts w:hint="eastAsia" w:ascii="宋体" w:hAnsi="宋体" w:eastAsia="宋体" w:cs="仿宋"/>
                <w:szCs w:val="21"/>
              </w:rPr>
              <w:t>投标人提供不少于2辆工程车辆（面包车或皮卡）行驶证、同地点照片（须体现为投标人所有或投标人法定代表人所有），横向比较给分。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Merge w:val="continue"/>
            <w:vAlign w:val="center"/>
          </w:tcPr>
          <w:p>
            <w:pPr>
              <w:snapToGrid w:val="0"/>
              <w:spacing w:line="360" w:lineRule="auto"/>
              <w:jc w:val="center"/>
              <w:rPr>
                <w:rFonts w:ascii="宋体" w:hAnsi="宋体" w:eastAsia="宋体"/>
              </w:rPr>
            </w:pPr>
          </w:p>
        </w:tc>
        <w:tc>
          <w:tcPr>
            <w:tcW w:w="299" w:type="pct"/>
            <w:vAlign w:val="center"/>
          </w:tcPr>
          <w:p>
            <w:pPr>
              <w:spacing w:line="360" w:lineRule="auto"/>
              <w:jc w:val="center"/>
              <w:rPr>
                <w:rFonts w:ascii="宋体" w:hAnsi="宋体" w:eastAsia="宋体"/>
                <w:bCs/>
                <w:szCs w:val="21"/>
              </w:rPr>
            </w:pPr>
            <w:r>
              <w:rPr>
                <w:rFonts w:ascii="宋体" w:hAnsi="宋体" w:eastAsia="宋体"/>
                <w:bCs/>
                <w:szCs w:val="21"/>
              </w:rPr>
              <w:t>2</w:t>
            </w:r>
          </w:p>
        </w:tc>
        <w:tc>
          <w:tcPr>
            <w:tcW w:w="3357" w:type="pct"/>
            <w:vAlign w:val="center"/>
          </w:tcPr>
          <w:p>
            <w:pPr>
              <w:spacing w:line="360" w:lineRule="auto"/>
              <w:rPr>
                <w:rFonts w:ascii="宋体" w:hAnsi="宋体" w:eastAsia="宋体" w:cs="仿宋"/>
                <w:szCs w:val="21"/>
              </w:rPr>
            </w:pPr>
            <w:r>
              <w:rPr>
                <w:rFonts w:hint="eastAsia" w:ascii="宋体" w:hAnsi="宋体" w:eastAsia="宋体" w:cs="仿宋"/>
                <w:szCs w:val="21"/>
              </w:rPr>
              <w:t>投标人提供</w:t>
            </w:r>
            <w:r>
              <w:rPr>
                <w:rStyle w:val="251"/>
                <w:rFonts w:cs="宋体"/>
              </w:rPr>
              <w:t>2</w:t>
            </w:r>
            <w:r>
              <w:rPr>
                <w:rStyle w:val="251"/>
                <w:rFonts w:hint="eastAsia" w:ascii="宋体" w:hAnsi="宋体" w:eastAsia="宋体" w:cs="宋体"/>
                <w:szCs w:val="21"/>
              </w:rPr>
              <w:t>项</w:t>
            </w:r>
            <w:bookmarkStart w:id="0" w:name="_Hlk135778090"/>
            <w:r>
              <w:rPr>
                <w:rStyle w:val="251"/>
                <w:rFonts w:hint="eastAsia" w:ascii="宋体" w:hAnsi="宋体" w:eastAsia="宋体" w:cs="宋体"/>
                <w:szCs w:val="21"/>
              </w:rPr>
              <w:t>国家知识产权局颁发的给排水相关发明专利证书</w:t>
            </w:r>
            <w:bookmarkEnd w:id="0"/>
            <w:r>
              <w:rPr>
                <w:rStyle w:val="251"/>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Merge w:val="continue"/>
            <w:vAlign w:val="center"/>
          </w:tcPr>
          <w:p>
            <w:pPr>
              <w:snapToGrid w:val="0"/>
              <w:spacing w:line="360" w:lineRule="auto"/>
              <w:jc w:val="center"/>
              <w:rPr>
                <w:rFonts w:ascii="宋体" w:hAnsi="宋体" w:eastAsia="宋体"/>
              </w:rPr>
            </w:pPr>
          </w:p>
        </w:tc>
        <w:tc>
          <w:tcPr>
            <w:tcW w:w="299" w:type="pct"/>
            <w:vAlign w:val="center"/>
          </w:tcPr>
          <w:p>
            <w:pPr>
              <w:spacing w:line="360" w:lineRule="auto"/>
              <w:jc w:val="center"/>
              <w:rPr>
                <w:rFonts w:ascii="宋体" w:hAnsi="宋体" w:eastAsia="宋体"/>
                <w:bCs/>
                <w:szCs w:val="21"/>
              </w:rPr>
            </w:pPr>
            <w:r>
              <w:rPr>
                <w:rFonts w:hint="eastAsia" w:ascii="宋体" w:hAnsi="宋体" w:eastAsia="宋体"/>
                <w:bCs/>
                <w:szCs w:val="21"/>
              </w:rPr>
              <w:t>2</w:t>
            </w:r>
          </w:p>
        </w:tc>
        <w:tc>
          <w:tcPr>
            <w:tcW w:w="3357" w:type="pct"/>
            <w:vAlign w:val="center"/>
          </w:tcPr>
          <w:p>
            <w:pPr>
              <w:spacing w:line="360" w:lineRule="auto"/>
              <w:rPr>
                <w:rFonts w:ascii="宋体" w:hAnsi="宋体" w:eastAsia="宋体" w:cs="仿宋"/>
                <w:szCs w:val="21"/>
              </w:rPr>
            </w:pPr>
            <w:r>
              <w:rPr>
                <w:rFonts w:hint="eastAsia" w:ascii="宋体" w:hAnsi="宋体" w:eastAsia="宋体" w:cs="仿宋"/>
                <w:szCs w:val="21"/>
              </w:rPr>
              <w:t>投标人提供有效期内的高新企业</w:t>
            </w:r>
            <w:r>
              <w:rPr>
                <w:rStyle w:val="251"/>
                <w:rFonts w:hint="eastAsia" w:ascii="宋体" w:hAnsi="宋体" w:eastAsia="宋体" w:cs="宋体"/>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Align w:val="center"/>
          </w:tcPr>
          <w:p>
            <w:pPr>
              <w:snapToGrid w:val="0"/>
              <w:spacing w:line="360" w:lineRule="auto"/>
              <w:jc w:val="center"/>
              <w:rPr>
                <w:rFonts w:ascii="宋体" w:hAnsi="宋体" w:eastAsia="宋体"/>
              </w:rPr>
            </w:pPr>
            <w:r>
              <w:rPr>
                <w:rFonts w:hint="eastAsia" w:ascii="宋体" w:hAnsi="宋体" w:eastAsia="宋体" w:cs="宋体"/>
                <w:color w:val="000000"/>
                <w:lang w:val="zh-CN"/>
              </w:rPr>
              <w:t>服</w:t>
            </w:r>
            <w:r>
              <w:rPr>
                <w:rFonts w:ascii="宋体" w:hAnsi="宋体" w:eastAsia="宋体" w:cs="宋体"/>
                <w:color w:val="000000"/>
                <w:lang w:val="zh-CN"/>
              </w:rPr>
              <w:t>务业绩</w:t>
            </w:r>
          </w:p>
        </w:tc>
        <w:tc>
          <w:tcPr>
            <w:tcW w:w="299" w:type="pct"/>
            <w:vAlign w:val="center"/>
          </w:tcPr>
          <w:p>
            <w:pPr>
              <w:spacing w:line="360" w:lineRule="auto"/>
              <w:jc w:val="center"/>
              <w:rPr>
                <w:rFonts w:ascii="宋体" w:hAnsi="宋体" w:eastAsia="宋体"/>
                <w:bCs/>
                <w:szCs w:val="21"/>
              </w:rPr>
            </w:pPr>
            <w:r>
              <w:rPr>
                <w:rFonts w:ascii="宋体" w:hAnsi="宋体" w:eastAsia="宋体" w:cs="宋体"/>
                <w:color w:val="000000"/>
                <w:lang w:val="zh-CN"/>
              </w:rPr>
              <w:t>10</w:t>
            </w:r>
          </w:p>
        </w:tc>
        <w:tc>
          <w:tcPr>
            <w:tcW w:w="3357" w:type="pct"/>
            <w:vAlign w:val="center"/>
          </w:tcPr>
          <w:p>
            <w:pPr>
              <w:spacing w:line="360" w:lineRule="auto"/>
              <w:rPr>
                <w:rFonts w:ascii="宋体" w:hAnsi="宋体" w:eastAsia="宋体" w:cs="宋体"/>
                <w:color w:val="000000"/>
                <w:lang w:val="zh-CN"/>
              </w:rPr>
            </w:pPr>
            <w:r>
              <w:rPr>
                <w:rFonts w:hint="eastAsia" w:ascii="宋体" w:hAnsi="宋体" w:eastAsia="宋体" w:cs="宋体"/>
                <w:color w:val="000000"/>
                <w:lang w:val="zh-CN"/>
              </w:rPr>
              <w:t>1、提供近3年（以投标截止日期倒算）与全国范围内供水能力大于20万m³/天供水企业签订的供水管网检漏合同。横向比较给分，最高得6分。</w:t>
            </w:r>
          </w:p>
          <w:p>
            <w:pPr>
              <w:spacing w:line="360" w:lineRule="auto"/>
              <w:rPr>
                <w:rFonts w:ascii="宋体" w:hAnsi="宋体" w:eastAsia="宋体" w:cs="仿宋"/>
                <w:szCs w:val="21"/>
              </w:rPr>
            </w:pPr>
            <w:r>
              <w:rPr>
                <w:rFonts w:hint="eastAsia" w:ascii="宋体" w:hAnsi="宋体" w:eastAsia="宋体" w:cs="宋体"/>
                <w:color w:val="000000"/>
                <w:lang w:val="zh-CN"/>
              </w:rPr>
              <w:t>2、提供近3年（以投标截止日期倒算）内供水企业对检漏队伍的评价。（评价主要从配合度、探漏效果、管理规范性等方面进行论述）横向比较给分，最高得</w:t>
            </w:r>
            <w:r>
              <w:rPr>
                <w:rFonts w:ascii="宋体" w:hAnsi="宋体" w:eastAsia="宋体" w:cs="宋体"/>
                <w:color w:val="000000"/>
                <w:lang w:val="zh-CN"/>
              </w:rPr>
              <w:t>4</w:t>
            </w:r>
            <w:r>
              <w:rPr>
                <w:rFonts w:hint="eastAsia" w:ascii="宋体" w:hAnsi="宋体" w:eastAsia="宋体" w:cs="宋体"/>
                <w:color w:val="000000"/>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Align w:val="center"/>
          </w:tcPr>
          <w:p>
            <w:pPr>
              <w:snapToGrid w:val="0"/>
              <w:spacing w:line="360" w:lineRule="auto"/>
              <w:jc w:val="center"/>
              <w:rPr>
                <w:rFonts w:ascii="宋体" w:hAnsi="宋体" w:eastAsia="宋体"/>
              </w:rPr>
            </w:pPr>
            <w:r>
              <w:rPr>
                <w:rFonts w:hint="eastAsia" w:ascii="宋体" w:hAnsi="宋体" w:eastAsia="宋体" w:cs="仿宋"/>
                <w:szCs w:val="21"/>
              </w:rPr>
              <w:t>商</w:t>
            </w:r>
            <w:r>
              <w:rPr>
                <w:rFonts w:ascii="宋体" w:hAnsi="宋体" w:eastAsia="宋体" w:cs="仿宋"/>
                <w:szCs w:val="21"/>
              </w:rPr>
              <w:t>务条款响应</w:t>
            </w:r>
          </w:p>
        </w:tc>
        <w:tc>
          <w:tcPr>
            <w:tcW w:w="299" w:type="pct"/>
            <w:vAlign w:val="center"/>
          </w:tcPr>
          <w:p>
            <w:pPr>
              <w:spacing w:line="360" w:lineRule="auto"/>
              <w:jc w:val="center"/>
              <w:rPr>
                <w:rFonts w:ascii="宋体" w:hAnsi="宋体" w:eastAsia="宋体"/>
                <w:bCs/>
                <w:szCs w:val="21"/>
              </w:rPr>
            </w:pPr>
            <w:r>
              <w:rPr>
                <w:rFonts w:ascii="宋体" w:hAnsi="宋体" w:eastAsia="宋体" w:cs="宋体"/>
                <w:color w:val="000000"/>
                <w:lang w:val="zh-CN"/>
              </w:rPr>
              <w:t>3</w:t>
            </w:r>
          </w:p>
        </w:tc>
        <w:tc>
          <w:tcPr>
            <w:tcW w:w="3357" w:type="pct"/>
            <w:vAlign w:val="center"/>
          </w:tcPr>
          <w:p>
            <w:pPr>
              <w:spacing w:line="360" w:lineRule="auto"/>
              <w:rPr>
                <w:rFonts w:ascii="宋体" w:hAnsi="宋体" w:eastAsia="宋体" w:cs="仿宋"/>
                <w:szCs w:val="21"/>
              </w:rPr>
            </w:pPr>
            <w:r>
              <w:rPr>
                <w:rFonts w:hint="eastAsia" w:ascii="宋体" w:hAnsi="宋体" w:eastAsia="宋体"/>
                <w:szCs w:val="21"/>
              </w:rPr>
              <w:t>按</w:t>
            </w:r>
            <w:r>
              <w:rPr>
                <w:rFonts w:ascii="宋体" w:hAnsi="宋体" w:eastAsia="宋体"/>
                <w:szCs w:val="21"/>
              </w:rPr>
              <w:t>商务</w:t>
            </w:r>
            <w:r>
              <w:rPr>
                <w:rFonts w:hint="eastAsia" w:ascii="宋体" w:hAnsi="宋体" w:eastAsia="宋体"/>
                <w:szCs w:val="21"/>
              </w:rPr>
              <w:t>要求条款响应情</w:t>
            </w:r>
            <w:r>
              <w:rPr>
                <w:rFonts w:ascii="宋体" w:hAnsi="宋体" w:eastAsia="宋体"/>
                <w:szCs w:val="21"/>
              </w:rPr>
              <w:t>况</w:t>
            </w:r>
            <w:r>
              <w:rPr>
                <w:rFonts w:hint="eastAsia" w:ascii="宋体" w:hAnsi="宋体" w:eastAsia="宋体"/>
                <w:szCs w:val="21"/>
              </w:rPr>
              <w:t>，横向比较打分。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80" w:type="pct"/>
            <w:vMerge w:val="restart"/>
            <w:vAlign w:val="center"/>
          </w:tcPr>
          <w:p>
            <w:pPr>
              <w:spacing w:line="360" w:lineRule="auto"/>
              <w:jc w:val="center"/>
              <w:rPr>
                <w:rStyle w:val="213"/>
                <w:rFonts w:ascii="宋体" w:hAnsi="宋体" w:eastAsia="宋体"/>
                <w:bCs/>
                <w:szCs w:val="21"/>
              </w:rPr>
            </w:pPr>
            <w:r>
              <w:rPr>
                <w:rStyle w:val="213"/>
                <w:rFonts w:hint="eastAsia" w:ascii="宋体" w:hAnsi="宋体" w:eastAsia="宋体"/>
                <w:bCs/>
                <w:szCs w:val="21"/>
              </w:rPr>
              <w:t>技术得分</w:t>
            </w:r>
          </w:p>
          <w:p>
            <w:pPr>
              <w:spacing w:line="360" w:lineRule="auto"/>
              <w:jc w:val="center"/>
              <w:rPr>
                <w:rStyle w:val="213"/>
                <w:rFonts w:ascii="宋体" w:hAnsi="宋体" w:eastAsia="宋体"/>
                <w:bCs/>
                <w:szCs w:val="21"/>
              </w:rPr>
            </w:pPr>
            <w:r>
              <w:rPr>
                <w:rStyle w:val="213"/>
                <w:rFonts w:hint="eastAsia" w:ascii="宋体" w:hAnsi="宋体" w:eastAsia="宋体"/>
                <w:bCs/>
                <w:szCs w:val="21"/>
              </w:rPr>
              <w:t>（3</w:t>
            </w:r>
            <w:r>
              <w:rPr>
                <w:rStyle w:val="213"/>
                <w:rFonts w:ascii="宋体" w:hAnsi="宋体" w:eastAsia="宋体"/>
                <w:bCs/>
                <w:szCs w:val="21"/>
              </w:rPr>
              <w:t>0</w:t>
            </w:r>
            <w:r>
              <w:rPr>
                <w:rStyle w:val="213"/>
                <w:rFonts w:hint="eastAsia" w:ascii="宋体" w:hAnsi="宋体" w:eastAsia="宋体"/>
                <w:bCs/>
                <w:szCs w:val="21"/>
              </w:rPr>
              <w:t>分）</w:t>
            </w:r>
          </w:p>
        </w:tc>
        <w:tc>
          <w:tcPr>
            <w:tcW w:w="664" w:type="pct"/>
            <w:vAlign w:val="center"/>
          </w:tcPr>
          <w:p>
            <w:pPr>
              <w:snapToGrid w:val="0"/>
              <w:spacing w:line="360" w:lineRule="auto"/>
              <w:jc w:val="center"/>
              <w:rPr>
                <w:rFonts w:ascii="宋体" w:hAnsi="宋体" w:eastAsia="宋体"/>
                <w:szCs w:val="21"/>
              </w:rPr>
            </w:pPr>
            <w:r>
              <w:rPr>
                <w:rFonts w:hint="eastAsia" w:ascii="宋体" w:hAnsi="宋体" w:eastAsia="宋体" w:cs="仿宋"/>
                <w:szCs w:val="21"/>
              </w:rPr>
              <w:t>探漏实施方案</w:t>
            </w:r>
          </w:p>
        </w:tc>
        <w:tc>
          <w:tcPr>
            <w:tcW w:w="299" w:type="pct"/>
            <w:vAlign w:val="center"/>
          </w:tcPr>
          <w:p>
            <w:pPr>
              <w:spacing w:line="360" w:lineRule="auto"/>
              <w:jc w:val="center"/>
              <w:rPr>
                <w:rFonts w:ascii="宋体" w:hAnsi="宋体" w:eastAsia="宋体"/>
                <w:szCs w:val="21"/>
              </w:rPr>
            </w:pPr>
            <w:r>
              <w:rPr>
                <w:rFonts w:ascii="宋体" w:hAnsi="宋体" w:eastAsia="宋体"/>
                <w:szCs w:val="21"/>
              </w:rPr>
              <w:t>8</w:t>
            </w:r>
          </w:p>
        </w:tc>
        <w:tc>
          <w:tcPr>
            <w:tcW w:w="3357" w:type="pct"/>
            <w:vAlign w:val="center"/>
          </w:tcPr>
          <w:p>
            <w:pPr>
              <w:spacing w:line="360" w:lineRule="auto"/>
              <w:rPr>
                <w:rFonts w:ascii="宋体" w:hAnsi="宋体" w:eastAsia="宋体"/>
                <w:szCs w:val="21"/>
              </w:rPr>
            </w:pPr>
            <w:r>
              <w:rPr>
                <w:rFonts w:hint="eastAsia" w:ascii="宋体" w:hAnsi="宋体" w:eastAsia="宋体" w:cs="仿宋"/>
                <w:szCs w:val="21"/>
              </w:rPr>
              <w:t>针对供水管网探漏的实施方案，具有合理性、完整详实性，现状熟悉、设计及方案制作，进度计划和保障措施，施工技术实力和管理经验，</w:t>
            </w:r>
            <w:r>
              <w:rPr>
                <w:rFonts w:hint="eastAsia" w:ascii="宋体" w:hAnsi="宋体" w:eastAsia="宋体" w:cs="宋体"/>
                <w:color w:val="000000"/>
                <w:lang w:val="zh-CN"/>
              </w:rPr>
              <w:t>横向比较给分。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Align w:val="center"/>
          </w:tcPr>
          <w:p>
            <w:pPr>
              <w:snapToGrid w:val="0"/>
              <w:spacing w:line="360" w:lineRule="auto"/>
              <w:jc w:val="center"/>
              <w:rPr>
                <w:rFonts w:ascii="宋体" w:hAnsi="宋体" w:eastAsia="宋体" w:cs="仿宋"/>
                <w:szCs w:val="21"/>
              </w:rPr>
            </w:pPr>
            <w:r>
              <w:rPr>
                <w:rFonts w:hint="eastAsia" w:ascii="宋体" w:hAnsi="宋体" w:eastAsia="宋体" w:cs="仿宋"/>
                <w:szCs w:val="21"/>
              </w:rPr>
              <w:t>探漏作业计划</w:t>
            </w:r>
          </w:p>
        </w:tc>
        <w:tc>
          <w:tcPr>
            <w:tcW w:w="299" w:type="pct"/>
            <w:vAlign w:val="center"/>
          </w:tcPr>
          <w:p>
            <w:pPr>
              <w:spacing w:line="360" w:lineRule="auto"/>
              <w:jc w:val="center"/>
              <w:rPr>
                <w:rFonts w:ascii="宋体" w:hAnsi="宋体" w:eastAsia="宋体"/>
                <w:szCs w:val="21"/>
              </w:rPr>
            </w:pPr>
            <w:r>
              <w:rPr>
                <w:rFonts w:ascii="宋体" w:hAnsi="宋体" w:eastAsia="宋体"/>
                <w:szCs w:val="21"/>
              </w:rPr>
              <w:t>8</w:t>
            </w:r>
          </w:p>
        </w:tc>
        <w:tc>
          <w:tcPr>
            <w:tcW w:w="3357" w:type="pct"/>
            <w:vAlign w:val="center"/>
          </w:tcPr>
          <w:p>
            <w:pPr>
              <w:spacing w:line="360" w:lineRule="auto"/>
              <w:rPr>
                <w:rFonts w:ascii="宋体" w:hAnsi="宋体" w:eastAsia="宋体" w:cs="仿宋"/>
                <w:szCs w:val="21"/>
              </w:rPr>
            </w:pPr>
            <w:r>
              <w:rPr>
                <w:rFonts w:hint="eastAsia" w:ascii="宋体" w:hAnsi="宋体" w:eastAsia="宋体" w:cs="仿宋"/>
                <w:szCs w:val="21"/>
              </w:rPr>
              <w:t>投标人的探漏作业计划安排合理（计划安排、是否成立专门的项目小组、时间进度安排是否合理、工程进度是否有详细的区域或道路等描述），</w:t>
            </w:r>
            <w:r>
              <w:rPr>
                <w:rFonts w:hint="eastAsia" w:ascii="宋体" w:hAnsi="宋体" w:eastAsia="宋体" w:cs="宋体"/>
                <w:color w:val="000000"/>
                <w:lang w:val="zh-CN"/>
              </w:rPr>
              <w:t>横向比较给分</w:t>
            </w:r>
            <w:r>
              <w:rPr>
                <w:rFonts w:hint="eastAsia" w:ascii="宋体" w:hAnsi="宋体" w:eastAsia="宋体"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Align w:val="center"/>
          </w:tcPr>
          <w:p>
            <w:pPr>
              <w:snapToGrid w:val="0"/>
              <w:spacing w:line="360" w:lineRule="auto"/>
              <w:jc w:val="center"/>
              <w:rPr>
                <w:rFonts w:ascii="宋体" w:hAnsi="宋体" w:eastAsia="宋体" w:cs="宋体"/>
                <w:color w:val="000000"/>
                <w:lang w:val="zh-CN"/>
              </w:rPr>
            </w:pPr>
            <w:r>
              <w:rPr>
                <w:rFonts w:hint="eastAsia" w:ascii="宋体" w:hAnsi="宋体" w:eastAsia="宋体" w:cs="仿宋"/>
                <w:szCs w:val="21"/>
              </w:rPr>
              <w:t>技术要求</w:t>
            </w:r>
          </w:p>
        </w:tc>
        <w:tc>
          <w:tcPr>
            <w:tcW w:w="299" w:type="pct"/>
            <w:vAlign w:val="center"/>
          </w:tcPr>
          <w:p>
            <w:pPr>
              <w:spacing w:line="360" w:lineRule="auto"/>
              <w:jc w:val="center"/>
              <w:rPr>
                <w:rFonts w:ascii="宋体" w:hAnsi="宋体" w:eastAsia="宋体"/>
                <w:szCs w:val="21"/>
              </w:rPr>
            </w:pPr>
            <w:r>
              <w:rPr>
                <w:rFonts w:ascii="宋体" w:hAnsi="宋体" w:eastAsia="宋体"/>
                <w:szCs w:val="21"/>
              </w:rPr>
              <w:t>12</w:t>
            </w:r>
          </w:p>
        </w:tc>
        <w:tc>
          <w:tcPr>
            <w:tcW w:w="3357" w:type="pct"/>
            <w:vAlign w:val="center"/>
          </w:tcPr>
          <w:p>
            <w:pPr>
              <w:spacing w:line="360" w:lineRule="auto"/>
              <w:rPr>
                <w:rFonts w:ascii="宋体" w:hAnsi="宋体" w:eastAsia="宋体" w:cs="仿宋"/>
                <w:szCs w:val="21"/>
              </w:rPr>
            </w:pPr>
            <w:r>
              <w:rPr>
                <w:rFonts w:hint="eastAsia" w:ascii="宋体" w:hAnsi="宋体" w:eastAsia="宋体" w:cs="仿宋"/>
                <w:szCs w:val="21"/>
              </w:rPr>
              <w:t>1、提供探漏漏点确认照片（开挖前定位照片与开挖后照片），同一管材的只算一份，横向比较给分，最高得</w:t>
            </w:r>
            <w:r>
              <w:rPr>
                <w:rFonts w:ascii="宋体" w:hAnsi="宋体" w:eastAsia="宋体" w:cs="仿宋"/>
                <w:szCs w:val="21"/>
              </w:rPr>
              <w:t>4</w:t>
            </w:r>
            <w:r>
              <w:rPr>
                <w:rFonts w:hint="eastAsia" w:ascii="宋体" w:hAnsi="宋体" w:eastAsia="宋体" w:cs="仿宋"/>
                <w:szCs w:val="21"/>
              </w:rPr>
              <w:t>分。</w:t>
            </w:r>
          </w:p>
          <w:p>
            <w:pPr>
              <w:spacing w:line="360" w:lineRule="auto"/>
              <w:rPr>
                <w:rFonts w:ascii="宋体" w:hAnsi="宋体" w:eastAsia="宋体" w:cs="仿宋"/>
                <w:szCs w:val="21"/>
              </w:rPr>
            </w:pPr>
            <w:r>
              <w:rPr>
                <w:rFonts w:hint="eastAsia" w:ascii="宋体" w:hAnsi="宋体" w:eastAsia="宋体" w:cs="仿宋"/>
                <w:szCs w:val="21"/>
              </w:rPr>
              <w:t>2、漏水点定位准确率≥90%，定位精度≤1.0m；（与供水企业签署的检漏合同中有明确要求的得2分）</w:t>
            </w:r>
          </w:p>
          <w:p>
            <w:pPr>
              <w:spacing w:line="360" w:lineRule="auto"/>
              <w:rPr>
                <w:rFonts w:ascii="宋体" w:hAnsi="宋体" w:eastAsia="宋体" w:cs="仿宋"/>
                <w:szCs w:val="21"/>
              </w:rPr>
            </w:pPr>
            <w:r>
              <w:rPr>
                <w:rFonts w:hint="eastAsia" w:ascii="宋体" w:hAnsi="宋体" w:eastAsia="宋体" w:cs="仿宋"/>
                <w:szCs w:val="21"/>
              </w:rPr>
              <w:t>3、提供漏水点清单（包含详细位置、材质、管径、漏水原因、埋深、漏量等信息）。（横向比较给分，最高得</w:t>
            </w:r>
            <w:r>
              <w:rPr>
                <w:rFonts w:ascii="宋体" w:hAnsi="宋体" w:eastAsia="宋体" w:cs="仿宋"/>
                <w:szCs w:val="21"/>
              </w:rPr>
              <w:t>2</w:t>
            </w:r>
            <w:r>
              <w:rPr>
                <w:rFonts w:hint="eastAsia" w:ascii="宋体" w:hAnsi="宋体" w:eastAsia="宋体" w:cs="仿宋"/>
                <w:szCs w:val="21"/>
              </w:rPr>
              <w:t>分）</w:t>
            </w:r>
          </w:p>
          <w:p>
            <w:pPr>
              <w:spacing w:line="360" w:lineRule="auto"/>
              <w:rPr>
                <w:rFonts w:ascii="宋体" w:hAnsi="宋体" w:eastAsia="宋体" w:cs="宋体"/>
                <w:color w:val="000000"/>
                <w:lang w:val="zh-CN"/>
              </w:rPr>
            </w:pPr>
            <w:r>
              <w:rPr>
                <w:rFonts w:hint="eastAsia" w:ascii="宋体" w:hAnsi="宋体" w:eastAsia="宋体" w:cs="仿宋"/>
                <w:szCs w:val="21"/>
              </w:rPr>
              <w:t>4、提供探漏分析总结报告。（提供探漏工作完成后的总结分析报告，横向比较给分，最高得4分）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0" w:type="pct"/>
            <w:vMerge w:val="continue"/>
            <w:vAlign w:val="center"/>
          </w:tcPr>
          <w:p>
            <w:pPr>
              <w:spacing w:line="360" w:lineRule="auto"/>
              <w:jc w:val="center"/>
              <w:rPr>
                <w:rStyle w:val="213"/>
                <w:rFonts w:ascii="宋体" w:hAnsi="宋体" w:eastAsia="宋体"/>
                <w:bCs/>
                <w:szCs w:val="21"/>
              </w:rPr>
            </w:pPr>
          </w:p>
        </w:tc>
        <w:tc>
          <w:tcPr>
            <w:tcW w:w="664" w:type="pct"/>
            <w:vAlign w:val="center"/>
          </w:tcPr>
          <w:p>
            <w:pPr>
              <w:snapToGrid w:val="0"/>
              <w:spacing w:line="360" w:lineRule="auto"/>
              <w:jc w:val="center"/>
              <w:rPr>
                <w:rFonts w:ascii="宋体" w:hAnsi="宋体" w:eastAsia="宋体" w:cs="仿宋"/>
                <w:szCs w:val="21"/>
              </w:rPr>
            </w:pPr>
            <w:r>
              <w:rPr>
                <w:rFonts w:hint="eastAsia" w:ascii="宋体" w:hAnsi="宋体" w:eastAsia="宋体" w:cs="仿宋"/>
                <w:szCs w:val="21"/>
              </w:rPr>
              <w:t>技</w:t>
            </w:r>
            <w:r>
              <w:rPr>
                <w:rFonts w:ascii="宋体" w:hAnsi="宋体" w:eastAsia="宋体" w:cs="仿宋"/>
                <w:szCs w:val="21"/>
              </w:rPr>
              <w:t>术条款响应</w:t>
            </w:r>
          </w:p>
        </w:tc>
        <w:tc>
          <w:tcPr>
            <w:tcW w:w="299" w:type="pct"/>
            <w:vAlign w:val="center"/>
          </w:tcPr>
          <w:p>
            <w:pPr>
              <w:spacing w:line="360" w:lineRule="auto"/>
              <w:jc w:val="center"/>
              <w:rPr>
                <w:rFonts w:ascii="宋体" w:hAnsi="宋体" w:eastAsia="宋体"/>
                <w:szCs w:val="21"/>
              </w:rPr>
            </w:pPr>
            <w:r>
              <w:rPr>
                <w:rFonts w:ascii="宋体" w:hAnsi="宋体" w:eastAsia="宋体"/>
                <w:szCs w:val="21"/>
              </w:rPr>
              <w:t>2</w:t>
            </w:r>
          </w:p>
        </w:tc>
        <w:tc>
          <w:tcPr>
            <w:tcW w:w="3357" w:type="pct"/>
            <w:vAlign w:val="center"/>
          </w:tcPr>
          <w:p>
            <w:pPr>
              <w:spacing w:line="360" w:lineRule="auto"/>
              <w:rPr>
                <w:rFonts w:ascii="宋体" w:hAnsi="宋体" w:eastAsia="宋体" w:cs="仿宋"/>
                <w:szCs w:val="21"/>
              </w:rPr>
            </w:pPr>
            <w:r>
              <w:rPr>
                <w:rFonts w:hint="eastAsia" w:ascii="宋体" w:hAnsi="宋体" w:eastAsia="宋体"/>
                <w:szCs w:val="21"/>
              </w:rPr>
              <w:t>按技</w:t>
            </w:r>
            <w:r>
              <w:rPr>
                <w:rFonts w:ascii="宋体" w:hAnsi="宋体" w:eastAsia="宋体"/>
                <w:szCs w:val="21"/>
              </w:rPr>
              <w:t>术</w:t>
            </w:r>
            <w:r>
              <w:rPr>
                <w:rFonts w:hint="eastAsia" w:ascii="宋体" w:hAnsi="宋体" w:eastAsia="宋体"/>
                <w:szCs w:val="21"/>
              </w:rPr>
              <w:t>要求条款响应情</w:t>
            </w:r>
            <w:r>
              <w:rPr>
                <w:rFonts w:ascii="宋体" w:hAnsi="宋体" w:eastAsia="宋体"/>
                <w:szCs w:val="21"/>
              </w:rPr>
              <w:t>况</w:t>
            </w:r>
            <w:r>
              <w:rPr>
                <w:rFonts w:hint="eastAsia" w:ascii="宋体" w:hAnsi="宋体" w:eastAsia="宋体"/>
                <w:szCs w:val="21"/>
              </w:rPr>
              <w:t>，横向比较打分。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80" w:type="pct"/>
            <w:vAlign w:val="center"/>
          </w:tcPr>
          <w:p>
            <w:pPr>
              <w:spacing w:line="360" w:lineRule="auto"/>
              <w:jc w:val="center"/>
              <w:rPr>
                <w:rStyle w:val="213"/>
                <w:rFonts w:ascii="宋体" w:hAnsi="宋体" w:eastAsia="宋体"/>
                <w:bCs/>
                <w:szCs w:val="21"/>
              </w:rPr>
            </w:pPr>
            <w:r>
              <w:rPr>
                <w:rFonts w:hint="eastAsia" w:ascii="宋体" w:hAnsi="宋体" w:eastAsia="宋体" w:cs="宋体"/>
                <w:szCs w:val="21"/>
              </w:rPr>
              <w:t>综合得分</w:t>
            </w:r>
            <w:r>
              <w:rPr>
                <w:rStyle w:val="213"/>
                <w:rFonts w:hint="eastAsia" w:ascii="宋体" w:hAnsi="宋体" w:eastAsia="宋体"/>
                <w:bCs/>
                <w:szCs w:val="21"/>
              </w:rPr>
              <w:t>总分</w:t>
            </w:r>
          </w:p>
        </w:tc>
        <w:tc>
          <w:tcPr>
            <w:tcW w:w="4320" w:type="pct"/>
            <w:gridSpan w:val="3"/>
            <w:vAlign w:val="center"/>
          </w:tcPr>
          <w:p>
            <w:pPr>
              <w:pStyle w:val="26"/>
              <w:spacing w:line="360" w:lineRule="auto"/>
              <w:jc w:val="left"/>
              <w:rPr>
                <w:rStyle w:val="213"/>
                <w:rFonts w:hAnsi="宋体"/>
                <w:bCs/>
                <w:sz w:val="21"/>
                <w:szCs w:val="21"/>
              </w:rPr>
            </w:pPr>
            <w:r>
              <w:rPr>
                <w:rFonts w:hint="eastAsia" w:hAnsi="宋体" w:cs="宋体"/>
                <w:sz w:val="21"/>
                <w:szCs w:val="21"/>
              </w:rPr>
              <w:t>综合得分</w:t>
            </w:r>
            <w:r>
              <w:rPr>
                <w:rStyle w:val="213"/>
                <w:rFonts w:hint="eastAsia" w:hAnsi="宋体" w:cs="宋体"/>
                <w:sz w:val="21"/>
                <w:szCs w:val="21"/>
              </w:rPr>
              <w:t>总分=价格得分+技术得分+商务得分</w:t>
            </w:r>
          </w:p>
        </w:tc>
      </w:tr>
    </w:tbl>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1.每一项的得分均不能超过该项最高分值。</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缺项则该项为0分或不合格为0分。</w:t>
      </w:r>
    </w:p>
    <w:p>
      <w:pPr>
        <w:spacing w:line="360" w:lineRule="auto"/>
        <w:rPr>
          <w:rFonts w:ascii="宋体" w:hAnsi="宋体" w:eastAsia="宋体" w:cs="宋体"/>
          <w:snapToGrid w:val="0"/>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3.综合以上分</w:t>
      </w:r>
      <w:r>
        <w:rPr>
          <w:rFonts w:hint="eastAsia" w:ascii="宋体" w:hAnsi="宋体" w:eastAsia="宋体" w:cs="宋体"/>
          <w:snapToGrid w:val="0"/>
          <w:color w:val="000000" w:themeColor="text1"/>
          <w:kern w:val="0"/>
          <w:szCs w:val="21"/>
          <w14:textFill>
            <w14:solidFill>
              <w14:schemeClr w14:val="tx1"/>
            </w14:solidFill>
          </w14:textFill>
        </w:rPr>
        <w:t>析比较，评标小组将对各投标文件进行书面的量化评定，得分四舍五入精确到小数点后两位。</w:t>
      </w:r>
    </w:p>
    <w:p>
      <w:pPr>
        <w:keepNext/>
        <w:jc w:val="center"/>
        <w:outlineLvl w:val="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br w:type="page"/>
      </w:r>
    </w:p>
    <w:p>
      <w:pPr>
        <w:spacing w:line="360" w:lineRule="auto"/>
        <w:jc w:val="center"/>
        <w:outlineLvl w:val="0"/>
        <w:rPr>
          <w:rFonts w:ascii="宋体" w:hAnsi="宋体" w:eastAsia="宋体" w:cs="宋体"/>
          <w:b/>
          <w:sz w:val="28"/>
          <w:szCs w:val="28"/>
        </w:rPr>
      </w:pPr>
      <w:r>
        <w:rPr>
          <w:rFonts w:hint="eastAsia" w:ascii="宋体" w:hAnsi="宋体" w:eastAsia="宋体" w:cs="宋体"/>
          <w:b/>
          <w:sz w:val="28"/>
          <w:szCs w:val="28"/>
        </w:rPr>
        <w:t>第四章  合同主要条款</w:t>
      </w:r>
    </w:p>
    <w:p>
      <w:pPr>
        <w:tabs>
          <w:tab w:val="left" w:pos="7560"/>
        </w:tabs>
        <w:spacing w:line="360" w:lineRule="auto"/>
        <w:jc w:val="center"/>
        <w:rPr>
          <w:rFonts w:ascii="宋体" w:hAnsi="宋体" w:eastAsia="宋体"/>
          <w:b/>
          <w:sz w:val="28"/>
          <w:szCs w:val="28"/>
        </w:rPr>
      </w:pPr>
    </w:p>
    <w:p>
      <w:pPr>
        <w:tabs>
          <w:tab w:val="left" w:pos="7560"/>
        </w:tabs>
        <w:spacing w:line="360" w:lineRule="auto"/>
        <w:jc w:val="center"/>
        <w:rPr>
          <w:rFonts w:ascii="宋体" w:hAnsi="宋体" w:eastAsia="宋体"/>
          <w:b/>
          <w:sz w:val="28"/>
          <w:szCs w:val="28"/>
        </w:rPr>
      </w:pPr>
      <w:r>
        <w:rPr>
          <w:rFonts w:hint="eastAsia" w:ascii="宋体" w:hAnsi="宋体" w:eastAsia="宋体"/>
          <w:b/>
          <w:sz w:val="28"/>
          <w:szCs w:val="28"/>
        </w:rPr>
        <w:t>（仅供参考，以招标人最终格式为准）</w:t>
      </w:r>
    </w:p>
    <w:p>
      <w:pPr>
        <w:spacing w:after="240" w:afterLines="100" w:line="360" w:lineRule="auto"/>
        <w:ind w:left="420"/>
        <w:jc w:val="center"/>
        <w:rPr>
          <w:rFonts w:ascii="宋体" w:hAnsi="宋体" w:eastAsia="宋体"/>
          <w:szCs w:val="21"/>
        </w:rPr>
      </w:pPr>
      <w:r>
        <w:rPr>
          <w:rFonts w:hint="eastAsia" w:ascii="宋体" w:hAnsi="宋体" w:eastAsia="宋体"/>
          <w:szCs w:val="21"/>
        </w:rPr>
        <w:t>合同（协</w:t>
      </w:r>
      <w:r>
        <w:rPr>
          <w:rFonts w:ascii="宋体" w:hAnsi="宋体" w:eastAsia="宋体"/>
          <w:szCs w:val="21"/>
        </w:rPr>
        <w:t>议</w:t>
      </w:r>
      <w:r>
        <w:rPr>
          <w:rFonts w:hint="eastAsia" w:ascii="宋体" w:hAnsi="宋体" w:eastAsia="宋体"/>
          <w:szCs w:val="21"/>
        </w:rPr>
        <w:t>）编号：</w:t>
      </w:r>
    </w:p>
    <w:p>
      <w:pPr>
        <w:widowControl/>
        <w:spacing w:line="360" w:lineRule="auto"/>
        <w:jc w:val="left"/>
        <w:rPr>
          <w:rFonts w:ascii="宋体" w:hAnsi="宋体" w:eastAsia="宋体"/>
          <w:szCs w:val="21"/>
        </w:rPr>
      </w:pPr>
      <w:r>
        <w:rPr>
          <w:rFonts w:hint="eastAsia" w:ascii="宋体" w:hAnsi="宋体" w:eastAsia="宋体"/>
          <w:szCs w:val="21"/>
        </w:rPr>
        <w:t>甲方：（招标人</w:t>
      </w:r>
      <w:r>
        <w:rPr>
          <w:rFonts w:ascii="宋体" w:hAnsi="宋体" w:eastAsia="宋体"/>
          <w:szCs w:val="21"/>
        </w:rPr>
        <w:t>/用户单位）</w:t>
      </w:r>
    </w:p>
    <w:p>
      <w:pPr>
        <w:spacing w:after="120" w:afterLines="50" w:line="360" w:lineRule="auto"/>
        <w:ind w:firstLine="105" w:firstLineChars="50"/>
        <w:rPr>
          <w:rFonts w:ascii="宋体" w:hAnsi="宋体" w:eastAsia="宋体"/>
          <w:szCs w:val="21"/>
        </w:rPr>
      </w:pPr>
      <w:r>
        <w:rPr>
          <w:rFonts w:hint="eastAsia" w:ascii="宋体" w:hAnsi="宋体" w:eastAsia="宋体"/>
          <w:szCs w:val="21"/>
        </w:rPr>
        <w:t>乙方：（中标人</w:t>
      </w:r>
      <w:r>
        <w:rPr>
          <w:rFonts w:ascii="宋体" w:hAnsi="宋体" w:eastAsia="宋体"/>
          <w:szCs w:val="21"/>
        </w:rPr>
        <w:t>/供应方）</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签订日期：</w:t>
      </w:r>
      <w:r>
        <w:rPr>
          <w:rFonts w:ascii="宋体" w:hAnsi="宋体" w:eastAsia="宋体"/>
          <w:szCs w:val="21"/>
        </w:rPr>
        <w:t xml:space="preserve">        </w:t>
      </w: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w:t>
      </w:r>
    </w:p>
    <w:p>
      <w:pPr>
        <w:widowControl/>
        <w:spacing w:line="360" w:lineRule="auto"/>
        <w:jc w:val="left"/>
        <w:rPr>
          <w:rFonts w:ascii="宋体" w:hAnsi="宋体" w:eastAsia="宋体"/>
          <w:szCs w:val="21"/>
        </w:rPr>
      </w:pPr>
    </w:p>
    <w:p>
      <w:pPr>
        <w:spacing w:line="360" w:lineRule="auto"/>
        <w:ind w:firstLine="422"/>
        <w:rPr>
          <w:rFonts w:ascii="宋体" w:hAnsi="宋体" w:eastAsia="宋体" w:cs="宋体"/>
          <w:szCs w:val="21"/>
        </w:rPr>
      </w:pPr>
      <w:r>
        <w:rPr>
          <w:rFonts w:hint="eastAsia" w:ascii="宋体" w:hAnsi="宋体" w:eastAsia="宋体" w:cs="宋体"/>
          <w:szCs w:val="21"/>
        </w:rPr>
        <w:t>根据</w:t>
      </w:r>
      <w:r>
        <w:rPr>
          <w:rFonts w:hint="eastAsia" w:ascii="宋体" w:hAnsi="宋体" w:eastAsia="宋体"/>
          <w:szCs w:val="21"/>
        </w:rPr>
        <w:t>《中华人民共和国招标投标法》、</w:t>
      </w:r>
      <w:r>
        <w:rPr>
          <w:rFonts w:hint="eastAsia" w:ascii="宋体" w:hAnsi="宋体" w:eastAsia="宋体" w:cs="宋体"/>
          <w:szCs w:val="21"/>
        </w:rPr>
        <w:t>《中华人民共和国民法典》有关规定及招标文件、经甲方认可的投标文件的要求，</w:t>
      </w:r>
      <w:r>
        <w:rPr>
          <w:rFonts w:hint="eastAsia" w:ascii="宋体" w:hAnsi="宋体" w:eastAsia="宋体" w:cs="宋体"/>
          <w:kern w:val="28"/>
          <w:szCs w:val="21"/>
        </w:rPr>
        <w:t>经甲乙双方友好协商，</w:t>
      </w:r>
      <w:r>
        <w:rPr>
          <w:rFonts w:hint="eastAsia" w:ascii="宋体" w:hAnsi="宋体" w:eastAsia="宋体" w:cs="宋体"/>
          <w:szCs w:val="21"/>
        </w:rPr>
        <w:t>本着平等互利和诚实信用的原则，</w:t>
      </w:r>
      <w:r>
        <w:rPr>
          <w:rFonts w:hint="eastAsia" w:ascii="宋体" w:hAnsi="宋体" w:eastAsia="宋体" w:cs="宋体"/>
          <w:kern w:val="28"/>
          <w:szCs w:val="21"/>
        </w:rPr>
        <w:t>一致同意签订本合同如下。</w:t>
      </w:r>
    </w:p>
    <w:p>
      <w:pPr>
        <w:spacing w:line="360" w:lineRule="auto"/>
        <w:rPr>
          <w:rFonts w:ascii="宋体" w:hAnsi="宋体" w:eastAsia="宋体" w:cs="宋体"/>
          <w:b/>
          <w:sz w:val="24"/>
        </w:rPr>
      </w:pPr>
      <w:r>
        <w:rPr>
          <w:rFonts w:hint="eastAsia" w:ascii="宋体" w:hAnsi="宋体" w:eastAsia="宋体" w:cs="宋体"/>
          <w:b/>
          <w:sz w:val="24"/>
        </w:rPr>
        <w:t>第一条：名称</w:t>
      </w:r>
    </w:p>
    <w:p>
      <w:pPr>
        <w:spacing w:line="360" w:lineRule="auto"/>
        <w:ind w:firstLine="480" w:firstLineChars="200"/>
        <w:rPr>
          <w:rFonts w:ascii="宋体" w:hAnsi="宋体" w:eastAsia="宋体" w:cs="宋体"/>
          <w:sz w:val="24"/>
        </w:rPr>
      </w:pPr>
      <w:r>
        <w:rPr>
          <w:rFonts w:hint="eastAsia" w:ascii="宋体" w:hAnsi="宋体" w:eastAsia="宋体" w:cs="宋体"/>
          <w:sz w:val="24"/>
        </w:rPr>
        <w:t>2022-2024年度原特区内供水管网检漏年度服务</w:t>
      </w:r>
    </w:p>
    <w:p>
      <w:pPr>
        <w:spacing w:line="360" w:lineRule="auto"/>
        <w:rPr>
          <w:rFonts w:ascii="宋体" w:hAnsi="宋体" w:eastAsia="宋体" w:cs="宋体"/>
          <w:b/>
          <w:sz w:val="24"/>
        </w:rPr>
      </w:pPr>
      <w:r>
        <w:rPr>
          <w:rFonts w:hint="eastAsia" w:ascii="宋体" w:hAnsi="宋体" w:eastAsia="宋体" w:cs="宋体"/>
          <w:b/>
          <w:sz w:val="24"/>
        </w:rPr>
        <w:t>第二条：协议内容</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、乙方负责勘察甲方原特区内供水管网漏水情况，对供水管网进行漏水综合评价分析，并确定漏点位置及漏量，服务期为</w:t>
      </w:r>
      <w:r>
        <w:rPr>
          <w:rFonts w:hint="eastAsia" w:ascii="宋体" w:hAnsi="宋体" w:eastAsia="宋体"/>
          <w:color w:val="000000"/>
          <w:sz w:val="24"/>
        </w:rPr>
        <w:t>壹</w:t>
      </w:r>
      <w:r>
        <w:rPr>
          <w:rFonts w:hint="eastAsia" w:ascii="宋体" w:hAnsi="宋体" w:eastAsia="宋体" w:cs="宋体"/>
          <w:sz w:val="24"/>
        </w:rPr>
        <w:t>年，包含南山区（含前海）、福田区、罗湖区（含莲塘）和盐田区供水管线(包含市政及小区自然村)以及原水管、中水管等压力管的日常探漏、定点等。</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、乙方实施本项目须参照执行我国现行行业标准《城市供水管网漏损控制及评定标准》（CJJ92-2002）、探测工程执行《城市地下管线探测技术规程》(GJJ61-2003)内有关规定。</w:t>
      </w:r>
    </w:p>
    <w:p>
      <w:pPr>
        <w:spacing w:line="360" w:lineRule="auto"/>
        <w:ind w:firstLine="480" w:firstLineChars="200"/>
        <w:rPr>
          <w:rFonts w:ascii="宋体" w:hAnsi="宋体" w:eastAsia="宋体" w:cs="宋体"/>
          <w:sz w:val="24"/>
        </w:rPr>
      </w:pPr>
      <w:r>
        <w:rPr>
          <w:rFonts w:hint="eastAsia" w:ascii="宋体" w:hAnsi="宋体" w:eastAsia="宋体" w:cs="宋体"/>
          <w:sz w:val="24"/>
        </w:rPr>
        <w:t>3、乙方须严格遵守甲方各项安全管理制度及《安全生产管理制度》、《设备管理制度》等，保证人身及仪器安全。</w:t>
      </w:r>
    </w:p>
    <w:p>
      <w:pPr>
        <w:spacing w:line="360" w:lineRule="auto"/>
        <w:rPr>
          <w:rFonts w:ascii="宋体" w:hAnsi="宋体" w:eastAsia="宋体" w:cs="宋体"/>
          <w:b/>
          <w:sz w:val="24"/>
        </w:rPr>
      </w:pPr>
      <w:r>
        <w:rPr>
          <w:rFonts w:hint="eastAsia" w:ascii="宋体" w:hAnsi="宋体" w:eastAsia="宋体" w:cs="宋体"/>
          <w:b/>
          <w:sz w:val="24"/>
        </w:rPr>
        <w:t>第三条：协议期限</w:t>
      </w:r>
    </w:p>
    <w:p>
      <w:pPr>
        <w:spacing w:line="360" w:lineRule="auto"/>
        <w:ind w:firstLine="480" w:firstLineChars="200"/>
        <w:rPr>
          <w:rFonts w:ascii="宋体" w:hAnsi="宋体" w:eastAsia="宋体" w:cs="宋体"/>
          <w:sz w:val="24"/>
        </w:rPr>
      </w:pPr>
      <w:r>
        <w:rPr>
          <w:rFonts w:hint="eastAsia" w:ascii="宋体" w:hAnsi="宋体" w:eastAsia="宋体" w:cs="宋体"/>
          <w:sz w:val="24"/>
        </w:rPr>
        <w:t>1、本协议期限为：自中标通知书发布之日起贰</w:t>
      </w:r>
      <w:r>
        <w:rPr>
          <w:rFonts w:ascii="宋体" w:hAnsi="宋体" w:eastAsia="宋体" w:cs="宋体"/>
          <w:sz w:val="24"/>
        </w:rPr>
        <w:t>年</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2、单价在服务期间原则上不再进行调整。</w:t>
      </w:r>
    </w:p>
    <w:p>
      <w:pPr>
        <w:spacing w:line="360" w:lineRule="auto"/>
        <w:rPr>
          <w:rFonts w:ascii="宋体" w:hAnsi="宋体" w:eastAsia="宋体" w:cs="宋体"/>
          <w:b/>
          <w:sz w:val="24"/>
        </w:rPr>
      </w:pPr>
      <w:r>
        <w:rPr>
          <w:rFonts w:hint="eastAsia" w:ascii="宋体" w:hAnsi="宋体" w:eastAsia="宋体" w:cs="宋体"/>
          <w:b/>
          <w:sz w:val="24"/>
        </w:rPr>
        <w:t>第四条：协议单价、运用、订单及结算方式</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（一）协议单价、运用、订单：</w:t>
      </w:r>
    </w:p>
    <w:p>
      <w:pPr>
        <w:pStyle w:val="56"/>
        <w:spacing w:line="360" w:lineRule="auto"/>
        <w:ind w:firstLineChars="0"/>
        <w:rPr>
          <w:rFonts w:ascii="宋体" w:hAnsi="宋体" w:cs="宋体"/>
          <w:sz w:val="24"/>
        </w:rPr>
      </w:pPr>
      <w:r>
        <w:rPr>
          <w:rFonts w:hint="eastAsia" w:ascii="宋体" w:hAnsi="宋体" w:cs="宋体"/>
          <w:sz w:val="24"/>
        </w:rPr>
        <w:t>1、合同单价采用固定单价：</w:t>
      </w:r>
      <w:r>
        <w:rPr>
          <w:rFonts w:hint="eastAsia" w:ascii="宋体" w:hAnsi="宋体" w:cs="宋体"/>
          <w:b/>
          <w:bCs/>
          <w:sz w:val="24"/>
        </w:rPr>
        <w:t>XXX</w:t>
      </w:r>
      <w:r>
        <w:rPr>
          <w:rFonts w:hint="eastAsia" w:ascii="宋体" w:hAnsi="宋体" w:cs="宋体"/>
          <w:b/>
          <w:sz w:val="24"/>
        </w:rPr>
        <w:t>元/m</w:t>
      </w:r>
      <w:r>
        <w:rPr>
          <w:rFonts w:hint="eastAsia" w:ascii="宋体" w:hAnsi="宋体" w:cs="宋体"/>
          <w:b/>
          <w:sz w:val="24"/>
          <w:vertAlign w:val="superscript"/>
        </w:rPr>
        <w:t>3</w:t>
      </w:r>
      <w:r>
        <w:rPr>
          <w:rFonts w:hint="eastAsia" w:ascii="宋体" w:hAnsi="宋体" w:cs="宋体"/>
          <w:b/>
          <w:sz w:val="24"/>
        </w:rPr>
        <w:t>·年</w:t>
      </w:r>
      <w:r>
        <w:rPr>
          <w:rFonts w:hint="eastAsia" w:ascii="宋体" w:hAnsi="宋体" w:cs="宋体"/>
          <w:sz w:val="24"/>
        </w:rPr>
        <w:t>(含税金费用，币种为人民币)。</w:t>
      </w:r>
    </w:p>
    <w:p>
      <w:pPr>
        <w:pStyle w:val="56"/>
        <w:spacing w:line="360" w:lineRule="auto"/>
        <w:ind w:firstLineChars="0"/>
        <w:rPr>
          <w:rFonts w:ascii="宋体" w:hAnsi="宋体" w:cs="宋体"/>
          <w:sz w:val="24"/>
        </w:rPr>
      </w:pPr>
      <w:r>
        <w:rPr>
          <w:rFonts w:hint="eastAsia" w:ascii="宋体" w:hAnsi="宋体" w:cs="宋体"/>
          <w:sz w:val="24"/>
        </w:rPr>
        <w:t>2、结算时按以下方式进行：</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（1）结算金额＝Q*24*365*中标单价。其中Q为甲方确认的实际测量水量（m³/h），按容积法测定水量，并按连续一年的漏量进行结算，币种采用人民币。</w:t>
      </w:r>
    </w:p>
    <w:p>
      <w:pPr>
        <w:spacing w:line="360" w:lineRule="auto"/>
        <w:ind w:firstLine="480" w:firstLineChars="200"/>
      </w:pPr>
      <w:r>
        <w:rPr>
          <w:rFonts w:hint="eastAsia" w:ascii="宋体" w:hAnsi="宋体" w:eastAsia="宋体" w:cs="宋体"/>
          <w:sz w:val="24"/>
          <w:szCs w:val="20"/>
        </w:rPr>
        <w:t>（2）3米内所有漏点按一个漏点计量结算，该漏点漏水量为3米内所有漏点中最大一个漏水点的漏水量。</w:t>
      </w:r>
    </w:p>
    <w:p>
      <w:pPr>
        <w:pStyle w:val="39"/>
        <w:numPr>
          <w:ilvl w:val="255"/>
          <w:numId w:val="0"/>
        </w:numPr>
        <w:spacing w:line="360" w:lineRule="auto"/>
        <w:ind w:firstLine="480" w:firstLineChars="200"/>
        <w:rPr>
          <w:rFonts w:cs="宋体"/>
          <w:szCs w:val="20"/>
          <w:lang w:eastAsia="zh-CN"/>
        </w:rPr>
      </w:pPr>
      <w:r>
        <w:rPr>
          <w:rFonts w:hint="eastAsia" w:ascii="宋体" w:hAnsi="宋体" w:cs="宋体"/>
          <w:szCs w:val="20"/>
          <w:lang w:eastAsia="zh-CN"/>
        </w:rPr>
        <w:t>（3）单点漏量上限：管径在DN50以上，漏水点的管材为PE、UPVC、ABS等塑料管及玻璃夹砂管的常规漏水点，单点封顶漏量为15m</w:t>
      </w:r>
      <w:r>
        <w:rPr>
          <w:rFonts w:hint="eastAsia" w:ascii="宋体" w:hAnsi="宋体" w:cs="宋体"/>
          <w:szCs w:val="20"/>
          <w:vertAlign w:val="superscript"/>
          <w:lang w:eastAsia="zh-CN"/>
        </w:rPr>
        <w:t>3</w:t>
      </w:r>
      <w:r>
        <w:rPr>
          <w:rFonts w:hint="eastAsia" w:ascii="宋体" w:hAnsi="宋体" w:cs="宋体"/>
          <w:szCs w:val="20"/>
          <w:lang w:eastAsia="zh-CN"/>
        </w:rPr>
        <w:t>/h；管径在DN50以上，除PE、UPVC、ABS等塑料管及玻璃夹砂管之外的常规漏水点，单点封顶漏量为50m</w:t>
      </w:r>
      <w:r>
        <w:rPr>
          <w:rFonts w:hint="eastAsia" w:ascii="宋体" w:hAnsi="宋体" w:cs="宋体"/>
          <w:szCs w:val="20"/>
          <w:vertAlign w:val="superscript"/>
          <w:lang w:eastAsia="zh-CN"/>
        </w:rPr>
        <w:t>3</w:t>
      </w:r>
      <w:r>
        <w:rPr>
          <w:rFonts w:hint="eastAsia" w:ascii="宋体" w:hAnsi="宋体" w:cs="宋体"/>
          <w:szCs w:val="20"/>
          <w:lang w:eastAsia="zh-CN"/>
        </w:rPr>
        <w:t>/h；管径在DN50及以下的常规漏水点不论管材类型，单点封顶漏量均为10m</w:t>
      </w:r>
      <w:r>
        <w:rPr>
          <w:rFonts w:hint="eastAsia" w:ascii="宋体" w:hAnsi="宋体" w:cs="宋体"/>
          <w:szCs w:val="20"/>
          <w:vertAlign w:val="superscript"/>
          <w:lang w:eastAsia="zh-CN"/>
        </w:rPr>
        <w:t>3</w:t>
      </w:r>
      <w:r>
        <w:rPr>
          <w:rFonts w:hint="eastAsia" w:ascii="宋体" w:hAnsi="宋体" w:cs="宋体"/>
          <w:szCs w:val="20"/>
          <w:lang w:eastAsia="zh-CN"/>
        </w:rPr>
        <w:t>/h。</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（4）乙方配合甲方进行管线、阀门定位等特殊点位为“定位”点，漏量统一按“2m³/h”结算。</w:t>
      </w:r>
    </w:p>
    <w:p>
      <w:pPr>
        <w:spacing w:line="360" w:lineRule="auto"/>
        <w:ind w:firstLine="480" w:firstLineChars="200"/>
        <w:rPr>
          <w:rFonts w:ascii="宋体" w:hAnsi="宋体" w:cs="宋体"/>
          <w:sz w:val="24"/>
        </w:rPr>
      </w:pPr>
      <w:r>
        <w:rPr>
          <w:rFonts w:hint="eastAsia" w:ascii="宋体" w:hAnsi="宋体" w:eastAsia="宋体" w:cs="宋体"/>
          <w:sz w:val="24"/>
          <w:szCs w:val="20"/>
        </w:rPr>
        <w:t>（5）</w:t>
      </w:r>
      <w:r>
        <w:rPr>
          <w:rFonts w:hint="eastAsia" w:ascii="宋体" w:hAnsi="宋体" w:eastAsia="宋体" w:cs="宋体"/>
          <w:color w:val="000000"/>
          <w:kern w:val="0"/>
          <w:sz w:val="24"/>
        </w:rPr>
        <w:t>甲方可通过向乙方发送订单或与乙方另行签订采购合同的方式实施具体采购，乙方应予以配合。甲方下属二级企业向乙方采购的，将根据本协议另行签订采购合同。</w:t>
      </w:r>
    </w:p>
    <w:p>
      <w:pPr>
        <w:pStyle w:val="24"/>
        <w:spacing w:line="360" w:lineRule="auto"/>
        <w:ind w:firstLine="480" w:firstLineChars="200"/>
        <w:rPr>
          <w:rFonts w:hAnsi="宋体"/>
          <w:color w:val="000000"/>
          <w:sz w:val="24"/>
          <w:szCs w:val="24"/>
        </w:rPr>
      </w:pPr>
      <w:r>
        <w:rPr>
          <w:rFonts w:hint="eastAsia" w:hAnsi="宋体"/>
          <w:color w:val="000000"/>
          <w:sz w:val="24"/>
          <w:szCs w:val="24"/>
        </w:rPr>
        <w:t>（6）乙方可定期向甲方申请支付合同价款（具体请款周期以甲方要求为准），乙方应提供等额的增值税普通发票，增值税税率为6%。甲方应在收到承包人的申请后30日内按相关内部规定进行合同价款审批和核付。</w:t>
      </w:r>
    </w:p>
    <w:p>
      <w:pPr>
        <w:pStyle w:val="24"/>
        <w:spacing w:line="360" w:lineRule="auto"/>
        <w:ind w:firstLine="480" w:firstLineChars="200"/>
        <w:rPr>
          <w:rFonts w:hAnsi="宋体"/>
          <w:color w:val="000000"/>
          <w:sz w:val="24"/>
          <w:szCs w:val="24"/>
        </w:rPr>
      </w:pPr>
      <w:r>
        <w:rPr>
          <w:rFonts w:hint="eastAsia" w:hAnsi="宋体"/>
          <w:color w:val="000000"/>
          <w:sz w:val="24"/>
          <w:szCs w:val="24"/>
        </w:rPr>
        <w:t>（7）不含增值税价格不因税率变化而变化，若在合同履行期间，如遇国家政策调整，根据政策变动情况甲方有权调整合同条款。</w:t>
      </w:r>
    </w:p>
    <w:p>
      <w:pPr>
        <w:pStyle w:val="24"/>
        <w:spacing w:line="360" w:lineRule="auto"/>
        <w:ind w:firstLine="480" w:firstLineChars="200"/>
        <w:rPr>
          <w:rFonts w:hAnsi="宋体"/>
          <w:color w:val="000000"/>
          <w:sz w:val="24"/>
          <w:szCs w:val="24"/>
        </w:rPr>
      </w:pPr>
      <w:r>
        <w:rPr>
          <w:rFonts w:hint="eastAsia" w:hAnsi="宋体"/>
          <w:color w:val="000000"/>
          <w:sz w:val="24"/>
        </w:rPr>
        <w:t>（8）双方因本协议发生的一切费用均以人民币结算及支付。</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（二）承包方式：</w:t>
      </w:r>
    </w:p>
    <w:p>
      <w:pPr>
        <w:pStyle w:val="24"/>
        <w:spacing w:line="360" w:lineRule="auto"/>
        <w:ind w:firstLine="480" w:firstLineChars="200"/>
        <w:rPr>
          <w:rFonts w:hAnsi="宋体"/>
          <w:color w:val="000000"/>
          <w:sz w:val="24"/>
          <w:szCs w:val="24"/>
        </w:rPr>
      </w:pPr>
      <w:r>
        <w:rPr>
          <w:rFonts w:hint="eastAsia" w:hAnsi="宋体"/>
          <w:color w:val="000000"/>
          <w:sz w:val="24"/>
          <w:szCs w:val="24"/>
        </w:rPr>
        <w:t>（1）乙方应制定检漏计划，服务期内，每年对甲方指定区域内地毯式全面检漏不少于8次，同时，对于甲方指定的重点检漏区域，应根据甲方要求增加检漏频次。要求检漏计划清晰合理、内容完整详实，明确进度计划和保障措施。乙方应按计划开展检漏工作，并梳理漏点信息，每季度汇总并形成分析总结报告。</w:t>
      </w:r>
    </w:p>
    <w:p>
      <w:pPr>
        <w:pStyle w:val="24"/>
        <w:spacing w:line="360" w:lineRule="auto"/>
        <w:ind w:firstLine="480" w:firstLineChars="200"/>
        <w:rPr>
          <w:rFonts w:hAnsi="宋体"/>
          <w:color w:val="000000"/>
          <w:sz w:val="24"/>
          <w:szCs w:val="24"/>
        </w:rPr>
      </w:pPr>
      <w:r>
        <w:rPr>
          <w:rFonts w:hint="eastAsia" w:hAnsi="宋体"/>
          <w:color w:val="000000"/>
          <w:sz w:val="24"/>
          <w:szCs w:val="24"/>
        </w:rPr>
        <w:t>（2）乙方须</w:t>
      </w:r>
      <w:r>
        <w:rPr>
          <w:rFonts w:hint="eastAsia" w:hAnsi="宋体"/>
          <w:sz w:val="24"/>
          <w:szCs w:val="24"/>
        </w:rPr>
        <w:t>包工包料、包安全措</w:t>
      </w:r>
      <w:r>
        <w:rPr>
          <w:rFonts w:hAnsi="宋体"/>
          <w:sz w:val="24"/>
          <w:szCs w:val="24"/>
        </w:rPr>
        <w:t>施费</w:t>
      </w:r>
      <w:r>
        <w:rPr>
          <w:rFonts w:hint="eastAsia" w:hAnsi="宋体"/>
          <w:sz w:val="24"/>
          <w:szCs w:val="24"/>
        </w:rPr>
        <w:t>。</w:t>
      </w:r>
      <w:r>
        <w:rPr>
          <w:rFonts w:hint="eastAsia" w:hAnsi="宋体"/>
          <w:color w:val="000000"/>
          <w:sz w:val="24"/>
          <w:szCs w:val="24"/>
        </w:rPr>
        <w:t>甲方负责的漏水点开挖及修复工程。属乙方误测或超过合同允许误差的，开挖及其他工程费用由乙方承担。</w:t>
      </w:r>
    </w:p>
    <w:p>
      <w:pPr>
        <w:spacing w:line="360" w:lineRule="auto"/>
        <w:rPr>
          <w:rFonts w:ascii="宋体" w:hAnsi="宋体" w:eastAsia="宋体" w:cs="宋体"/>
          <w:b/>
          <w:sz w:val="24"/>
        </w:rPr>
      </w:pPr>
      <w:r>
        <w:rPr>
          <w:rFonts w:hint="eastAsia" w:ascii="宋体" w:hAnsi="宋体" w:eastAsia="宋体" w:cs="宋体"/>
          <w:b/>
          <w:sz w:val="24"/>
        </w:rPr>
        <w:t>第五条：检漏服务要求和质量标准</w:t>
      </w:r>
    </w:p>
    <w:p>
      <w:pPr>
        <w:pStyle w:val="24"/>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漏水点分为常规漏水点和特殊漏水点。常规漏水点是指地表见不到任何漏水迹象，由乙方主动测漏的漏水点。特殊漏水点是指地表能见到漏水迹象但不能确定漏水点的准确位置，甲方要求乙方协助探测的漏点及阀门井内的各类漏水点。</w:t>
      </w:r>
    </w:p>
    <w:p>
      <w:pPr>
        <w:pStyle w:val="24"/>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、乙方须参照执行我国现行行业标准《城市供水管网漏损控制及评定标准》（CJJ92-2002）、探测工程执行《城市地下管线探测技术规程》(GJJ61-2003)内有关规定。</w:t>
      </w:r>
    </w:p>
    <w:p>
      <w:pPr>
        <w:pStyle w:val="24"/>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、漏水点定位准确率≥95％（漏点的定位准确率=提交漏点定位控制在±1.0米范围的个数/提交漏点总个数*100%）。</w:t>
      </w:r>
    </w:p>
    <w:p>
      <w:pPr>
        <w:pStyle w:val="24"/>
        <w:spacing w:line="360" w:lineRule="auto"/>
        <w:ind w:firstLine="480" w:firstLineChars="200"/>
        <w:rPr>
          <w:rFonts w:hAnsi="宋体"/>
          <w:color w:val="000000"/>
          <w:sz w:val="24"/>
          <w:szCs w:val="24"/>
        </w:rPr>
      </w:pPr>
      <w:r>
        <w:rPr>
          <w:rFonts w:hAnsi="宋体"/>
          <w:color w:val="000000"/>
          <w:sz w:val="24"/>
          <w:szCs w:val="24"/>
        </w:rPr>
        <w:t>4</w:t>
      </w:r>
      <w:r>
        <w:rPr>
          <w:rFonts w:hint="eastAsia" w:hAnsi="宋体"/>
          <w:color w:val="000000"/>
          <w:sz w:val="24"/>
          <w:szCs w:val="24"/>
        </w:rPr>
        <w:t>、漏点定位精度：水平定位中误差≤±1.0m（相对漏水点中心）,3.0米内所有漏点按其中最大一个漏点计量结算。</w:t>
      </w:r>
    </w:p>
    <w:p>
      <w:pPr>
        <w:pStyle w:val="24"/>
        <w:spacing w:line="360" w:lineRule="auto"/>
        <w:ind w:firstLine="480" w:firstLineChars="200"/>
        <w:rPr>
          <w:rFonts w:hAnsi="宋体"/>
          <w:color w:val="000000"/>
          <w:sz w:val="24"/>
          <w:szCs w:val="24"/>
        </w:rPr>
      </w:pPr>
      <w:r>
        <w:rPr>
          <w:rFonts w:hAnsi="宋体"/>
          <w:color w:val="000000"/>
          <w:sz w:val="24"/>
          <w:szCs w:val="24"/>
        </w:rPr>
        <w:t>5</w:t>
      </w:r>
      <w:r>
        <w:rPr>
          <w:rFonts w:hint="eastAsia" w:hAnsi="宋体"/>
          <w:color w:val="000000"/>
          <w:sz w:val="24"/>
          <w:szCs w:val="24"/>
        </w:rPr>
        <w:t>、单个漏水点漏量采用封顶形式计量，常规漏水点封顶量为50 m³/h。</w:t>
      </w:r>
    </w:p>
    <w:p>
      <w:pPr>
        <w:pStyle w:val="24"/>
        <w:spacing w:line="360" w:lineRule="auto"/>
        <w:ind w:firstLine="480" w:firstLineChars="200"/>
        <w:rPr>
          <w:rFonts w:hAnsi="宋体"/>
          <w:color w:val="000000"/>
          <w:sz w:val="24"/>
          <w:szCs w:val="24"/>
        </w:rPr>
      </w:pPr>
      <w:r>
        <w:rPr>
          <w:rFonts w:hAnsi="宋体"/>
          <w:color w:val="000000"/>
          <w:sz w:val="24"/>
          <w:szCs w:val="24"/>
        </w:rPr>
        <w:t>6</w:t>
      </w:r>
      <w:r>
        <w:rPr>
          <w:rFonts w:hint="eastAsia" w:hAnsi="宋体"/>
          <w:color w:val="000000"/>
          <w:sz w:val="24"/>
          <w:szCs w:val="24"/>
        </w:rPr>
        <w:t>、定点开挖，若定点超过误差范围，则开挖费用由乙方承担。</w:t>
      </w:r>
    </w:p>
    <w:p>
      <w:pPr>
        <w:pStyle w:val="24"/>
        <w:spacing w:line="360" w:lineRule="auto"/>
        <w:ind w:firstLine="480" w:firstLineChars="200"/>
        <w:rPr>
          <w:rFonts w:hAnsi="宋体"/>
          <w:color w:val="000000"/>
          <w:sz w:val="24"/>
          <w:szCs w:val="24"/>
        </w:rPr>
      </w:pPr>
      <w:r>
        <w:rPr>
          <w:rFonts w:hAnsi="宋体"/>
          <w:color w:val="000000"/>
          <w:sz w:val="24"/>
          <w:szCs w:val="24"/>
        </w:rPr>
        <w:t>7</w:t>
      </w:r>
      <w:r>
        <w:rPr>
          <w:rFonts w:hint="eastAsia" w:hAnsi="宋体"/>
          <w:color w:val="000000"/>
          <w:sz w:val="24"/>
          <w:szCs w:val="24"/>
        </w:rPr>
        <w:t>、乙方在施工前编制组织设计书，甲方审查同意后方可进入现场施工。</w:t>
      </w:r>
    </w:p>
    <w:p>
      <w:pPr>
        <w:pStyle w:val="24"/>
        <w:spacing w:line="360" w:lineRule="auto"/>
        <w:ind w:firstLine="480" w:firstLineChars="200"/>
        <w:rPr>
          <w:rFonts w:hAnsi="宋体"/>
          <w:color w:val="000000"/>
          <w:sz w:val="24"/>
          <w:szCs w:val="24"/>
        </w:rPr>
      </w:pPr>
      <w:r>
        <w:rPr>
          <w:rFonts w:hAnsi="宋体"/>
          <w:color w:val="000000"/>
          <w:sz w:val="24"/>
          <w:szCs w:val="24"/>
        </w:rPr>
        <w:t>8</w:t>
      </w:r>
      <w:r>
        <w:rPr>
          <w:rFonts w:hint="eastAsia" w:hAnsi="宋体"/>
          <w:color w:val="000000"/>
          <w:sz w:val="24"/>
          <w:szCs w:val="24"/>
        </w:rPr>
        <w:t>、乙方除采取包括传统听音巡检外，并进行内窥（QV)、地质雷达、示踪气体法等多种方法检漏作业。</w:t>
      </w:r>
    </w:p>
    <w:p>
      <w:pPr>
        <w:pStyle w:val="24"/>
        <w:spacing w:line="360" w:lineRule="auto"/>
        <w:ind w:firstLine="480" w:firstLineChars="200"/>
        <w:rPr>
          <w:rFonts w:hAnsi="宋体"/>
          <w:color w:val="000000"/>
          <w:sz w:val="24"/>
          <w:szCs w:val="24"/>
        </w:rPr>
      </w:pPr>
      <w:r>
        <w:rPr>
          <w:rFonts w:hAnsi="宋体"/>
          <w:color w:val="000000"/>
          <w:sz w:val="24"/>
          <w:szCs w:val="24"/>
        </w:rPr>
        <w:t>9</w:t>
      </w:r>
      <w:r>
        <w:rPr>
          <w:rFonts w:hint="eastAsia" w:hAnsi="宋体"/>
          <w:color w:val="000000"/>
          <w:sz w:val="24"/>
          <w:szCs w:val="24"/>
        </w:rPr>
        <w:t>、乙方探得漏点，应及时上报，定期提供报告单，并在工程结束后提交汇总的漏点报告单和报告。</w:t>
      </w:r>
    </w:p>
    <w:p>
      <w:pPr>
        <w:pStyle w:val="24"/>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0、乙方须严格遵守甲方各项安全管理制度及《安全生产管理制度》、《设备管理制度》等，保证人身及仪器安全。</w:t>
      </w:r>
    </w:p>
    <w:p>
      <w:pPr>
        <w:pStyle w:val="24"/>
        <w:spacing w:line="360" w:lineRule="auto"/>
        <w:ind w:firstLine="480" w:firstLineChars="200"/>
        <w:rPr>
          <w:rFonts w:hAnsi="宋体"/>
          <w:color w:val="000000"/>
          <w:sz w:val="24"/>
          <w:szCs w:val="24"/>
        </w:rPr>
      </w:pPr>
      <w:r>
        <w:rPr>
          <w:rFonts w:hAnsi="宋体"/>
          <w:color w:val="000000"/>
          <w:sz w:val="24"/>
          <w:szCs w:val="24"/>
        </w:rPr>
        <w:t>11</w:t>
      </w:r>
      <w:r>
        <w:rPr>
          <w:rFonts w:hint="eastAsia" w:hAnsi="宋体"/>
          <w:color w:val="000000"/>
          <w:sz w:val="24"/>
          <w:szCs w:val="24"/>
        </w:rPr>
        <w:t>、在协议执行时间过半后，甲方将对乙方探漏情况进行考核，若当期探漏数据（成果）较往年有明显差异或因探漏工作开展不力导致产销差率有明显上升的，甲方有权解除合同。</w:t>
      </w:r>
    </w:p>
    <w:p>
      <w:pPr>
        <w:pStyle w:val="24"/>
        <w:spacing w:line="360" w:lineRule="auto"/>
        <w:ind w:firstLine="480" w:firstLineChars="200"/>
        <w:rPr>
          <w:rFonts w:hAnsi="宋体"/>
          <w:color w:val="000000"/>
          <w:sz w:val="24"/>
          <w:szCs w:val="24"/>
        </w:rPr>
      </w:pPr>
      <w:r>
        <w:rPr>
          <w:rFonts w:hAnsi="宋体"/>
          <w:color w:val="000000"/>
          <w:sz w:val="24"/>
          <w:szCs w:val="24"/>
        </w:rPr>
        <w:t>12</w:t>
      </w:r>
      <w:r>
        <w:rPr>
          <w:rFonts w:hint="eastAsia" w:hAnsi="宋体"/>
          <w:color w:val="000000"/>
          <w:sz w:val="24"/>
          <w:szCs w:val="24"/>
        </w:rPr>
        <w:t>、甲方将对乙方的检漏进度和服务质量等合同履行情况进行监督和考核，考核成绩将作为下一轮预选服务商选取的重要参考条件。</w:t>
      </w:r>
    </w:p>
    <w:p>
      <w:pPr>
        <w:spacing w:line="360" w:lineRule="auto"/>
        <w:rPr>
          <w:rFonts w:ascii="宋体" w:hAnsi="宋体" w:eastAsia="宋体" w:cs="宋体"/>
          <w:b/>
          <w:sz w:val="24"/>
        </w:rPr>
      </w:pPr>
      <w:r>
        <w:rPr>
          <w:rFonts w:hint="eastAsia" w:ascii="宋体" w:hAnsi="宋体" w:eastAsia="宋体" w:cs="宋体"/>
          <w:b/>
          <w:sz w:val="24"/>
        </w:rPr>
        <w:t>第六条：检漏服务检查验收</w:t>
      </w:r>
    </w:p>
    <w:p>
      <w:pPr>
        <w:pStyle w:val="24"/>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、工程具备竣工验收条件，乙方按国家工程竣工验收有关规定及本协议具体要求，向甲方提供完整资料及验收报告，并在3天内提供详细数据报告。</w:t>
      </w:r>
    </w:p>
    <w:p>
      <w:pPr>
        <w:pStyle w:val="24"/>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、甲方收到验收报告后10天内组织对工程进行验收。</w:t>
      </w:r>
    </w:p>
    <w:p>
      <w:pPr>
        <w:pStyle w:val="24"/>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、甲方收到乙方送交的验收报告后10天内不组织验收，或验收后7天内不提出修改意见，视为验收报告已被认可。</w:t>
      </w:r>
    </w:p>
    <w:p>
      <w:pPr>
        <w:pStyle w:val="24"/>
        <w:spacing w:line="360" w:lineRule="auto"/>
        <w:ind w:firstLine="480" w:firstLineChars="200"/>
        <w:rPr>
          <w:rFonts w:hAnsi="宋体"/>
          <w:color w:val="000000"/>
          <w:sz w:val="24"/>
          <w:szCs w:val="24"/>
        </w:rPr>
      </w:pPr>
      <w:r>
        <w:rPr>
          <w:rFonts w:hAnsi="宋体"/>
          <w:color w:val="000000"/>
          <w:sz w:val="24"/>
          <w:szCs w:val="24"/>
        </w:rPr>
        <w:t>4</w:t>
      </w:r>
      <w:r>
        <w:rPr>
          <w:rFonts w:hint="eastAsia" w:hAnsi="宋体"/>
          <w:color w:val="000000"/>
          <w:sz w:val="24"/>
          <w:szCs w:val="24"/>
        </w:rPr>
        <w:t>、工程验收，以验收合格之日为实际完工日期。工程按甲方要求修改后通过验收的，实际完工日期为乙方修改后提请甲方的日期。</w:t>
      </w:r>
    </w:p>
    <w:p>
      <w:pPr>
        <w:spacing w:line="360" w:lineRule="auto"/>
        <w:rPr>
          <w:rFonts w:ascii="宋体" w:hAnsi="宋体" w:eastAsia="宋体" w:cs="宋体"/>
          <w:b/>
          <w:sz w:val="24"/>
        </w:rPr>
      </w:pPr>
      <w:r>
        <w:rPr>
          <w:rFonts w:hint="eastAsia" w:ascii="宋体" w:hAnsi="宋体" w:eastAsia="宋体" w:cs="宋体"/>
          <w:b/>
          <w:sz w:val="24"/>
        </w:rPr>
        <w:t>第七条：权利和义务</w:t>
      </w:r>
    </w:p>
    <w:p>
      <w:pPr>
        <w:pStyle w:val="24"/>
        <w:spacing w:line="360" w:lineRule="auto"/>
        <w:ind w:firstLine="482" w:firstLineChars="200"/>
        <w:rPr>
          <w:rFonts w:hAnsi="宋体"/>
          <w:b/>
          <w:bCs/>
          <w:sz w:val="24"/>
        </w:rPr>
      </w:pPr>
      <w:r>
        <w:rPr>
          <w:rFonts w:hint="eastAsia" w:hAnsi="宋体"/>
          <w:b/>
          <w:bCs/>
          <w:sz w:val="24"/>
        </w:rPr>
        <w:t>（一）项目经理</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（1）</w:t>
      </w:r>
      <w:r>
        <w:rPr>
          <w:rFonts w:hAnsi="宋体"/>
          <w:color w:val="000000"/>
          <w:sz w:val="24"/>
          <w:szCs w:val="24"/>
        </w:rPr>
        <w:t>乙方</w:t>
      </w:r>
      <w:r>
        <w:rPr>
          <w:rFonts w:hint="eastAsia" w:hAnsi="宋体"/>
          <w:color w:val="000000"/>
          <w:sz w:val="24"/>
          <w:szCs w:val="24"/>
        </w:rPr>
        <w:t>项目经理  姓名：XXXX，职务：XXXX 。</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（2）乙方如需更换项目经理，应至少提前7天以书面形式通知甲方，并征得甲方同意，后任继续行使合同文件约定的前任的职权，履行前任的义务。</w:t>
      </w:r>
    </w:p>
    <w:p>
      <w:pPr>
        <w:pStyle w:val="24"/>
        <w:spacing w:line="360" w:lineRule="auto"/>
        <w:ind w:firstLine="480" w:firstLineChars="200"/>
        <w:rPr>
          <w:rFonts w:hAnsi="宋体"/>
          <w:color w:val="000000"/>
          <w:sz w:val="24"/>
          <w:szCs w:val="24"/>
        </w:rPr>
      </w:pPr>
      <w:r>
        <w:rPr>
          <w:rFonts w:hint="eastAsia" w:hAnsi="宋体"/>
          <w:color w:val="000000"/>
          <w:sz w:val="24"/>
          <w:szCs w:val="24"/>
        </w:rPr>
        <w:t>（3）甲方认为项目经理难以完成乙方义务时，可以建议更换认为不称职的项目经理。</w:t>
      </w:r>
    </w:p>
    <w:p>
      <w:pPr>
        <w:pStyle w:val="24"/>
        <w:spacing w:line="360" w:lineRule="auto"/>
        <w:ind w:firstLine="482" w:firstLineChars="200"/>
        <w:rPr>
          <w:rFonts w:hAnsi="宋体"/>
          <w:b/>
          <w:bCs/>
          <w:sz w:val="24"/>
        </w:rPr>
      </w:pPr>
      <w:r>
        <w:rPr>
          <w:rFonts w:hint="eastAsia" w:hAnsi="宋体"/>
          <w:b/>
          <w:bCs/>
          <w:sz w:val="24"/>
        </w:rPr>
        <w:t>（二）具体工作</w:t>
      </w:r>
    </w:p>
    <w:p>
      <w:pPr>
        <w:pStyle w:val="24"/>
        <w:spacing w:line="360" w:lineRule="auto"/>
        <w:ind w:firstLine="480" w:firstLineChars="200"/>
        <w:rPr>
          <w:rFonts w:hAnsi="宋体"/>
          <w:color w:val="000000"/>
          <w:sz w:val="24"/>
        </w:rPr>
      </w:pPr>
      <w:r>
        <w:rPr>
          <w:rFonts w:hint="eastAsia" w:hAnsi="宋体"/>
          <w:color w:val="000000"/>
          <w:sz w:val="24"/>
        </w:rPr>
        <w:t>（1）乙方须服从甲方的检漏安排及轮换机制，人员投入须满足发包人的要求。一般情况下每分公司配备班组不少于2个，每个班组不少于3人，特殊情况按照招标人需求增加具有检漏作业能力的人员投入。</w:t>
      </w:r>
    </w:p>
    <w:p>
      <w:pPr>
        <w:pStyle w:val="24"/>
        <w:spacing w:line="360" w:lineRule="auto"/>
        <w:ind w:firstLine="480" w:firstLineChars="200"/>
        <w:rPr>
          <w:rFonts w:hAnsi="宋体"/>
          <w:color w:val="000000"/>
          <w:sz w:val="24"/>
          <w:szCs w:val="24"/>
        </w:rPr>
      </w:pPr>
      <w:r>
        <w:rPr>
          <w:rFonts w:hint="eastAsia" w:hAnsi="宋体"/>
          <w:color w:val="000000"/>
          <w:sz w:val="24"/>
        </w:rPr>
        <w:t>（2）乙方未经甲方同意，不得将本工程图纸转给第三人。工程完工后，除乙方存档需要的图纸外，应将其它全部图纸退还给甲方</w:t>
      </w:r>
      <w:r>
        <w:rPr>
          <w:rFonts w:hint="eastAsia" w:hAnsi="宋体"/>
          <w:color w:val="000000"/>
          <w:sz w:val="24"/>
          <w:szCs w:val="24"/>
        </w:rPr>
        <w:t>。</w:t>
      </w:r>
    </w:p>
    <w:p>
      <w:pPr>
        <w:pStyle w:val="24"/>
        <w:spacing w:line="360" w:lineRule="auto"/>
        <w:ind w:firstLine="480" w:firstLineChars="200"/>
        <w:rPr>
          <w:rFonts w:hAnsi="宋体"/>
          <w:color w:val="000000"/>
          <w:sz w:val="24"/>
          <w:szCs w:val="24"/>
        </w:rPr>
      </w:pPr>
      <w:r>
        <w:rPr>
          <w:rFonts w:hint="eastAsia" w:hAnsi="宋体"/>
          <w:color w:val="000000"/>
          <w:sz w:val="24"/>
          <w:szCs w:val="24"/>
        </w:rPr>
        <w:t xml:space="preserve">（3）乙方按约定的内容和时间完成以下工作： </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①向现场工程师（或甲方代表）提供工程进度计划及相应进度统计报表；</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②根据工程需要，提供施工作业使用的照明、围栏设施，并负责安全保卫；</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③遵守政府主管部门对施工作业场地交通、施工作业噪音以及安全生产等的管理规定，按规定办理有关手续；</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④严格遵守有关环境保护法律、法规，并按照环境监察审核工作要求；</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⑤做好施工作业场地地下管线和邻近建筑物、构筑物（包括文物保护建筑）、古树名木的保护工作。</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⑥保证场地清洁符合环境卫生管理的有关规定，承担因自身原因违反有关规定造成的损失和罚款。</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⑦严格按合同要求组织施工作业，确保工程质量。</w:t>
      </w:r>
    </w:p>
    <w:p>
      <w:pPr>
        <w:pStyle w:val="24"/>
        <w:spacing w:line="360" w:lineRule="auto"/>
        <w:ind w:firstLine="480" w:firstLineChars="200"/>
        <w:rPr>
          <w:rFonts w:hAnsi="宋体"/>
          <w:color w:val="000000"/>
          <w:sz w:val="24"/>
          <w:szCs w:val="24"/>
        </w:rPr>
      </w:pPr>
      <w:r>
        <w:rPr>
          <w:rFonts w:hint="eastAsia" w:hAnsi="宋体"/>
          <w:color w:val="000000"/>
          <w:sz w:val="24"/>
          <w:szCs w:val="24"/>
        </w:rPr>
        <w:t xml:space="preserve">⑧施工作业时不得影响甲方管网的正常运行，保证安全。因乙方对甲方管道造成损害，应由乙方赔偿甲方相关经济损失。 </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⑨</w:t>
      </w:r>
      <w:r>
        <w:rPr>
          <w:rFonts w:hint="eastAsia" w:hAnsi="宋体"/>
          <w:sz w:val="24"/>
          <w:szCs w:val="24"/>
        </w:rPr>
        <w:t>严格履行本合同标准及规范，</w:t>
      </w:r>
      <w:r>
        <w:rPr>
          <w:rFonts w:hint="eastAsia" w:hAnsi="宋体"/>
          <w:color w:val="000000"/>
          <w:sz w:val="24"/>
          <w:szCs w:val="24"/>
        </w:rPr>
        <w:t>漏点定位准确率确认低于95％部分其开挖费用由乙方承担（以本地区决算为依据）。</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⑩遵守甲方各项规章制度，在施工过程中发生安全事故，导致人员伤亡的，乙方承担所有法律赔偿责任。乙方应购买工程一切险和第三者责任险，并为自有人员购买意外保险。乙方在施工作业中应注意交通安全，一切事故责任自负。</w:t>
      </w:r>
    </w:p>
    <w:p>
      <w:pPr>
        <w:pStyle w:val="24"/>
        <w:spacing w:line="360" w:lineRule="auto"/>
        <w:ind w:firstLine="480" w:firstLineChars="200"/>
        <w:rPr>
          <w:rFonts w:hAnsi="宋体" w:cs="Times New Roman"/>
          <w:color w:val="000000"/>
          <w:sz w:val="24"/>
          <w:szCs w:val="24"/>
        </w:rPr>
      </w:pPr>
      <w:r>
        <w:rPr>
          <w:rFonts w:hAnsi="宋体"/>
          <w:color w:val="000000"/>
          <w:sz w:val="24"/>
          <w:szCs w:val="24"/>
        </w:rPr>
        <w:fldChar w:fldCharType="begin"/>
      </w:r>
      <w:r>
        <w:rPr>
          <w:rFonts w:hAnsi="宋体"/>
          <w:color w:val="000000"/>
          <w:sz w:val="24"/>
          <w:szCs w:val="24"/>
        </w:rPr>
        <w:instrText xml:space="preserve"> </w:instrText>
      </w:r>
      <w:r>
        <w:rPr>
          <w:rFonts w:hint="eastAsia" w:hAnsi="宋体"/>
          <w:color w:val="000000"/>
          <w:sz w:val="24"/>
          <w:szCs w:val="24"/>
        </w:rPr>
        <w:instrText xml:space="preserve">eq \o\ac(○,</w:instrText>
      </w:r>
      <w:r>
        <w:rPr>
          <w:rFonts w:hint="eastAsia" w:hAnsi="宋体"/>
          <w:color w:val="000000"/>
          <w:position w:val="2"/>
          <w:sz w:val="16"/>
          <w:szCs w:val="24"/>
        </w:rPr>
        <w:instrText xml:space="preserve">11</w:instrText>
      </w:r>
      <w:r>
        <w:rPr>
          <w:rFonts w:hint="eastAsia" w:hAnsi="宋体"/>
          <w:color w:val="000000"/>
          <w:sz w:val="24"/>
          <w:szCs w:val="24"/>
        </w:rPr>
        <w:instrText xml:space="preserve">)</w:instrText>
      </w:r>
      <w:r>
        <w:rPr>
          <w:rFonts w:hAnsi="宋体"/>
          <w:color w:val="000000"/>
          <w:sz w:val="24"/>
          <w:szCs w:val="24"/>
        </w:rPr>
        <w:fldChar w:fldCharType="end"/>
      </w:r>
      <w:r>
        <w:rPr>
          <w:rFonts w:hint="eastAsia" w:hAnsi="宋体"/>
          <w:color w:val="000000"/>
          <w:sz w:val="24"/>
          <w:szCs w:val="24"/>
        </w:rPr>
        <w:t>乙方未能履行本协议第七条中各项要求的，造成甲方损失的，乙方赔偿甲方有关损失。</w:t>
      </w:r>
    </w:p>
    <w:p>
      <w:pPr>
        <w:spacing w:line="360" w:lineRule="auto"/>
        <w:rPr>
          <w:rFonts w:ascii="宋体" w:hAnsi="宋体" w:eastAsia="宋体" w:cs="宋体"/>
          <w:b/>
          <w:sz w:val="24"/>
        </w:rPr>
      </w:pPr>
      <w:r>
        <w:rPr>
          <w:rFonts w:hint="eastAsia" w:ascii="宋体" w:hAnsi="宋体" w:eastAsia="宋体" w:cs="宋体"/>
          <w:b/>
          <w:sz w:val="24"/>
        </w:rPr>
        <w:t>第八条：安全作业</w:t>
      </w:r>
    </w:p>
    <w:p>
      <w:pPr>
        <w:pStyle w:val="24"/>
        <w:spacing w:line="360" w:lineRule="auto"/>
        <w:ind w:firstLine="482" w:firstLineChars="200"/>
        <w:rPr>
          <w:rFonts w:hAnsi="宋体"/>
          <w:b/>
          <w:bCs/>
          <w:sz w:val="24"/>
        </w:rPr>
      </w:pPr>
      <w:r>
        <w:rPr>
          <w:rFonts w:hint="eastAsia" w:hAnsi="宋体"/>
          <w:b/>
          <w:bCs/>
          <w:sz w:val="24"/>
        </w:rPr>
        <w:t>（一）安全施工作业与检查</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1）乙方应遵守工程建设安全生产有关管理规定，严格按安全标准组织施工作业，采取必要的安全防护措施，消除事故隐患，并随时接受行业安全检查人员依法实施的监督检查。由于乙方安全措施不力造成事故的责任和因此发生的费用，由乙方承担。</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（2）甲方应对在施工作业场地的本方工作人员进行安全教育，并对他们的安全负责。甲方不得要求乙方违反安全管理的规定进行施工作业。因甲方原因导致的安全事故，由甲方承担相应责任及发生的费用。</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（3）乙方应制定安全施工作业责任制，确定各级人员安全职责。</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（4）乙方应保持现场道路平整、坚实、畅通，危险地点应悬挂按照GB2893-82《安全色》和GB4378-84《安全标志》规定的标牌。</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（5）乙方夜间有人经过的坑、洞应设灯警示，现场道路应符合《工厂企业厂内运输安全规程》（GB4378-84）的规定。夜间施工作业时，尽量避开住宅小区或居住人群密集处，减少噪音对居民的影响。</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（6）所有施工作业人员作业时统一身着安全反光背心。</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（7）乙方注意人身安全，仪器设备的安全和保养。</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（8）乙方综合定点时一定要先探测清楚地下管线（特别是电缆、煤气等）状况。</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（9）所有井下施工作业必须先进行气体检测，证实安全后方可下井操作。</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（1</w:t>
      </w:r>
      <w:r>
        <w:rPr>
          <w:rFonts w:hAnsi="宋体"/>
          <w:color w:val="000000"/>
          <w:sz w:val="24"/>
          <w:szCs w:val="24"/>
        </w:rPr>
        <w:t>0</w:t>
      </w:r>
      <w:r>
        <w:rPr>
          <w:rFonts w:hint="eastAsia" w:hAnsi="宋体"/>
          <w:color w:val="000000"/>
          <w:sz w:val="24"/>
          <w:szCs w:val="24"/>
        </w:rPr>
        <w:t>）严格遵守甲方各项安全管理制度，不得损害甲方公司形象。</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（1</w:t>
      </w:r>
      <w:r>
        <w:rPr>
          <w:rFonts w:hAnsi="宋体"/>
          <w:color w:val="000000"/>
          <w:sz w:val="24"/>
          <w:szCs w:val="24"/>
        </w:rPr>
        <w:t>1</w:t>
      </w:r>
      <w:r>
        <w:rPr>
          <w:rFonts w:hint="eastAsia" w:hAnsi="宋体"/>
          <w:color w:val="000000"/>
          <w:sz w:val="24"/>
          <w:szCs w:val="24"/>
        </w:rPr>
        <w:t>）工作期间不得影响甲方的正常生产。</w:t>
      </w:r>
    </w:p>
    <w:p>
      <w:pPr>
        <w:pStyle w:val="24"/>
        <w:spacing w:line="360" w:lineRule="auto"/>
        <w:ind w:firstLine="482" w:firstLineChars="200"/>
        <w:rPr>
          <w:rFonts w:hAnsi="宋体"/>
          <w:b/>
          <w:bCs/>
          <w:sz w:val="24"/>
        </w:rPr>
      </w:pPr>
      <w:r>
        <w:rPr>
          <w:rFonts w:hint="eastAsia" w:hAnsi="宋体"/>
          <w:b/>
          <w:bCs/>
          <w:sz w:val="24"/>
        </w:rPr>
        <w:t>（二）安全防护</w:t>
      </w:r>
    </w:p>
    <w:p>
      <w:pPr>
        <w:pStyle w:val="24"/>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、乙方在动力设备、输电线略、地下管道、密封防震车间、易燃易爆地段以及临街交通要道附近施工作业时，施工作业开始前应向现场工程师提出安全防护措施，经现场工程师认可后实施。</w:t>
      </w:r>
    </w:p>
    <w:p>
      <w:pPr>
        <w:pStyle w:val="24"/>
        <w:spacing w:line="360" w:lineRule="auto"/>
        <w:ind w:firstLine="482" w:firstLineChars="200"/>
        <w:rPr>
          <w:rFonts w:hAnsi="宋体"/>
          <w:b/>
          <w:bCs/>
          <w:sz w:val="24"/>
        </w:rPr>
      </w:pPr>
      <w:r>
        <w:rPr>
          <w:rFonts w:hint="eastAsia" w:hAnsi="宋体"/>
          <w:b/>
          <w:bCs/>
          <w:sz w:val="24"/>
        </w:rPr>
        <w:t>（三）事故处理</w:t>
      </w:r>
    </w:p>
    <w:p>
      <w:pPr>
        <w:pStyle w:val="24"/>
        <w:spacing w:line="360" w:lineRule="auto"/>
        <w:ind w:firstLine="480" w:firstLineChars="200"/>
        <w:rPr>
          <w:rFonts w:hAnsi="宋体" w:cs="Times New Roman"/>
          <w:color w:val="000000"/>
          <w:sz w:val="24"/>
          <w:szCs w:val="24"/>
        </w:rPr>
      </w:pPr>
      <w:r>
        <w:rPr>
          <w:rFonts w:hAnsi="宋体"/>
          <w:color w:val="000000"/>
          <w:sz w:val="24"/>
          <w:szCs w:val="24"/>
        </w:rPr>
        <w:t>1</w:t>
      </w:r>
      <w:r>
        <w:rPr>
          <w:rFonts w:hint="eastAsia" w:hAnsi="宋体"/>
          <w:color w:val="000000"/>
          <w:sz w:val="24"/>
          <w:szCs w:val="24"/>
        </w:rPr>
        <w:t>、发生重大伤亡及其他安全事故，乙方应按有关规定立即上报甲</w:t>
      </w:r>
      <w:r>
        <w:rPr>
          <w:rFonts w:hAnsi="宋体"/>
          <w:color w:val="000000"/>
          <w:sz w:val="24"/>
          <w:szCs w:val="24"/>
        </w:rPr>
        <w:t>方</w:t>
      </w:r>
      <w:r>
        <w:rPr>
          <w:rFonts w:hint="eastAsia" w:hAnsi="宋体"/>
          <w:color w:val="000000"/>
          <w:sz w:val="24"/>
          <w:szCs w:val="24"/>
        </w:rPr>
        <w:t>有关部门并通知现场工程师，同时按政府有关部门要求处理。</w:t>
      </w:r>
    </w:p>
    <w:p>
      <w:pPr>
        <w:pStyle w:val="24"/>
        <w:spacing w:line="360" w:lineRule="auto"/>
        <w:ind w:firstLine="480" w:firstLineChars="200"/>
        <w:rPr>
          <w:rFonts w:hAnsi="宋体" w:cs="Times New Roman"/>
          <w:color w:val="000000"/>
          <w:sz w:val="24"/>
          <w:szCs w:val="24"/>
        </w:rPr>
      </w:pPr>
      <w:r>
        <w:rPr>
          <w:rFonts w:hAnsi="宋体"/>
          <w:color w:val="000000"/>
          <w:sz w:val="24"/>
          <w:szCs w:val="24"/>
        </w:rPr>
        <w:t>2</w:t>
      </w:r>
      <w:r>
        <w:rPr>
          <w:rFonts w:hint="eastAsia" w:hAnsi="宋体"/>
          <w:color w:val="000000"/>
          <w:sz w:val="24"/>
          <w:szCs w:val="24"/>
        </w:rPr>
        <w:t>、甲方对事故责任有争议时，应按政府有关部门的认定处理。</w:t>
      </w:r>
    </w:p>
    <w:p>
      <w:pPr>
        <w:spacing w:line="360" w:lineRule="auto"/>
        <w:rPr>
          <w:rFonts w:ascii="宋体" w:hAnsi="宋体" w:eastAsia="宋体" w:cs="宋体"/>
          <w:b/>
          <w:sz w:val="24"/>
        </w:rPr>
      </w:pPr>
      <w:r>
        <w:rPr>
          <w:rFonts w:hint="eastAsia" w:ascii="宋体" w:hAnsi="宋体" w:eastAsia="宋体" w:cs="宋体"/>
          <w:b/>
          <w:sz w:val="24"/>
        </w:rPr>
        <w:t>第九条：违约责任</w:t>
      </w:r>
    </w:p>
    <w:p>
      <w:pPr>
        <w:pStyle w:val="24"/>
        <w:spacing w:line="360" w:lineRule="auto"/>
        <w:ind w:firstLine="480" w:firstLineChars="200"/>
        <w:rPr>
          <w:rFonts w:hAnsi="宋体" w:cs="Times New Roman"/>
          <w:color w:val="000000"/>
          <w:sz w:val="24"/>
          <w:szCs w:val="24"/>
        </w:rPr>
      </w:pPr>
      <w:r>
        <w:rPr>
          <w:rFonts w:hAnsi="宋体"/>
          <w:color w:val="000000"/>
          <w:sz w:val="24"/>
          <w:szCs w:val="24"/>
        </w:rPr>
        <w:t>1</w:t>
      </w:r>
      <w:r>
        <w:rPr>
          <w:rFonts w:hint="eastAsia" w:hAnsi="宋体"/>
          <w:color w:val="000000"/>
          <w:sz w:val="24"/>
          <w:szCs w:val="24"/>
        </w:rPr>
        <w:t>、甲方违约的具体责任如下：</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甲方不履行</w:t>
      </w:r>
      <w:r>
        <w:rPr>
          <w:rFonts w:hint="eastAsia" w:hAnsi="宋体"/>
          <w:color w:val="000000"/>
          <w:sz w:val="24"/>
        </w:rPr>
        <w:t>协</w:t>
      </w:r>
      <w:r>
        <w:rPr>
          <w:rFonts w:hAnsi="宋体"/>
          <w:color w:val="000000"/>
          <w:sz w:val="24"/>
        </w:rPr>
        <w:t>议</w:t>
      </w:r>
      <w:r>
        <w:rPr>
          <w:rFonts w:hint="eastAsia" w:hAnsi="宋体"/>
          <w:color w:val="000000"/>
          <w:sz w:val="24"/>
          <w:szCs w:val="24"/>
        </w:rPr>
        <w:t>义务或不按</w:t>
      </w:r>
      <w:r>
        <w:rPr>
          <w:rFonts w:hint="eastAsia" w:hAnsi="宋体"/>
          <w:color w:val="000000"/>
          <w:sz w:val="24"/>
        </w:rPr>
        <w:t>协</w:t>
      </w:r>
      <w:r>
        <w:rPr>
          <w:rFonts w:hAnsi="宋体"/>
          <w:color w:val="000000"/>
          <w:sz w:val="24"/>
        </w:rPr>
        <w:t>议</w:t>
      </w:r>
      <w:r>
        <w:rPr>
          <w:rFonts w:hint="eastAsia" w:hAnsi="宋体"/>
          <w:color w:val="000000"/>
          <w:sz w:val="24"/>
          <w:szCs w:val="24"/>
        </w:rPr>
        <w:t>约定履行义务的违约责任，赔偿因其违约给乙方造成的直接经济损失，顺延延误的工期。</w:t>
      </w:r>
    </w:p>
    <w:p>
      <w:pPr>
        <w:pStyle w:val="24"/>
        <w:spacing w:line="360" w:lineRule="auto"/>
        <w:ind w:firstLine="480" w:firstLineChars="200"/>
        <w:rPr>
          <w:rFonts w:hAnsi="宋体" w:cs="Times New Roman"/>
          <w:color w:val="000000"/>
          <w:sz w:val="24"/>
          <w:szCs w:val="24"/>
        </w:rPr>
      </w:pPr>
      <w:r>
        <w:rPr>
          <w:rFonts w:hAnsi="宋体"/>
          <w:color w:val="000000"/>
          <w:sz w:val="24"/>
          <w:szCs w:val="24"/>
        </w:rPr>
        <w:t>2</w:t>
      </w:r>
      <w:r>
        <w:rPr>
          <w:rFonts w:hint="eastAsia" w:hAnsi="宋体"/>
          <w:color w:val="000000"/>
          <w:sz w:val="24"/>
          <w:szCs w:val="24"/>
        </w:rPr>
        <w:t>、乙方违约的具体责任如下：</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（1）因乙方原因不能按照具</w:t>
      </w:r>
      <w:r>
        <w:rPr>
          <w:rFonts w:hAnsi="宋体"/>
          <w:color w:val="000000"/>
          <w:sz w:val="24"/>
          <w:szCs w:val="24"/>
        </w:rPr>
        <w:t>体项目</w:t>
      </w:r>
      <w:r>
        <w:rPr>
          <w:rFonts w:hint="eastAsia" w:hAnsi="宋体"/>
          <w:color w:val="000000"/>
          <w:sz w:val="24"/>
          <w:szCs w:val="24"/>
        </w:rPr>
        <w:t>约定的竣工日期或工程师同意顺延的工期完工，应承担的违约责任：</w:t>
      </w:r>
      <w:r>
        <w:rPr>
          <w:rFonts w:hint="eastAsia" w:hAnsi="宋体"/>
          <w:b/>
          <w:bCs/>
          <w:color w:val="000000"/>
          <w:sz w:val="24"/>
          <w:szCs w:val="24"/>
          <w:u w:val="single"/>
        </w:rPr>
        <w:t>乙方承担违约责任，除赔偿因此造成甲方的全部经济损失外，每延期1天，由乙方支付给甲方罚金人民币1000元，罚金不超过具</w:t>
      </w:r>
      <w:r>
        <w:rPr>
          <w:rFonts w:hAnsi="宋体"/>
          <w:b/>
          <w:bCs/>
          <w:color w:val="000000"/>
          <w:sz w:val="24"/>
          <w:szCs w:val="24"/>
          <w:u w:val="single"/>
        </w:rPr>
        <w:t>体订单</w:t>
      </w:r>
      <w:r>
        <w:rPr>
          <w:rFonts w:hint="eastAsia" w:hAnsi="宋体"/>
          <w:b/>
          <w:bCs/>
          <w:color w:val="000000"/>
          <w:sz w:val="24"/>
          <w:szCs w:val="24"/>
          <w:u w:val="single"/>
        </w:rPr>
        <w:t>合</w:t>
      </w:r>
      <w:r>
        <w:rPr>
          <w:rFonts w:hAnsi="宋体"/>
          <w:b/>
          <w:bCs/>
          <w:color w:val="000000"/>
          <w:sz w:val="24"/>
          <w:szCs w:val="24"/>
          <w:u w:val="single"/>
        </w:rPr>
        <w:t>同</w:t>
      </w:r>
      <w:r>
        <w:rPr>
          <w:rFonts w:hint="eastAsia" w:hAnsi="宋体"/>
          <w:b/>
          <w:bCs/>
          <w:color w:val="000000"/>
          <w:sz w:val="24"/>
          <w:szCs w:val="24"/>
          <w:u w:val="single"/>
        </w:rPr>
        <w:t xml:space="preserve">价款的30％。 </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（2）因乙方自身原因工程质量达不到协议书约定的质量标准，应承担的违约责任：</w:t>
      </w:r>
      <w:r>
        <w:rPr>
          <w:rFonts w:hint="eastAsia" w:hAnsi="宋体"/>
          <w:b/>
          <w:bCs/>
          <w:color w:val="000000"/>
          <w:sz w:val="24"/>
          <w:szCs w:val="24"/>
          <w:u w:val="single"/>
        </w:rPr>
        <w:t>除赔偿因此造成甲方的全部经济损失外，还必须向甲方支付具</w:t>
      </w:r>
      <w:r>
        <w:rPr>
          <w:rFonts w:hAnsi="宋体"/>
          <w:b/>
          <w:bCs/>
          <w:color w:val="000000"/>
          <w:sz w:val="24"/>
          <w:szCs w:val="24"/>
          <w:u w:val="single"/>
        </w:rPr>
        <w:t>体订单</w:t>
      </w:r>
      <w:r>
        <w:rPr>
          <w:rFonts w:hint="eastAsia" w:hAnsi="宋体"/>
          <w:b/>
          <w:bCs/>
          <w:color w:val="000000"/>
          <w:sz w:val="24"/>
          <w:szCs w:val="24"/>
          <w:u w:val="single"/>
        </w:rPr>
        <w:t>合同价款3％的违约金。</w:t>
      </w:r>
    </w:p>
    <w:p>
      <w:pPr>
        <w:pStyle w:val="24"/>
        <w:spacing w:line="360" w:lineRule="auto"/>
        <w:ind w:firstLine="480" w:firstLineChars="200"/>
        <w:rPr>
          <w:rFonts w:hAnsi="宋体" w:cs="Times New Roman"/>
          <w:color w:val="000000"/>
          <w:sz w:val="24"/>
          <w:szCs w:val="24"/>
          <w:u w:val="single"/>
        </w:rPr>
      </w:pPr>
      <w:r>
        <w:rPr>
          <w:rFonts w:hint="eastAsia" w:hAnsi="宋体"/>
          <w:color w:val="000000"/>
          <w:sz w:val="24"/>
          <w:szCs w:val="24"/>
        </w:rPr>
        <w:t>（3）乙方不履行协</w:t>
      </w:r>
      <w:r>
        <w:rPr>
          <w:rFonts w:hAnsi="宋体"/>
          <w:color w:val="000000"/>
          <w:sz w:val="24"/>
          <w:szCs w:val="24"/>
        </w:rPr>
        <w:t>议</w:t>
      </w:r>
      <w:r>
        <w:rPr>
          <w:rFonts w:hint="eastAsia" w:hAnsi="宋体"/>
          <w:color w:val="000000"/>
          <w:sz w:val="24"/>
          <w:szCs w:val="24"/>
        </w:rPr>
        <w:t>义务或不按协</w:t>
      </w:r>
      <w:r>
        <w:rPr>
          <w:rFonts w:hAnsi="宋体"/>
          <w:color w:val="000000"/>
          <w:sz w:val="24"/>
          <w:szCs w:val="24"/>
        </w:rPr>
        <w:t>议</w:t>
      </w:r>
      <w:r>
        <w:rPr>
          <w:rFonts w:hint="eastAsia" w:hAnsi="宋体"/>
          <w:color w:val="000000"/>
          <w:sz w:val="24"/>
          <w:szCs w:val="24"/>
        </w:rPr>
        <w:t>约定履行义务的违约责任：</w:t>
      </w:r>
      <w:r>
        <w:rPr>
          <w:rFonts w:hint="eastAsia" w:hAnsi="宋体"/>
          <w:b/>
          <w:bCs/>
          <w:color w:val="000000"/>
          <w:sz w:val="24"/>
          <w:szCs w:val="24"/>
          <w:u w:val="single"/>
        </w:rPr>
        <w:t>除赔偿因此造成甲方的全部经济损失外，还必须向甲方支付具</w:t>
      </w:r>
      <w:r>
        <w:rPr>
          <w:rFonts w:hAnsi="宋体"/>
          <w:b/>
          <w:bCs/>
          <w:color w:val="000000"/>
          <w:sz w:val="24"/>
          <w:szCs w:val="24"/>
          <w:u w:val="single"/>
        </w:rPr>
        <w:t>体订单</w:t>
      </w:r>
      <w:r>
        <w:rPr>
          <w:rFonts w:hint="eastAsia" w:hAnsi="宋体"/>
          <w:b/>
          <w:bCs/>
          <w:color w:val="000000"/>
          <w:sz w:val="24"/>
          <w:szCs w:val="24"/>
          <w:u w:val="single"/>
        </w:rPr>
        <w:t>合同价款3％的违约金。</w:t>
      </w:r>
    </w:p>
    <w:p>
      <w:pPr>
        <w:pStyle w:val="24"/>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、一方违约后，另一方要求违约方继续履行协</w:t>
      </w:r>
      <w:r>
        <w:rPr>
          <w:rFonts w:hAnsi="宋体"/>
          <w:color w:val="000000"/>
          <w:sz w:val="24"/>
          <w:szCs w:val="24"/>
        </w:rPr>
        <w:t>议</w:t>
      </w:r>
      <w:r>
        <w:rPr>
          <w:rFonts w:hint="eastAsia" w:hAnsi="宋体"/>
          <w:color w:val="000000"/>
          <w:sz w:val="24"/>
          <w:szCs w:val="24"/>
        </w:rPr>
        <w:t>时，违约方承担上述违约责任后仍应继续履行协</w:t>
      </w:r>
      <w:r>
        <w:rPr>
          <w:rFonts w:hAnsi="宋体"/>
          <w:color w:val="000000"/>
          <w:sz w:val="24"/>
          <w:szCs w:val="24"/>
        </w:rPr>
        <w:t>议</w:t>
      </w:r>
      <w:r>
        <w:rPr>
          <w:rFonts w:hint="eastAsia" w:hAnsi="宋体"/>
          <w:color w:val="000000"/>
          <w:sz w:val="24"/>
          <w:szCs w:val="24"/>
        </w:rPr>
        <w:t>。</w:t>
      </w:r>
    </w:p>
    <w:p>
      <w:pPr>
        <w:spacing w:line="360" w:lineRule="auto"/>
        <w:rPr>
          <w:rFonts w:ascii="宋体" w:hAnsi="宋体" w:eastAsia="宋体" w:cs="宋体"/>
          <w:b/>
          <w:sz w:val="24"/>
        </w:rPr>
      </w:pPr>
      <w:r>
        <w:rPr>
          <w:rFonts w:hint="eastAsia" w:ascii="宋体" w:hAnsi="宋体" w:eastAsia="宋体" w:cs="宋体"/>
          <w:b/>
          <w:sz w:val="24"/>
        </w:rPr>
        <w:t>第十条：争议的解决</w:t>
      </w:r>
    </w:p>
    <w:p>
      <w:pPr>
        <w:pStyle w:val="24"/>
        <w:spacing w:line="360" w:lineRule="auto"/>
        <w:ind w:firstLine="480" w:firstLineChars="200"/>
        <w:rPr>
          <w:rFonts w:hAnsi="宋体"/>
          <w:color w:val="000000"/>
          <w:sz w:val="24"/>
          <w:szCs w:val="24"/>
        </w:rPr>
      </w:pPr>
      <w:r>
        <w:rPr>
          <w:rFonts w:hint="eastAsia" w:hAnsi="宋体"/>
          <w:color w:val="000000"/>
          <w:sz w:val="24"/>
          <w:szCs w:val="24"/>
        </w:rPr>
        <w:t>1、甲乙双方如发生争议，先由双方协商解决。协商不成的，由甲方所在地人民法院予以诉讼解决。</w:t>
      </w:r>
    </w:p>
    <w:p>
      <w:pPr>
        <w:pStyle w:val="24"/>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、发生争议后，除非出现下列情况的，双方都应继续履行本协议，保持施工作业连续，保护好已完工程：</w:t>
      </w:r>
    </w:p>
    <w:p>
      <w:pPr>
        <w:pStyle w:val="24"/>
        <w:spacing w:line="360" w:lineRule="auto"/>
        <w:ind w:firstLine="480" w:firstLineChars="200"/>
        <w:rPr>
          <w:rFonts w:hAnsi="宋体"/>
          <w:color w:val="000000"/>
          <w:sz w:val="24"/>
          <w:szCs w:val="24"/>
        </w:rPr>
      </w:pPr>
      <w:r>
        <w:rPr>
          <w:rFonts w:hint="eastAsia" w:hAnsi="宋体"/>
          <w:color w:val="000000"/>
          <w:sz w:val="24"/>
          <w:szCs w:val="24"/>
        </w:rPr>
        <w:t>（1）单方违约导致</w:t>
      </w:r>
      <w:r>
        <w:rPr>
          <w:rFonts w:hint="eastAsia" w:hAnsi="宋体"/>
          <w:color w:val="000000"/>
          <w:sz w:val="24"/>
        </w:rPr>
        <w:t>协</w:t>
      </w:r>
      <w:r>
        <w:rPr>
          <w:rFonts w:hAnsi="宋体"/>
          <w:color w:val="000000"/>
          <w:sz w:val="24"/>
        </w:rPr>
        <w:t>议</w:t>
      </w:r>
      <w:r>
        <w:rPr>
          <w:rFonts w:hint="eastAsia" w:hAnsi="宋体"/>
          <w:color w:val="000000"/>
          <w:sz w:val="24"/>
          <w:szCs w:val="24"/>
        </w:rPr>
        <w:t>已无法履行，双方协议停止施工作业；</w:t>
      </w:r>
    </w:p>
    <w:p>
      <w:pPr>
        <w:pStyle w:val="24"/>
        <w:spacing w:line="360" w:lineRule="auto"/>
        <w:ind w:firstLine="480" w:firstLineChars="200"/>
        <w:rPr>
          <w:rFonts w:hAnsi="宋体"/>
          <w:color w:val="000000"/>
          <w:sz w:val="24"/>
          <w:szCs w:val="24"/>
        </w:rPr>
      </w:pPr>
      <w:r>
        <w:rPr>
          <w:rFonts w:hint="eastAsia" w:hAnsi="宋体"/>
          <w:color w:val="000000"/>
          <w:sz w:val="24"/>
          <w:szCs w:val="24"/>
        </w:rPr>
        <w:t xml:space="preserve">（2）调解要求停止施工作业，且为双方接受； </w:t>
      </w:r>
    </w:p>
    <w:p>
      <w:pPr>
        <w:pStyle w:val="24"/>
        <w:spacing w:line="360" w:lineRule="auto"/>
        <w:ind w:firstLine="480" w:firstLineChars="200"/>
        <w:rPr>
          <w:rFonts w:hAnsi="宋体"/>
          <w:color w:val="000000"/>
          <w:sz w:val="24"/>
          <w:szCs w:val="24"/>
        </w:rPr>
      </w:pPr>
      <w:r>
        <w:rPr>
          <w:rFonts w:hint="eastAsia" w:hAnsi="宋体"/>
          <w:color w:val="000000"/>
          <w:sz w:val="24"/>
          <w:szCs w:val="24"/>
        </w:rPr>
        <w:t>（3）仲裁机构要求停止施工作业；</w:t>
      </w:r>
    </w:p>
    <w:p>
      <w:pPr>
        <w:pStyle w:val="24"/>
        <w:spacing w:line="360" w:lineRule="auto"/>
        <w:ind w:firstLine="480" w:firstLineChars="200"/>
        <w:rPr>
          <w:rFonts w:hAnsi="宋体"/>
          <w:color w:val="000000"/>
          <w:sz w:val="24"/>
          <w:szCs w:val="24"/>
        </w:rPr>
      </w:pPr>
      <w:r>
        <w:rPr>
          <w:rFonts w:hint="eastAsia" w:hAnsi="宋体"/>
          <w:color w:val="000000"/>
          <w:sz w:val="24"/>
          <w:szCs w:val="24"/>
        </w:rPr>
        <w:t>（4）法院要求停止施工作业。</w:t>
      </w:r>
    </w:p>
    <w:p>
      <w:pPr>
        <w:spacing w:line="360" w:lineRule="auto"/>
        <w:rPr>
          <w:rFonts w:ascii="宋体" w:hAnsi="宋体" w:eastAsia="宋体" w:cs="宋体"/>
          <w:b/>
          <w:sz w:val="24"/>
        </w:rPr>
      </w:pPr>
      <w:r>
        <w:rPr>
          <w:rFonts w:hint="eastAsia" w:ascii="宋体" w:hAnsi="宋体" w:eastAsia="宋体" w:cs="宋体"/>
          <w:b/>
          <w:sz w:val="24"/>
        </w:rPr>
        <w:t>第十一条：未尽事宜</w:t>
      </w:r>
    </w:p>
    <w:p>
      <w:pPr>
        <w:spacing w:line="360" w:lineRule="auto"/>
        <w:ind w:firstLine="480" w:firstLineChars="200"/>
        <w:rPr>
          <w:rFonts w:ascii="宋体" w:hAnsi="宋体" w:eastAsia="宋体" w:cs="宋体"/>
          <w:sz w:val="24"/>
        </w:rPr>
      </w:pPr>
      <w:r>
        <w:rPr>
          <w:rFonts w:hint="eastAsia" w:ascii="宋体" w:hAnsi="宋体" w:eastAsia="宋体" w:cs="宋体"/>
          <w:sz w:val="24"/>
        </w:rPr>
        <w:t>本协议未尽事宜，由甲乙双方共同协商，签订补充协议，补充协议与本协议具有同等法律效力。</w:t>
      </w:r>
    </w:p>
    <w:p>
      <w:pPr>
        <w:spacing w:line="360" w:lineRule="auto"/>
        <w:rPr>
          <w:rFonts w:ascii="宋体" w:hAnsi="宋体" w:eastAsia="宋体" w:cs="宋体"/>
          <w:b/>
          <w:sz w:val="24"/>
        </w:rPr>
      </w:pPr>
      <w:r>
        <w:rPr>
          <w:rFonts w:hint="eastAsia" w:ascii="宋体" w:hAnsi="宋体" w:eastAsia="宋体" w:cs="宋体"/>
          <w:b/>
          <w:sz w:val="24"/>
        </w:rPr>
        <w:t>第十二条：其他</w:t>
      </w:r>
    </w:p>
    <w:p>
      <w:pPr>
        <w:pStyle w:val="24"/>
        <w:spacing w:line="360" w:lineRule="auto"/>
        <w:ind w:firstLine="482" w:firstLineChars="200"/>
        <w:rPr>
          <w:rFonts w:hAnsi="宋体"/>
          <w:b/>
          <w:bCs/>
          <w:sz w:val="24"/>
        </w:rPr>
      </w:pPr>
      <w:r>
        <w:rPr>
          <w:rFonts w:hint="eastAsia" w:hAnsi="宋体"/>
          <w:b/>
          <w:bCs/>
          <w:sz w:val="24"/>
        </w:rPr>
        <w:t>（一）工程分包</w:t>
      </w:r>
    </w:p>
    <w:p>
      <w:pPr>
        <w:pStyle w:val="24"/>
        <w:spacing w:line="360" w:lineRule="auto"/>
        <w:ind w:firstLine="480" w:firstLineChars="200"/>
        <w:rPr>
          <w:rFonts w:hAnsi="宋体" w:cs="Times New Roman"/>
          <w:b/>
          <w:bCs/>
          <w:color w:val="000000"/>
          <w:sz w:val="24"/>
          <w:szCs w:val="24"/>
          <w:u w:val="single"/>
        </w:rPr>
      </w:pPr>
      <w:r>
        <w:rPr>
          <w:rFonts w:hint="eastAsia" w:hAnsi="宋体"/>
          <w:color w:val="000000"/>
          <w:sz w:val="24"/>
          <w:szCs w:val="24"/>
        </w:rPr>
        <w:t>（1）</w:t>
      </w:r>
      <w:r>
        <w:rPr>
          <w:rFonts w:hint="eastAsia" w:hAnsi="宋体"/>
          <w:b/>
          <w:bCs/>
          <w:color w:val="000000"/>
          <w:sz w:val="24"/>
          <w:szCs w:val="24"/>
          <w:u w:val="single"/>
        </w:rPr>
        <w:t>本工程无分包项目。</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（2）乙方不得将其承包的工程转包给他人，也不得将承包的工程肢解以后以分包的名义分别转包给他人。</w:t>
      </w:r>
    </w:p>
    <w:p>
      <w:pPr>
        <w:pStyle w:val="24"/>
        <w:spacing w:line="360" w:lineRule="auto"/>
        <w:ind w:firstLine="482" w:firstLineChars="200"/>
        <w:rPr>
          <w:rFonts w:hAnsi="宋体"/>
          <w:b/>
          <w:bCs/>
          <w:sz w:val="24"/>
        </w:rPr>
      </w:pPr>
      <w:r>
        <w:rPr>
          <w:rFonts w:hint="eastAsia" w:hAnsi="宋体"/>
          <w:b/>
          <w:bCs/>
          <w:sz w:val="24"/>
        </w:rPr>
        <w:t>（二）不可抗力</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（1）不可抗力包括因战争、动乱、空中飞行物体坠落或其他非甲方乙方责任造成的爆炸、火灾，以及以下方面的自然灾害：</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①烈度为</w:t>
      </w:r>
      <w:r>
        <w:rPr>
          <w:rFonts w:hint="eastAsia" w:hAnsi="宋体"/>
          <w:b/>
          <w:bCs/>
          <w:color w:val="000000"/>
          <w:sz w:val="24"/>
          <w:szCs w:val="24"/>
          <w:u w:val="single"/>
        </w:rPr>
        <w:t xml:space="preserve"> 七 </w:t>
      </w:r>
      <w:r>
        <w:rPr>
          <w:rFonts w:hint="eastAsia" w:hAnsi="宋体"/>
          <w:color w:val="000000"/>
          <w:sz w:val="24"/>
          <w:szCs w:val="24"/>
        </w:rPr>
        <w:t>级以上的地震；</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②</w:t>
      </w:r>
      <w:r>
        <w:rPr>
          <w:rFonts w:hint="eastAsia" w:hAnsi="宋体"/>
          <w:b/>
          <w:bCs/>
          <w:color w:val="000000"/>
          <w:sz w:val="24"/>
          <w:szCs w:val="24"/>
          <w:u w:val="single"/>
        </w:rPr>
        <w:t xml:space="preserve">七 </w:t>
      </w:r>
      <w:r>
        <w:rPr>
          <w:rFonts w:hint="eastAsia" w:hAnsi="宋体"/>
          <w:color w:val="000000"/>
          <w:sz w:val="24"/>
          <w:szCs w:val="24"/>
        </w:rPr>
        <w:t>级以上持续一天的大风；</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③持续降雨24小时且降雨量为</w:t>
      </w:r>
      <w:r>
        <w:rPr>
          <w:rFonts w:hint="eastAsia" w:hAnsi="宋体"/>
          <w:b/>
          <w:bCs/>
          <w:color w:val="000000"/>
          <w:sz w:val="24"/>
          <w:szCs w:val="24"/>
          <w:u w:val="single"/>
        </w:rPr>
        <w:t xml:space="preserve"> 100  </w:t>
      </w:r>
      <w:r>
        <w:rPr>
          <w:rFonts w:hint="eastAsia" w:hAnsi="宋体"/>
          <w:color w:val="000000"/>
          <w:sz w:val="24"/>
          <w:szCs w:val="24"/>
        </w:rPr>
        <w:t>mm以上；</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④</w:t>
      </w:r>
      <w:r>
        <w:rPr>
          <w:rFonts w:hint="eastAsia" w:hAnsi="宋体"/>
          <w:b/>
          <w:bCs/>
          <w:color w:val="000000"/>
          <w:sz w:val="24"/>
          <w:szCs w:val="24"/>
          <w:u w:val="single"/>
        </w:rPr>
        <w:t xml:space="preserve"> 两 </w:t>
      </w:r>
      <w:r>
        <w:rPr>
          <w:rFonts w:hint="eastAsia" w:hAnsi="宋体"/>
          <w:color w:val="000000"/>
          <w:sz w:val="24"/>
          <w:szCs w:val="24"/>
        </w:rPr>
        <w:t>年以上未发生过，接近或达到人体体温持续2天的高温天气；</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⑤其它不可抗力的原因。</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（2）不可抗力事件发生后，乙方应立即通知现场工程师，现场工程师认为应当暂停施工作业的，乙方应暂停施工作业。</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（3）因不可抗力事件导致的延误的工期由双方按以下方法分别承担：</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①甲方乙方人员伤亡由其所在单位负责，并承担相应费用；</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②乙方机械设备损坏及停工损失，由乙方承担；</w:t>
      </w:r>
    </w:p>
    <w:p>
      <w:pPr>
        <w:pStyle w:val="24"/>
        <w:spacing w:line="360" w:lineRule="auto"/>
        <w:ind w:firstLine="480" w:firstLineChars="200"/>
        <w:rPr>
          <w:rFonts w:hAnsi="宋体" w:cs="Times New Roman"/>
          <w:color w:val="000000"/>
          <w:sz w:val="24"/>
          <w:szCs w:val="24"/>
        </w:rPr>
      </w:pPr>
      <w:r>
        <w:rPr>
          <w:rFonts w:hint="eastAsia" w:hAnsi="宋体"/>
          <w:color w:val="000000"/>
          <w:sz w:val="24"/>
          <w:szCs w:val="24"/>
        </w:rPr>
        <w:t>③延误的工期相应顺延。</w:t>
      </w:r>
    </w:p>
    <w:p>
      <w:pPr>
        <w:spacing w:line="360" w:lineRule="auto"/>
        <w:ind w:firstLine="480" w:firstLineChars="200"/>
        <w:rPr>
          <w:rFonts w:ascii="宋体" w:hAnsi="宋体" w:eastAsia="宋体" w:cs="宋体"/>
          <w:sz w:val="24"/>
        </w:rPr>
      </w:pPr>
      <w:r>
        <w:rPr>
          <w:rFonts w:hint="eastAsia" w:ascii="宋体" w:hAnsi="宋体" w:eastAsia="宋体"/>
          <w:color w:val="000000"/>
          <w:sz w:val="24"/>
        </w:rPr>
        <w:t>（</w:t>
      </w:r>
      <w:r>
        <w:rPr>
          <w:rFonts w:ascii="宋体" w:hAnsi="宋体" w:eastAsia="宋体"/>
          <w:color w:val="000000"/>
          <w:sz w:val="24"/>
        </w:rPr>
        <w:t>4</w:t>
      </w:r>
      <w:r>
        <w:rPr>
          <w:rFonts w:hint="eastAsia" w:ascii="宋体" w:hAnsi="宋体" w:eastAsia="宋体"/>
          <w:color w:val="000000"/>
          <w:sz w:val="24"/>
        </w:rPr>
        <w:t>）因协</w:t>
      </w:r>
      <w:r>
        <w:rPr>
          <w:rFonts w:ascii="宋体" w:hAnsi="宋体" w:eastAsia="宋体"/>
          <w:color w:val="000000"/>
          <w:sz w:val="24"/>
        </w:rPr>
        <w:t>议</w:t>
      </w:r>
      <w:r>
        <w:rPr>
          <w:rFonts w:hint="eastAsia" w:ascii="宋体" w:hAnsi="宋体" w:eastAsia="宋体"/>
          <w:color w:val="000000"/>
          <w:sz w:val="24"/>
        </w:rPr>
        <w:t>一方迟延履行协</w:t>
      </w:r>
      <w:r>
        <w:rPr>
          <w:rFonts w:ascii="宋体" w:hAnsi="宋体" w:eastAsia="宋体"/>
          <w:color w:val="000000"/>
          <w:sz w:val="24"/>
        </w:rPr>
        <w:t>议</w:t>
      </w:r>
      <w:r>
        <w:rPr>
          <w:rFonts w:hint="eastAsia" w:ascii="宋体" w:hAnsi="宋体" w:eastAsia="宋体"/>
          <w:color w:val="000000"/>
          <w:sz w:val="24"/>
        </w:rPr>
        <w:t>后发生不可抗力的，不能免除迟延履行方的相应责任。</w:t>
      </w:r>
    </w:p>
    <w:p>
      <w:pPr>
        <w:spacing w:line="360" w:lineRule="auto"/>
        <w:rPr>
          <w:rFonts w:ascii="宋体" w:hAnsi="宋体" w:eastAsia="宋体" w:cs="宋体"/>
          <w:b/>
          <w:sz w:val="24"/>
        </w:rPr>
      </w:pPr>
      <w:r>
        <w:rPr>
          <w:rFonts w:hint="eastAsia" w:ascii="宋体" w:hAnsi="宋体" w:eastAsia="宋体" w:cs="宋体"/>
          <w:b/>
          <w:sz w:val="24"/>
        </w:rPr>
        <w:t>第十三条：协议生效及终止</w:t>
      </w:r>
    </w:p>
    <w:p>
      <w:pPr>
        <w:spacing w:line="360" w:lineRule="auto"/>
        <w:ind w:firstLine="480" w:firstLineChars="200"/>
        <w:rPr>
          <w:rFonts w:ascii="宋体" w:hAnsi="宋体" w:eastAsia="宋体" w:cs="宋体"/>
          <w:sz w:val="24"/>
        </w:rPr>
      </w:pPr>
      <w:r>
        <w:rPr>
          <w:rFonts w:hint="eastAsia" w:ascii="宋体" w:hAnsi="宋体" w:eastAsia="宋体" w:cs="宋体"/>
          <w:sz w:val="24"/>
        </w:rPr>
        <w:t>（一）协议生效：本协议自甲乙双方法定代表人签字、盖章之日起生效。</w:t>
      </w:r>
    </w:p>
    <w:p>
      <w:pPr>
        <w:spacing w:line="360" w:lineRule="auto"/>
        <w:ind w:firstLine="480" w:firstLineChars="200"/>
        <w:rPr>
          <w:rFonts w:ascii="宋体" w:hAnsi="宋体" w:eastAsia="宋体" w:cs="宋体"/>
          <w:sz w:val="24"/>
        </w:rPr>
      </w:pPr>
      <w:r>
        <w:rPr>
          <w:rFonts w:hint="eastAsia" w:ascii="宋体" w:hAnsi="宋体" w:eastAsia="宋体" w:cs="宋体"/>
          <w:sz w:val="24"/>
        </w:rPr>
        <w:t>（二）协议终止：本协议出现下列情况时终止</w:t>
      </w:r>
    </w:p>
    <w:p>
      <w:pPr>
        <w:pStyle w:val="24"/>
        <w:spacing w:line="360" w:lineRule="auto"/>
        <w:ind w:firstLine="480" w:firstLineChars="200"/>
        <w:rPr>
          <w:rFonts w:hAnsi="宋体" w:cs="Times New Roman"/>
          <w:color w:val="000000"/>
          <w:sz w:val="24"/>
          <w:szCs w:val="24"/>
        </w:rPr>
      </w:pPr>
      <w:r>
        <w:rPr>
          <w:rFonts w:hAnsi="宋体"/>
          <w:color w:val="000000"/>
          <w:sz w:val="24"/>
          <w:szCs w:val="24"/>
        </w:rPr>
        <w:t>1</w:t>
      </w:r>
      <w:r>
        <w:rPr>
          <w:rFonts w:hint="eastAsia" w:hAnsi="宋体"/>
          <w:color w:val="000000"/>
          <w:sz w:val="24"/>
          <w:szCs w:val="24"/>
        </w:rPr>
        <w:t>、甲方乙方协商一致，可以解除协议。</w:t>
      </w:r>
    </w:p>
    <w:p>
      <w:pPr>
        <w:pStyle w:val="24"/>
        <w:spacing w:line="360" w:lineRule="auto"/>
        <w:ind w:firstLine="480" w:firstLineChars="200"/>
        <w:rPr>
          <w:rFonts w:hAnsi="宋体" w:cs="Times New Roman"/>
          <w:color w:val="000000"/>
          <w:sz w:val="24"/>
          <w:szCs w:val="24"/>
        </w:rPr>
      </w:pPr>
      <w:r>
        <w:rPr>
          <w:rFonts w:hAnsi="宋体"/>
          <w:color w:val="000000"/>
          <w:sz w:val="24"/>
          <w:szCs w:val="24"/>
        </w:rPr>
        <w:t>2</w:t>
      </w:r>
      <w:r>
        <w:rPr>
          <w:rFonts w:hint="eastAsia" w:hAnsi="宋体"/>
          <w:color w:val="000000"/>
          <w:sz w:val="24"/>
          <w:szCs w:val="24"/>
        </w:rPr>
        <w:t>、发生本协议禁止的情况乙方将其承包的全部工程转包给他人或者肢解以后以分包的名义分别转包给他人，甲方有权解除协议。</w:t>
      </w:r>
    </w:p>
    <w:p>
      <w:pPr>
        <w:pStyle w:val="24"/>
        <w:spacing w:line="360" w:lineRule="auto"/>
        <w:ind w:firstLine="480" w:firstLineChars="200"/>
        <w:rPr>
          <w:rFonts w:hAnsi="宋体" w:cs="Times New Roman"/>
          <w:color w:val="000000"/>
          <w:sz w:val="24"/>
          <w:szCs w:val="24"/>
        </w:rPr>
      </w:pPr>
      <w:r>
        <w:rPr>
          <w:rFonts w:hAnsi="宋体"/>
          <w:color w:val="000000"/>
          <w:sz w:val="24"/>
          <w:szCs w:val="24"/>
        </w:rPr>
        <w:t>3</w:t>
      </w:r>
      <w:r>
        <w:rPr>
          <w:rFonts w:hint="eastAsia" w:hAnsi="宋体"/>
          <w:color w:val="000000"/>
          <w:sz w:val="24"/>
          <w:szCs w:val="24"/>
        </w:rPr>
        <w:t>、在协议工期进行每一期后，甲方将对乙方探漏情况进行考核，若当期探漏数据（成果）较往年有明显差异或因探漏工作开展不力导致产销差率有明显上升的，甲方有权解除协议。</w:t>
      </w:r>
    </w:p>
    <w:p>
      <w:pPr>
        <w:pStyle w:val="24"/>
        <w:spacing w:line="360" w:lineRule="auto"/>
        <w:ind w:firstLine="480" w:firstLineChars="200"/>
        <w:rPr>
          <w:rFonts w:hAnsi="宋体" w:cs="Times New Roman"/>
          <w:color w:val="000000"/>
          <w:sz w:val="24"/>
          <w:szCs w:val="24"/>
        </w:rPr>
      </w:pPr>
      <w:r>
        <w:rPr>
          <w:rFonts w:hAnsi="宋体"/>
          <w:color w:val="000000"/>
          <w:sz w:val="24"/>
          <w:szCs w:val="24"/>
        </w:rPr>
        <w:t>4</w:t>
      </w:r>
      <w:r>
        <w:rPr>
          <w:rFonts w:hint="eastAsia" w:hAnsi="宋体"/>
          <w:color w:val="000000"/>
          <w:sz w:val="24"/>
          <w:szCs w:val="24"/>
        </w:rPr>
        <w:t>、有下列情形之一的，甲方乙方可以解除协议：</w:t>
      </w:r>
    </w:p>
    <w:p>
      <w:pPr>
        <w:pStyle w:val="24"/>
        <w:spacing w:line="360" w:lineRule="auto"/>
        <w:ind w:firstLine="360" w:firstLineChars="150"/>
        <w:rPr>
          <w:rFonts w:hAnsi="宋体" w:cs="Times New Roman"/>
          <w:color w:val="000000"/>
          <w:sz w:val="24"/>
          <w:szCs w:val="24"/>
        </w:rPr>
      </w:pPr>
      <w:r>
        <w:rPr>
          <w:rFonts w:hint="eastAsia" w:hAnsi="宋体"/>
          <w:color w:val="000000"/>
          <w:sz w:val="24"/>
          <w:szCs w:val="24"/>
        </w:rPr>
        <w:t>（1）因不可抗力致使协议无法履行；</w:t>
      </w:r>
    </w:p>
    <w:p>
      <w:pPr>
        <w:pStyle w:val="24"/>
        <w:spacing w:line="360" w:lineRule="auto"/>
        <w:ind w:firstLine="360" w:firstLineChars="150"/>
        <w:rPr>
          <w:rFonts w:hAnsi="宋体" w:cs="Times New Roman"/>
          <w:color w:val="000000"/>
          <w:sz w:val="24"/>
          <w:szCs w:val="24"/>
        </w:rPr>
      </w:pPr>
      <w:r>
        <w:rPr>
          <w:rFonts w:hint="eastAsia" w:hAnsi="宋体"/>
          <w:color w:val="000000"/>
          <w:sz w:val="24"/>
          <w:szCs w:val="24"/>
        </w:rPr>
        <w:t>（2）因一方违约致使协议无法履行。</w:t>
      </w:r>
    </w:p>
    <w:p>
      <w:pPr>
        <w:pStyle w:val="24"/>
        <w:spacing w:line="360" w:lineRule="auto"/>
        <w:ind w:firstLine="480" w:firstLineChars="200"/>
        <w:rPr>
          <w:rFonts w:hAnsi="宋体" w:cs="Times New Roman"/>
          <w:color w:val="000000"/>
          <w:sz w:val="24"/>
          <w:szCs w:val="24"/>
        </w:rPr>
      </w:pPr>
      <w:r>
        <w:rPr>
          <w:rFonts w:hAnsi="宋体"/>
          <w:color w:val="000000"/>
          <w:sz w:val="24"/>
          <w:szCs w:val="24"/>
        </w:rPr>
        <w:t>5</w:t>
      </w:r>
      <w:r>
        <w:rPr>
          <w:rFonts w:hint="eastAsia" w:hAnsi="宋体"/>
          <w:color w:val="000000"/>
          <w:sz w:val="24"/>
          <w:szCs w:val="24"/>
        </w:rPr>
        <w:t>、一方依据约定要求解除协议的，应以书面形式向对方发出解除协议的通知，并在发出通知前7天告知对方，通知到达对方时协议解除。对解除协议有争议的，</w:t>
      </w:r>
      <w:r>
        <w:rPr>
          <w:rFonts w:hint="eastAsia" w:hAnsi="宋体"/>
          <w:sz w:val="24"/>
        </w:rPr>
        <w:t>由甲方所在地人民法院予以诉讼解决。</w:t>
      </w:r>
      <w:r>
        <w:rPr>
          <w:rFonts w:hint="eastAsia" w:hAnsi="宋体"/>
          <w:color w:val="000000"/>
          <w:sz w:val="24"/>
          <w:szCs w:val="24"/>
        </w:rPr>
        <w:t>。</w:t>
      </w:r>
    </w:p>
    <w:p>
      <w:pPr>
        <w:pStyle w:val="24"/>
        <w:spacing w:line="360" w:lineRule="auto"/>
        <w:ind w:firstLine="480" w:firstLineChars="200"/>
        <w:rPr>
          <w:rFonts w:hAnsi="宋体" w:cs="Times New Roman"/>
          <w:color w:val="000000"/>
          <w:sz w:val="24"/>
          <w:szCs w:val="24"/>
        </w:rPr>
      </w:pPr>
      <w:r>
        <w:rPr>
          <w:rFonts w:hAnsi="宋体"/>
          <w:color w:val="000000"/>
          <w:sz w:val="24"/>
          <w:szCs w:val="24"/>
        </w:rPr>
        <w:t>6</w:t>
      </w:r>
      <w:r>
        <w:rPr>
          <w:rFonts w:hint="eastAsia" w:hAnsi="宋体"/>
          <w:color w:val="000000"/>
          <w:sz w:val="24"/>
          <w:szCs w:val="24"/>
        </w:rPr>
        <w:t>、协议解除后，乙方应妥善做好已完工程的申报工作，甲方应根据实际工作量及协议约定向乙方支付已完成工程价款。</w:t>
      </w:r>
    </w:p>
    <w:p>
      <w:pPr>
        <w:pStyle w:val="24"/>
        <w:spacing w:line="360" w:lineRule="auto"/>
        <w:ind w:firstLine="480" w:firstLineChars="200"/>
        <w:rPr>
          <w:rFonts w:hAnsi="宋体"/>
          <w:color w:val="000000"/>
          <w:sz w:val="24"/>
          <w:szCs w:val="24"/>
        </w:rPr>
      </w:pPr>
      <w:r>
        <w:rPr>
          <w:rFonts w:hAnsi="宋体"/>
          <w:color w:val="000000"/>
          <w:sz w:val="24"/>
          <w:szCs w:val="24"/>
        </w:rPr>
        <w:t>7</w:t>
      </w:r>
      <w:r>
        <w:rPr>
          <w:rFonts w:hint="eastAsia" w:hAnsi="宋体"/>
          <w:color w:val="000000"/>
          <w:sz w:val="24"/>
          <w:szCs w:val="24"/>
        </w:rPr>
        <w:t>、协议解除后，不影响双方在协议中约定的结算和清理余款的效力。</w:t>
      </w:r>
    </w:p>
    <w:p>
      <w:pPr>
        <w:spacing w:line="360" w:lineRule="auto"/>
        <w:rPr>
          <w:rFonts w:ascii="宋体" w:hAnsi="宋体" w:eastAsia="宋体" w:cs="宋体"/>
          <w:b/>
          <w:sz w:val="24"/>
        </w:rPr>
      </w:pPr>
      <w:r>
        <w:rPr>
          <w:rFonts w:hint="eastAsia" w:ascii="宋体" w:hAnsi="宋体" w:eastAsia="宋体" w:cs="宋体"/>
          <w:b/>
          <w:sz w:val="24"/>
        </w:rPr>
        <w:t>第十四条：其</w:t>
      </w:r>
      <w:r>
        <w:rPr>
          <w:rFonts w:ascii="宋体" w:hAnsi="宋体" w:eastAsia="宋体" w:cs="宋体"/>
          <w:b/>
          <w:sz w:val="24"/>
        </w:rPr>
        <w:t>他</w:t>
      </w:r>
    </w:p>
    <w:p>
      <w:pPr>
        <w:pStyle w:val="24"/>
        <w:spacing w:line="360" w:lineRule="auto"/>
        <w:ind w:firstLine="480" w:firstLineChars="200"/>
        <w:rPr>
          <w:rFonts w:hAnsi="宋体"/>
          <w:color w:val="000000"/>
          <w:sz w:val="24"/>
          <w:szCs w:val="24"/>
        </w:rPr>
      </w:pPr>
      <w:r>
        <w:rPr>
          <w:rFonts w:hint="eastAsia" w:hAnsi="宋体"/>
          <w:color w:val="000000"/>
          <w:sz w:val="24"/>
          <w:szCs w:val="24"/>
        </w:rPr>
        <w:t>本协议一式拾肆份，甲方执拾贰份，乙方执贰份，都具同等法律效力。</w:t>
      </w:r>
    </w:p>
    <w:p>
      <w:pPr>
        <w:spacing w:line="360" w:lineRule="auto"/>
        <w:rPr>
          <w:rFonts w:ascii="宋体" w:hAnsi="宋体"/>
          <w:sz w:val="24"/>
        </w:rPr>
      </w:pPr>
    </w:p>
    <w:p>
      <w:pPr>
        <w:widowControl/>
        <w:spacing w:line="360" w:lineRule="auto"/>
        <w:jc w:val="left"/>
        <w:rPr>
          <w:rFonts w:ascii="宋体" w:hAnsi="宋体" w:eastAsia="宋体"/>
          <w:color w:val="000000"/>
          <w:szCs w:val="21"/>
        </w:rPr>
      </w:pPr>
      <w:r>
        <w:rPr>
          <w:rFonts w:hint="eastAsia" w:ascii="宋体" w:hAnsi="宋体" w:eastAsia="宋体"/>
          <w:color w:val="000000"/>
          <w:szCs w:val="21"/>
        </w:rPr>
        <w:t>甲方：</w:t>
      </w:r>
      <w:r>
        <w:rPr>
          <w:rFonts w:hint="eastAsia" w:ascii="宋体" w:hAnsi="宋体" w:eastAsia="宋体"/>
          <w:szCs w:val="21"/>
          <w:lang w:eastAsia="zh-CN"/>
        </w:rPr>
        <w:t>宁国水务有限公司</w:t>
      </w:r>
      <w:r>
        <w:rPr>
          <w:rFonts w:hint="eastAsia" w:ascii="宋体" w:hAnsi="宋体" w:eastAsia="宋体"/>
          <w:szCs w:val="21"/>
        </w:rPr>
        <w:t xml:space="preserve">  </w:t>
      </w:r>
      <w:r>
        <w:rPr>
          <w:rFonts w:hint="eastAsia" w:ascii="宋体" w:hAnsi="宋体" w:eastAsia="宋体"/>
          <w:color w:val="000000"/>
          <w:szCs w:val="21"/>
        </w:rPr>
        <w:t xml:space="preserve">          乙方：</w:t>
      </w:r>
      <w:r>
        <w:rPr>
          <w:rFonts w:ascii="宋体" w:hAnsi="宋体" w:eastAsia="宋体"/>
          <w:color w:val="000000"/>
          <w:szCs w:val="21"/>
        </w:rPr>
        <w:t xml:space="preserve"> </w:t>
      </w:r>
    </w:p>
    <w:p>
      <w:pPr>
        <w:widowControl/>
        <w:spacing w:line="360" w:lineRule="auto"/>
        <w:jc w:val="left"/>
        <w:rPr>
          <w:rFonts w:ascii="宋体" w:hAnsi="宋体" w:eastAsia="宋体"/>
          <w:color w:val="000000"/>
          <w:szCs w:val="21"/>
        </w:rPr>
      </w:pPr>
      <w:r>
        <w:rPr>
          <w:rFonts w:hint="eastAsia" w:ascii="宋体" w:hAnsi="宋体" w:eastAsia="宋体"/>
          <w:color w:val="000000"/>
          <w:szCs w:val="21"/>
        </w:rPr>
        <w:t>法定代表人：吴晖                            法定代表人：</w:t>
      </w:r>
    </w:p>
    <w:p>
      <w:pPr>
        <w:spacing w:line="360" w:lineRule="auto"/>
        <w:rPr>
          <w:rFonts w:ascii="宋体" w:hAnsi="宋体" w:eastAsia="宋体"/>
          <w:color w:val="000000"/>
          <w:szCs w:val="21"/>
        </w:rPr>
      </w:pPr>
      <w:r>
        <w:rPr>
          <w:rFonts w:hint="eastAsia" w:ascii="宋体" w:hAnsi="宋体" w:eastAsia="宋体"/>
          <w:color w:val="000000"/>
          <w:szCs w:val="21"/>
        </w:rPr>
        <w:t>委托代表人：                                委托代表人：赵刚</w:t>
      </w:r>
    </w:p>
    <w:p>
      <w:pPr>
        <w:spacing w:line="360" w:lineRule="auto"/>
        <w:ind w:left="5250" w:hanging="5250" w:hangingChars="2500"/>
        <w:jc w:val="left"/>
        <w:rPr>
          <w:rFonts w:ascii="宋体" w:hAnsi="宋体" w:eastAsia="宋体"/>
          <w:color w:val="000000"/>
          <w:szCs w:val="21"/>
        </w:rPr>
      </w:pPr>
      <w:r>
        <w:rPr>
          <w:rFonts w:hint="eastAsia" w:ascii="宋体" w:hAnsi="宋体" w:eastAsia="宋体"/>
          <w:color w:val="000000"/>
          <w:szCs w:val="21"/>
        </w:rPr>
        <w:t>地址：</w:t>
      </w:r>
      <w:r>
        <w:rPr>
          <w:rFonts w:hint="eastAsia" w:ascii="宋体" w:hAnsi="宋体" w:eastAsia="宋体"/>
          <w:szCs w:val="21"/>
        </w:rPr>
        <w:t>深圳市深南中路1019号万德大厦</w:t>
      </w:r>
      <w:r>
        <w:rPr>
          <w:rFonts w:ascii="宋体" w:hAnsi="宋体" w:eastAsia="宋体"/>
          <w:szCs w:val="21"/>
        </w:rPr>
        <w:t xml:space="preserve">         </w:t>
      </w:r>
      <w:r>
        <w:rPr>
          <w:rFonts w:hint="eastAsia" w:ascii="宋体" w:hAnsi="宋体" w:eastAsia="宋体"/>
          <w:color w:val="000000"/>
          <w:szCs w:val="21"/>
        </w:rPr>
        <w:t xml:space="preserve">地址：                         </w:t>
      </w:r>
    </w:p>
    <w:p>
      <w:pPr>
        <w:tabs>
          <w:tab w:val="left" w:pos="4740"/>
        </w:tabs>
        <w:spacing w:line="360" w:lineRule="auto"/>
        <w:jc w:val="left"/>
        <w:rPr>
          <w:rFonts w:ascii="宋体" w:hAnsi="宋体" w:eastAsia="宋体"/>
          <w:color w:val="000000"/>
          <w:szCs w:val="21"/>
        </w:rPr>
      </w:pPr>
      <w:r>
        <w:rPr>
          <w:rFonts w:hint="eastAsia" w:ascii="宋体" w:hAnsi="宋体" w:eastAsia="宋体"/>
          <w:color w:val="000000"/>
          <w:szCs w:val="21"/>
        </w:rPr>
        <w:t xml:space="preserve">电话：         </w:t>
      </w:r>
      <w:r>
        <w:rPr>
          <w:rFonts w:ascii="宋体" w:hAnsi="宋体" w:eastAsia="宋体"/>
          <w:color w:val="000000"/>
          <w:szCs w:val="21"/>
        </w:rPr>
        <w:t xml:space="preserve">                             </w:t>
      </w:r>
      <w:r>
        <w:rPr>
          <w:rFonts w:hint="eastAsia" w:ascii="宋体" w:hAnsi="宋体" w:eastAsia="宋体"/>
          <w:color w:val="000000"/>
          <w:szCs w:val="21"/>
        </w:rPr>
        <w:t>电话：</w:t>
      </w:r>
    </w:p>
    <w:p>
      <w:pPr>
        <w:spacing w:line="360" w:lineRule="auto"/>
        <w:rPr>
          <w:rFonts w:ascii="宋体" w:hAnsi="宋体" w:eastAsia="宋体"/>
          <w:color w:val="000000"/>
          <w:szCs w:val="21"/>
        </w:rPr>
      </w:pPr>
      <w:r>
        <w:rPr>
          <w:rFonts w:hint="eastAsia" w:ascii="宋体" w:hAnsi="宋体" w:eastAsia="宋体"/>
          <w:color w:val="000000"/>
          <w:szCs w:val="21"/>
        </w:rPr>
        <w:t>传真：</w:t>
      </w:r>
      <w:r>
        <w:rPr>
          <w:rFonts w:hint="eastAsia" w:ascii="宋体" w:hAnsi="宋体" w:eastAsia="宋体"/>
          <w:szCs w:val="21"/>
        </w:rPr>
        <w:t>0755-82137812</w:t>
      </w:r>
      <w:r>
        <w:rPr>
          <w:rFonts w:hint="eastAsia" w:ascii="宋体" w:hAnsi="宋体" w:eastAsia="宋体"/>
          <w:color w:val="000000"/>
          <w:szCs w:val="21"/>
        </w:rPr>
        <w:t xml:space="preserve">                         传真：</w:t>
      </w:r>
    </w:p>
    <w:p>
      <w:pPr>
        <w:spacing w:line="360" w:lineRule="auto"/>
        <w:rPr>
          <w:rFonts w:ascii="宋体" w:hAnsi="宋体" w:eastAsia="宋体"/>
          <w:color w:val="000000"/>
          <w:szCs w:val="21"/>
        </w:rPr>
      </w:pPr>
      <w:r>
        <w:rPr>
          <w:rFonts w:hint="eastAsia" w:ascii="宋体" w:hAnsi="宋体" w:eastAsia="宋体"/>
          <w:color w:val="000000"/>
          <w:szCs w:val="21"/>
        </w:rPr>
        <w:t>邮政编码：</w:t>
      </w:r>
      <w:r>
        <w:rPr>
          <w:rFonts w:hint="eastAsia" w:ascii="宋体" w:hAnsi="宋体" w:eastAsia="宋体"/>
          <w:szCs w:val="21"/>
        </w:rPr>
        <w:t>518031</w:t>
      </w:r>
      <w:r>
        <w:rPr>
          <w:rFonts w:hint="eastAsia" w:ascii="宋体" w:hAnsi="宋体" w:eastAsia="宋体"/>
          <w:color w:val="000000"/>
        </w:rPr>
        <w:t xml:space="preserve">    </w:t>
      </w:r>
      <w:r>
        <w:rPr>
          <w:rFonts w:hint="eastAsia" w:ascii="宋体" w:hAnsi="宋体" w:eastAsia="宋体"/>
          <w:color w:val="000000"/>
          <w:szCs w:val="21"/>
        </w:rPr>
        <w:t xml:space="preserve">                        邮政编码：</w:t>
      </w:r>
    </w:p>
    <w:p>
      <w:pPr>
        <w:spacing w:line="360" w:lineRule="auto"/>
        <w:ind w:left="5880" w:hanging="5880" w:hangingChars="2800"/>
        <w:rPr>
          <w:rFonts w:ascii="宋体" w:hAnsi="宋体" w:eastAsia="宋体"/>
          <w:szCs w:val="21"/>
        </w:rPr>
      </w:pPr>
      <w:r>
        <w:rPr>
          <w:rFonts w:hint="eastAsia" w:ascii="宋体" w:hAnsi="宋体" w:eastAsia="宋体"/>
          <w:color w:val="000000"/>
          <w:szCs w:val="21"/>
        </w:rPr>
        <w:t>开户银行：</w:t>
      </w:r>
      <w:r>
        <w:rPr>
          <w:rFonts w:hint="eastAsia" w:ascii="宋体" w:hAnsi="宋体" w:eastAsia="宋体"/>
          <w:szCs w:val="21"/>
        </w:rPr>
        <w:t>中国建设银行深圳深南中路支行</w:t>
      </w:r>
      <w:r>
        <w:rPr>
          <w:rFonts w:hint="eastAsia" w:ascii="宋体" w:hAnsi="宋体" w:eastAsia="宋体"/>
          <w:color w:val="000000"/>
          <w:szCs w:val="21"/>
        </w:rPr>
        <w:t xml:space="preserve">      开户银行：</w:t>
      </w:r>
    </w:p>
    <w:p>
      <w:pPr>
        <w:spacing w:line="360" w:lineRule="auto"/>
        <w:rPr>
          <w:rFonts w:ascii="宋体" w:hAnsi="宋体" w:eastAsia="宋体"/>
          <w:color w:val="000000"/>
          <w:szCs w:val="21"/>
        </w:rPr>
      </w:pPr>
      <w:r>
        <w:rPr>
          <w:rFonts w:hint="eastAsia" w:ascii="宋体" w:hAnsi="宋体" w:eastAsia="宋体"/>
          <w:color w:val="000000"/>
          <w:szCs w:val="21"/>
        </w:rPr>
        <w:t>账号：</w:t>
      </w:r>
      <w:r>
        <w:rPr>
          <w:rFonts w:hint="eastAsia" w:ascii="宋体" w:hAnsi="宋体" w:eastAsia="宋体"/>
          <w:szCs w:val="21"/>
        </w:rPr>
        <w:t xml:space="preserve">44201531000056007375 </w:t>
      </w:r>
      <w:r>
        <w:rPr>
          <w:rFonts w:hint="eastAsia" w:ascii="宋体" w:hAnsi="宋体" w:eastAsia="宋体"/>
          <w:color w:val="000000"/>
          <w:szCs w:val="21"/>
        </w:rPr>
        <w:t xml:space="preserve">                 账号：</w:t>
      </w:r>
    </w:p>
    <w:p>
      <w:pPr>
        <w:spacing w:line="360" w:lineRule="auto"/>
        <w:rPr>
          <w:rFonts w:ascii="宋体" w:hAnsi="宋体" w:eastAsia="宋体"/>
          <w:color w:val="000000"/>
          <w:szCs w:val="21"/>
        </w:rPr>
      </w:pPr>
      <w:r>
        <w:rPr>
          <w:rFonts w:hint="eastAsia" w:ascii="宋体" w:hAnsi="宋体" w:eastAsia="宋体"/>
          <w:color w:val="000000"/>
          <w:szCs w:val="21"/>
        </w:rPr>
        <w:t>税号：</w:t>
      </w:r>
      <w:r>
        <w:rPr>
          <w:rFonts w:hint="eastAsia" w:ascii="宋体" w:hAnsi="宋体" w:eastAsia="宋体"/>
          <w:szCs w:val="21"/>
        </w:rPr>
        <w:t>914403001921755419</w:t>
      </w:r>
      <w:r>
        <w:rPr>
          <w:rFonts w:hint="eastAsia" w:ascii="宋体" w:hAnsi="宋体" w:eastAsia="宋体"/>
          <w:color w:val="000000"/>
          <w:szCs w:val="21"/>
        </w:rPr>
        <w:t xml:space="preserve">                    税号：</w:t>
      </w:r>
    </w:p>
    <w:p>
      <w:pPr>
        <w:spacing w:line="360" w:lineRule="auto"/>
        <w:rPr>
          <w:rFonts w:ascii="宋体" w:hAnsi="宋体" w:eastAsia="宋体"/>
        </w:rPr>
      </w:pPr>
      <w:r>
        <w:rPr>
          <w:rFonts w:hint="eastAsia" w:ascii="宋体" w:hAnsi="宋体" w:eastAsia="宋体"/>
          <w:color w:val="000000"/>
        </w:rPr>
        <w:t>经办人:                                     经办人:</w:t>
      </w:r>
    </w:p>
    <w:p>
      <w:pPr>
        <w:spacing w:line="360" w:lineRule="auto"/>
        <w:jc w:val="left"/>
        <w:rPr>
          <w:rFonts w:ascii="宋体" w:hAnsi="宋体" w:eastAsia="宋体" w:cs="宋体"/>
          <w:color w:val="000000"/>
          <w:szCs w:val="21"/>
        </w:rPr>
      </w:pPr>
    </w:p>
    <w:p>
      <w:pPr>
        <w:spacing w:line="360" w:lineRule="auto"/>
        <w:ind w:firstLine="420"/>
        <w:rPr>
          <w:rFonts w:ascii="宋体" w:hAnsi="宋体" w:eastAsia="宋体" w:cs="宋体"/>
          <w:color w:val="000000"/>
          <w:szCs w:val="21"/>
        </w:rPr>
      </w:pPr>
    </w:p>
    <w:p>
      <w:pPr>
        <w:spacing w:line="360" w:lineRule="auto"/>
        <w:rPr>
          <w:rFonts w:ascii="宋体" w:hAnsi="宋体" w:eastAsia="宋体" w:cs="宋体"/>
          <w:color w:val="000000"/>
          <w:szCs w:val="21"/>
        </w:rPr>
      </w:pPr>
      <w:r>
        <w:rPr>
          <w:rFonts w:hint="eastAsia" w:ascii="宋体" w:hAnsi="宋体" w:eastAsia="宋体" w:cs="宋体"/>
          <w:color w:val="000000"/>
          <w:szCs w:val="21"/>
        </w:rPr>
        <w:t>附注：</w:t>
      </w:r>
    </w:p>
    <w:p>
      <w:pPr>
        <w:spacing w:line="360" w:lineRule="auto"/>
        <w:rPr>
          <w:rFonts w:ascii="宋体" w:hAnsi="宋体" w:eastAsia="宋体" w:cs="宋体"/>
          <w:color w:val="000000"/>
          <w:szCs w:val="21"/>
        </w:rPr>
      </w:pPr>
      <w:r>
        <w:rPr>
          <w:rFonts w:hint="eastAsia" w:ascii="宋体" w:hAnsi="宋体" w:eastAsia="宋体" w:cs="宋体"/>
          <w:color w:val="000000"/>
          <w:szCs w:val="21"/>
        </w:rPr>
        <w:t>1、本合同所有条款均在签订合同时编制，确定合同内容依据为招标文件和中标人的投标文件及相关确认文件；</w:t>
      </w:r>
    </w:p>
    <w:p>
      <w:pPr>
        <w:tabs>
          <w:tab w:val="left" w:pos="7560"/>
        </w:tabs>
        <w:spacing w:line="360" w:lineRule="auto"/>
        <w:rPr>
          <w:rFonts w:ascii="宋体" w:hAnsi="宋体" w:eastAsia="宋体" w:cs="宋体"/>
          <w:color w:val="000000"/>
          <w:szCs w:val="21"/>
        </w:rPr>
      </w:pPr>
      <w:r>
        <w:rPr>
          <w:rFonts w:hint="eastAsia" w:ascii="宋体" w:hAnsi="宋体" w:eastAsia="宋体" w:cs="宋体"/>
          <w:bCs/>
          <w:color w:val="000000"/>
          <w:szCs w:val="21"/>
        </w:rPr>
        <w:t>2、项目重要内容（如：双方权利义务、功能要求说明等）可作为附件</w:t>
      </w:r>
      <w:r>
        <w:rPr>
          <w:rFonts w:hint="eastAsia" w:ascii="宋体" w:hAnsi="宋体" w:eastAsia="宋体" w:cs="宋体"/>
          <w:color w:val="000000"/>
          <w:szCs w:val="21"/>
        </w:rPr>
        <w:t>。</w:t>
      </w:r>
    </w:p>
    <w:p>
      <w:pPr>
        <w:spacing w:line="360" w:lineRule="auto"/>
        <w:jc w:val="center"/>
        <w:outlineLvl w:val="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br w:type="page"/>
      </w:r>
      <w:r>
        <w:rPr>
          <w:rFonts w:hint="eastAsia" w:ascii="宋体" w:hAnsi="宋体" w:eastAsia="宋体" w:cs="宋体"/>
          <w:b/>
          <w:sz w:val="28"/>
          <w:szCs w:val="28"/>
        </w:rPr>
        <w:t>第五章  服务清单</w:t>
      </w:r>
    </w:p>
    <w:p>
      <w:pPr>
        <w:spacing w:line="360" w:lineRule="auto"/>
        <w:rPr>
          <w:color w:val="000000" w:themeColor="text1"/>
          <w14:textFill>
            <w14:solidFill>
              <w14:schemeClr w14:val="tx1"/>
            </w14:solidFill>
          </w14:textFill>
        </w:rPr>
      </w:pPr>
    </w:p>
    <w:tbl>
      <w:tblPr>
        <w:tblStyle w:val="40"/>
        <w:tblW w:w="5000" w:type="pct"/>
        <w:tblInd w:w="0" w:type="dxa"/>
        <w:tblLayout w:type="autofit"/>
        <w:tblCellMar>
          <w:top w:w="0" w:type="dxa"/>
          <w:left w:w="108" w:type="dxa"/>
          <w:bottom w:w="0" w:type="dxa"/>
          <w:right w:w="108" w:type="dxa"/>
        </w:tblCellMar>
      </w:tblPr>
      <w:tblGrid>
        <w:gridCol w:w="726"/>
        <w:gridCol w:w="1306"/>
        <w:gridCol w:w="6786"/>
        <w:gridCol w:w="468"/>
      </w:tblGrid>
      <w:tr>
        <w:tblPrEx>
          <w:tblCellMar>
            <w:top w:w="0" w:type="dxa"/>
            <w:left w:w="108" w:type="dxa"/>
            <w:bottom w:w="0" w:type="dxa"/>
            <w:right w:w="108" w:type="dxa"/>
          </w:tblCellMar>
        </w:tblPrEx>
        <w:trPr>
          <w:trHeight w:val="405" w:hRule="atLeast"/>
        </w:trPr>
        <w:tc>
          <w:tcPr>
            <w:tcW w:w="5000" w:type="pct"/>
            <w:gridSpan w:val="4"/>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themeColor="text1"/>
                <w:kern w:val="0"/>
                <w:szCs w:val="21"/>
                <w:lang w:bidi="ar"/>
                <w14:textFill>
                  <w14:solidFill>
                    <w14:schemeClr w14:val="tx1"/>
                  </w14:solidFill>
                </w14:textFill>
              </w:rPr>
              <w:t>项目名称：宁国水务有限公司2024年供水管网探漏服务</w:t>
            </w:r>
          </w:p>
        </w:tc>
      </w:tr>
      <w:tr>
        <w:tblPrEx>
          <w:tblCellMar>
            <w:top w:w="0" w:type="dxa"/>
            <w:left w:w="108" w:type="dxa"/>
            <w:bottom w:w="0" w:type="dxa"/>
            <w:right w:w="108" w:type="dxa"/>
          </w:tblCellMar>
        </w:tblPrEx>
        <w:trPr>
          <w:trHeight w:val="285" w:hRule="atLeast"/>
        </w:trPr>
        <w:tc>
          <w:tcPr>
            <w:tcW w:w="39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序号</w:t>
            </w:r>
          </w:p>
        </w:tc>
        <w:tc>
          <w:tcPr>
            <w:tcW w:w="703"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名称</w:t>
            </w:r>
          </w:p>
        </w:tc>
        <w:tc>
          <w:tcPr>
            <w:tcW w:w="3654"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服务内容</w:t>
            </w:r>
          </w:p>
        </w:tc>
        <w:tc>
          <w:tcPr>
            <w:tcW w:w="252"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备注</w:t>
            </w:r>
          </w:p>
        </w:tc>
      </w:tr>
      <w:tr>
        <w:tblPrEx>
          <w:tblCellMar>
            <w:top w:w="0" w:type="dxa"/>
            <w:left w:w="108" w:type="dxa"/>
            <w:bottom w:w="0" w:type="dxa"/>
            <w:right w:w="108" w:type="dxa"/>
          </w:tblCellMar>
        </w:tblPrEx>
        <w:trPr>
          <w:trHeight w:val="1197" w:hRule="atLeast"/>
        </w:trPr>
        <w:tc>
          <w:tcPr>
            <w:tcW w:w="391" w:type="pc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703" w:type="pct"/>
            <w:tcBorders>
              <w:top w:val="nil"/>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计划</w:t>
            </w:r>
          </w:p>
        </w:tc>
        <w:tc>
          <w:tcPr>
            <w:tcW w:w="3654" w:type="pct"/>
            <w:tcBorders>
              <w:top w:val="nil"/>
              <w:left w:val="nil"/>
              <w:bottom w:val="single" w:color="000000" w:sz="8" w:space="0"/>
              <w:right w:val="single" w:color="000000" w:sz="8"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制定检漏计划。</w:t>
            </w:r>
            <w:r>
              <w:rPr>
                <w:rFonts w:hint="eastAsia" w:ascii="宋体" w:hAnsi="宋体" w:eastAsia="宋体" w:cs="宋体"/>
                <w:color w:val="000000" w:themeColor="text1"/>
                <w:szCs w:val="21"/>
                <w14:textFill>
                  <w14:solidFill>
                    <w14:schemeClr w14:val="tx1"/>
                  </w14:solidFill>
                </w14:textFill>
              </w:rPr>
              <w:t>三水厂高压管区域、低压管区域及河沥溪水厂所覆盖的供水区域的日常探漏、定点</w:t>
            </w:r>
            <w:r>
              <w:rPr>
                <w:rFonts w:hint="eastAsia" w:cs="宋体" w:asciiTheme="minorEastAsia" w:hAnsiTheme="minorEastAsia" w:eastAsiaTheme="minorEastAsia"/>
                <w:color w:val="000000"/>
                <w:kern w:val="0"/>
                <w:szCs w:val="21"/>
              </w:rPr>
              <w:t>，对于辖区分公司指定的重点检漏区域，应根据分公司要求增加检漏频次。</w:t>
            </w:r>
          </w:p>
        </w:tc>
        <w:tc>
          <w:tcPr>
            <w:tcW w:w="252" w:type="pct"/>
            <w:tcBorders>
              <w:top w:val="nil"/>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r>
      <w:tr>
        <w:tblPrEx>
          <w:tblCellMar>
            <w:top w:w="0" w:type="dxa"/>
            <w:left w:w="108" w:type="dxa"/>
            <w:bottom w:w="0" w:type="dxa"/>
            <w:right w:w="108" w:type="dxa"/>
          </w:tblCellMar>
        </w:tblPrEx>
        <w:trPr>
          <w:trHeight w:val="974" w:hRule="atLeast"/>
        </w:trPr>
        <w:tc>
          <w:tcPr>
            <w:tcW w:w="391" w:type="pc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703" w:type="pct"/>
            <w:tcBorders>
              <w:top w:val="nil"/>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实施</w:t>
            </w:r>
          </w:p>
        </w:tc>
        <w:tc>
          <w:tcPr>
            <w:tcW w:w="3654" w:type="pct"/>
            <w:tcBorders>
              <w:top w:val="nil"/>
              <w:left w:val="nil"/>
              <w:bottom w:val="single" w:color="000000" w:sz="8" w:space="0"/>
              <w:right w:val="single" w:color="000000" w:sz="8"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供水管线(包含市政及小区自然村)以及原水管、中水管等压力管的日常探漏、定点。</w:t>
            </w:r>
          </w:p>
        </w:tc>
        <w:tc>
          <w:tcPr>
            <w:tcW w:w="252" w:type="pct"/>
            <w:tcBorders>
              <w:top w:val="nil"/>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r>
      <w:tr>
        <w:tblPrEx>
          <w:tblCellMar>
            <w:top w:w="0" w:type="dxa"/>
            <w:left w:w="108" w:type="dxa"/>
            <w:bottom w:w="0" w:type="dxa"/>
            <w:right w:w="108" w:type="dxa"/>
          </w:tblCellMar>
        </w:tblPrEx>
        <w:trPr>
          <w:trHeight w:val="554" w:hRule="atLeast"/>
        </w:trPr>
        <w:tc>
          <w:tcPr>
            <w:tcW w:w="391" w:type="pct"/>
            <w:tcBorders>
              <w:top w:val="nil"/>
              <w:left w:val="single" w:color="000000" w:sz="8" w:space="0"/>
              <w:bottom w:val="single" w:color="auto" w:sz="4"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703" w:type="pct"/>
            <w:tcBorders>
              <w:top w:val="nil"/>
              <w:left w:val="nil"/>
              <w:bottom w:val="single" w:color="auto" w:sz="4"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上报</w:t>
            </w:r>
          </w:p>
        </w:tc>
        <w:tc>
          <w:tcPr>
            <w:tcW w:w="3654" w:type="pct"/>
            <w:tcBorders>
              <w:top w:val="nil"/>
              <w:left w:val="nil"/>
              <w:bottom w:val="single" w:color="auto" w:sz="4" w:space="0"/>
              <w:right w:val="single" w:color="000000" w:sz="8"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探得漏点应2个工作日内上报。</w:t>
            </w:r>
          </w:p>
        </w:tc>
        <w:tc>
          <w:tcPr>
            <w:tcW w:w="252" w:type="pct"/>
            <w:tcBorders>
              <w:top w:val="nil"/>
              <w:left w:val="nil"/>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r>
      <w:tr>
        <w:tblPrEx>
          <w:tblCellMar>
            <w:top w:w="0" w:type="dxa"/>
            <w:left w:w="108" w:type="dxa"/>
            <w:bottom w:w="0" w:type="dxa"/>
            <w:right w:w="108" w:type="dxa"/>
          </w:tblCellMar>
        </w:tblPrEx>
        <w:trPr>
          <w:trHeight w:val="690" w:hRule="atLeast"/>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分析总结</w:t>
            </w:r>
          </w:p>
        </w:tc>
        <w:tc>
          <w:tcPr>
            <w:tcW w:w="36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每季度汇总漏点信息，并形成分析总结报告。</w:t>
            </w:r>
          </w:p>
        </w:tc>
        <w:tc>
          <w:tcPr>
            <w:tcW w:w="252" w:type="pct"/>
            <w:tcBorders>
              <w:top w:val="nil"/>
              <w:left w:val="single" w:color="auto" w:sz="4" w:space="0"/>
              <w:bottom w:val="nil"/>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r>
      <w:tr>
        <w:tblPrEx>
          <w:tblCellMar>
            <w:top w:w="0" w:type="dxa"/>
            <w:left w:w="108" w:type="dxa"/>
            <w:bottom w:w="0" w:type="dxa"/>
            <w:right w:w="108" w:type="dxa"/>
          </w:tblCellMar>
        </w:tblPrEx>
        <w:trPr>
          <w:trHeight w:val="690" w:hRule="atLeast"/>
        </w:trPr>
        <w:tc>
          <w:tcPr>
            <w:tcW w:w="3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70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预估数量</w:t>
            </w:r>
          </w:p>
        </w:tc>
        <w:tc>
          <w:tcPr>
            <w:tcW w:w="365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spacing w:before="0" w:after="0" w:line="360" w:lineRule="auto"/>
              <w:rPr>
                <w:rFonts w:cs="宋体" w:asciiTheme="minorEastAsia" w:hAnsiTheme="minorEastAsia" w:eastAsiaTheme="minorEastAsia"/>
                <w:color w:val="000000"/>
                <w:kern w:val="0"/>
                <w:szCs w:val="21"/>
              </w:rPr>
            </w:pPr>
            <w:r>
              <w:rPr>
                <w:rFonts w:hint="eastAsia" w:ascii="宋体" w:hAnsi="宋体" w:eastAsia="宋体" w:cs="宋体"/>
                <w:b w:val="0"/>
                <w:bCs w:val="0"/>
                <w:color w:val="000000" w:themeColor="text1"/>
                <w:sz w:val="21"/>
                <w:szCs w:val="21"/>
                <w14:textFill>
                  <w14:solidFill>
                    <w14:schemeClr w14:val="tx1"/>
                  </w14:solidFill>
                </w14:textFill>
              </w:rPr>
              <w:t>预计项目数量933m³/h（该数量为投标预估数量包含定点，不为最终发生数量）</w:t>
            </w:r>
          </w:p>
        </w:tc>
        <w:tc>
          <w:tcPr>
            <w:tcW w:w="252" w:type="pct"/>
            <w:tcBorders>
              <w:top w:val="nil"/>
              <w:left w:val="single" w:color="auto" w:sz="4" w:space="0"/>
              <w:bottom w:val="single" w:color="000000" w:sz="8" w:space="0"/>
              <w:right w:val="single" w:color="000000" w:sz="8" w:space="0"/>
            </w:tcBorders>
            <w:shd w:val="clear" w:color="auto" w:fill="auto"/>
            <w:vAlign w:val="center"/>
          </w:tcPr>
          <w:p>
            <w:pPr>
              <w:widowControl/>
              <w:jc w:val="center"/>
              <w:rPr>
                <w:rFonts w:cs="宋体" w:asciiTheme="minorEastAsia" w:hAnsiTheme="minorEastAsia" w:eastAsiaTheme="minorEastAsia"/>
                <w:color w:val="000000"/>
                <w:kern w:val="0"/>
                <w:szCs w:val="21"/>
              </w:rPr>
            </w:pPr>
          </w:p>
        </w:tc>
      </w:tr>
    </w:tbl>
    <w:p>
      <w:pPr>
        <w:rPr>
          <w:rFonts w:ascii="宋体" w:hAnsi="宋体" w:eastAsia="宋体"/>
          <w:color w:val="000000" w:themeColor="text1"/>
          <w:sz w:val="28"/>
          <w:szCs w:val="28"/>
          <w14:textFill>
            <w14:solidFill>
              <w14:schemeClr w14:val="tx1"/>
            </w14:solidFill>
          </w14:textFill>
        </w:rPr>
      </w:pPr>
    </w:p>
    <w:p>
      <w:pPr>
        <w:tabs>
          <w:tab w:val="left" w:pos="7560"/>
        </w:tabs>
        <w:spacing w:line="360" w:lineRule="auto"/>
        <w:ind w:right="-512" w:rightChars="-244"/>
        <w:rPr>
          <w:rFonts w:ascii="宋体" w:hAnsi="宋体" w:eastAsia="宋体"/>
          <w:b/>
          <w:bCs/>
          <w:szCs w:val="21"/>
        </w:rPr>
      </w:pPr>
      <w:r>
        <w:rPr>
          <w:rFonts w:hint="eastAsia" w:ascii="宋体" w:hAnsi="宋体" w:eastAsia="宋体"/>
          <w:b/>
          <w:bCs/>
          <w:szCs w:val="21"/>
        </w:rPr>
        <w:t>报</w:t>
      </w:r>
      <w:r>
        <w:rPr>
          <w:rFonts w:ascii="宋体" w:hAnsi="宋体" w:eastAsia="宋体"/>
          <w:b/>
          <w:bCs/>
          <w:szCs w:val="21"/>
        </w:rPr>
        <w:t>价</w:t>
      </w:r>
      <w:r>
        <w:rPr>
          <w:rFonts w:hint="eastAsia" w:ascii="宋体" w:hAnsi="宋体" w:eastAsia="宋体"/>
          <w:b/>
          <w:bCs/>
          <w:szCs w:val="21"/>
        </w:rPr>
        <w:t>说明：</w:t>
      </w:r>
    </w:p>
    <w:p>
      <w:pPr>
        <w:autoSpaceDE w:val="0"/>
        <w:autoSpaceDN w:val="0"/>
        <w:adjustRightInd w:val="0"/>
        <w:spacing w:line="360" w:lineRule="auto"/>
        <w:jc w:val="left"/>
        <w:rPr>
          <w:rFonts w:ascii="宋体" w:hAnsi="宋体" w:eastAsia="宋体"/>
          <w:kern w:val="0"/>
          <w:szCs w:val="21"/>
        </w:rPr>
      </w:pPr>
      <w:r>
        <w:rPr>
          <w:rFonts w:hint="eastAsia" w:ascii="宋体" w:hAnsi="宋体" w:eastAsia="宋体"/>
          <w:kern w:val="0"/>
          <w:szCs w:val="21"/>
        </w:rPr>
        <w:t>1、投标</w:t>
      </w:r>
      <w:r>
        <w:rPr>
          <w:rFonts w:ascii="宋体" w:hAnsi="宋体" w:eastAsia="宋体"/>
          <w:kern w:val="0"/>
          <w:szCs w:val="21"/>
        </w:rPr>
        <w:t>人需</w:t>
      </w:r>
      <w:r>
        <w:rPr>
          <w:rFonts w:hint="eastAsia" w:ascii="宋体" w:hAnsi="宋体" w:eastAsia="宋体"/>
          <w:kern w:val="0"/>
          <w:szCs w:val="21"/>
        </w:rPr>
        <w:t>参考根据上述清单计算招标项</w:t>
      </w:r>
      <w:r>
        <w:rPr>
          <w:rFonts w:ascii="宋体" w:hAnsi="宋体" w:eastAsia="宋体"/>
          <w:kern w:val="0"/>
          <w:szCs w:val="21"/>
        </w:rPr>
        <w:t>目</w:t>
      </w:r>
      <w:r>
        <w:rPr>
          <w:rFonts w:hint="eastAsia" w:ascii="宋体" w:hAnsi="宋体" w:eastAsia="宋体"/>
          <w:kern w:val="0"/>
          <w:szCs w:val="21"/>
        </w:rPr>
        <w:t>投标报价</w:t>
      </w:r>
      <w:r>
        <w:rPr>
          <w:rFonts w:hint="eastAsia" w:ascii="宋体" w:hAnsi="宋体" w:eastAsia="宋体" w:cs="宋体"/>
          <w:szCs w:val="21"/>
        </w:rPr>
        <w:t>（暂定投标总价）</w:t>
      </w:r>
      <w:r>
        <w:rPr>
          <w:rFonts w:hint="eastAsia" w:ascii="宋体" w:hAnsi="宋体" w:eastAsia="宋体"/>
          <w:kern w:val="0"/>
          <w:szCs w:val="21"/>
        </w:rPr>
        <w:t>，作为</w:t>
      </w:r>
      <w:r>
        <w:rPr>
          <w:rFonts w:ascii="宋体" w:hAnsi="宋体" w:eastAsia="宋体"/>
          <w:kern w:val="0"/>
          <w:szCs w:val="21"/>
        </w:rPr>
        <w:t>评标</w:t>
      </w:r>
      <w:r>
        <w:rPr>
          <w:rFonts w:hint="eastAsia" w:ascii="宋体" w:hAnsi="宋体" w:eastAsia="宋体"/>
          <w:kern w:val="0"/>
          <w:szCs w:val="21"/>
        </w:rPr>
        <w:t>的</w:t>
      </w:r>
      <w:r>
        <w:rPr>
          <w:rFonts w:ascii="宋体" w:hAnsi="宋体" w:eastAsia="宋体"/>
          <w:kern w:val="0"/>
          <w:szCs w:val="21"/>
        </w:rPr>
        <w:t>依据, 但以上的参考采购</w:t>
      </w:r>
      <w:r>
        <w:rPr>
          <w:rFonts w:hint="eastAsia" w:ascii="宋体" w:hAnsi="宋体" w:eastAsia="宋体"/>
          <w:kern w:val="0"/>
          <w:szCs w:val="21"/>
        </w:rPr>
        <w:t>服</w:t>
      </w:r>
      <w:r>
        <w:rPr>
          <w:rFonts w:ascii="宋体" w:hAnsi="宋体" w:eastAsia="宋体"/>
          <w:kern w:val="0"/>
          <w:szCs w:val="21"/>
        </w:rPr>
        <w:t>务量并不是招标人承诺中标后的实际采购</w:t>
      </w:r>
      <w:r>
        <w:rPr>
          <w:rFonts w:hint="eastAsia" w:ascii="宋体" w:hAnsi="宋体" w:eastAsia="宋体"/>
          <w:kern w:val="0"/>
          <w:szCs w:val="21"/>
        </w:rPr>
        <w:t>服</w:t>
      </w:r>
      <w:r>
        <w:rPr>
          <w:rFonts w:ascii="宋体" w:hAnsi="宋体" w:eastAsia="宋体"/>
          <w:kern w:val="0"/>
          <w:szCs w:val="21"/>
        </w:rPr>
        <w:t>务量，招标人的实际采购</w:t>
      </w:r>
      <w:r>
        <w:rPr>
          <w:rFonts w:hint="eastAsia" w:ascii="宋体" w:hAnsi="宋体" w:eastAsia="宋体"/>
          <w:kern w:val="0"/>
          <w:szCs w:val="21"/>
        </w:rPr>
        <w:t>服</w:t>
      </w:r>
      <w:r>
        <w:rPr>
          <w:rFonts w:ascii="宋体" w:hAnsi="宋体" w:eastAsia="宋体"/>
          <w:kern w:val="0"/>
          <w:szCs w:val="21"/>
        </w:rPr>
        <w:t>务量最终以</w:t>
      </w:r>
      <w:r>
        <w:rPr>
          <w:rFonts w:hint="eastAsia" w:ascii="宋体" w:hAnsi="宋体" w:eastAsia="宋体"/>
          <w:szCs w:val="21"/>
        </w:rPr>
        <w:t>实</w:t>
      </w:r>
      <w:r>
        <w:rPr>
          <w:rFonts w:ascii="宋体" w:hAnsi="宋体" w:eastAsia="宋体"/>
          <w:szCs w:val="21"/>
        </w:rPr>
        <w:t>际</w:t>
      </w:r>
      <w:r>
        <w:rPr>
          <w:rFonts w:hint="eastAsia" w:ascii="宋体" w:hAnsi="宋体" w:eastAsia="宋体"/>
          <w:szCs w:val="21"/>
        </w:rPr>
        <w:t>服务数量</w:t>
      </w:r>
      <w:r>
        <w:rPr>
          <w:rFonts w:ascii="宋体" w:hAnsi="宋体" w:eastAsia="宋体"/>
          <w:kern w:val="0"/>
          <w:szCs w:val="21"/>
        </w:rPr>
        <w:t>为准。</w:t>
      </w:r>
    </w:p>
    <w:p>
      <w:pPr>
        <w:tabs>
          <w:tab w:val="left" w:pos="7560"/>
        </w:tabs>
        <w:autoSpaceDE w:val="0"/>
        <w:autoSpaceDN w:val="0"/>
        <w:adjustRightInd w:val="0"/>
        <w:spacing w:line="360" w:lineRule="auto"/>
        <w:jc w:val="left"/>
        <w:rPr>
          <w:rFonts w:ascii="宋体" w:hAnsi="宋体" w:eastAsia="宋体"/>
          <w:b/>
          <w:bCs/>
          <w:sz w:val="28"/>
          <w:szCs w:val="28"/>
        </w:rPr>
      </w:pPr>
      <w:r>
        <w:rPr>
          <w:rFonts w:ascii="宋体" w:hAnsi="宋体" w:eastAsia="宋体"/>
          <w:kern w:val="0"/>
          <w:szCs w:val="21"/>
        </w:rPr>
        <w:t>2</w:t>
      </w:r>
      <w:r>
        <w:rPr>
          <w:rFonts w:hint="eastAsia" w:ascii="宋体" w:hAnsi="宋体" w:eastAsia="宋体"/>
          <w:kern w:val="0"/>
          <w:szCs w:val="21"/>
        </w:rPr>
        <w:t>、投标人中标后，</w:t>
      </w:r>
      <w:r>
        <w:rPr>
          <w:rFonts w:hint="eastAsia" w:ascii="宋体" w:hAnsi="宋体" w:eastAsia="宋体"/>
          <w:szCs w:val="21"/>
        </w:rPr>
        <w:t>由招</w:t>
      </w:r>
      <w:r>
        <w:rPr>
          <w:rFonts w:ascii="宋体" w:hAnsi="宋体" w:eastAsia="宋体"/>
          <w:szCs w:val="21"/>
        </w:rPr>
        <w:t>标人</w:t>
      </w:r>
      <w:r>
        <w:rPr>
          <w:rFonts w:hint="eastAsia" w:ascii="宋体" w:hAnsi="宋体" w:eastAsia="宋体"/>
          <w:szCs w:val="21"/>
        </w:rPr>
        <w:t>与</w:t>
      </w:r>
      <w:r>
        <w:rPr>
          <w:rFonts w:ascii="宋体" w:hAnsi="宋体" w:eastAsia="宋体"/>
          <w:szCs w:val="21"/>
        </w:rPr>
        <w:t>中标年度供应商签订年度单价</w:t>
      </w:r>
      <w:r>
        <w:rPr>
          <w:rFonts w:hint="eastAsia" w:ascii="宋体" w:hAnsi="宋体" w:eastAsia="宋体"/>
          <w:szCs w:val="21"/>
        </w:rPr>
        <w:t>协</w:t>
      </w:r>
      <w:r>
        <w:rPr>
          <w:rFonts w:ascii="宋体" w:hAnsi="宋体" w:eastAsia="宋体"/>
          <w:szCs w:val="21"/>
        </w:rPr>
        <w:t>议</w:t>
      </w:r>
      <w:r>
        <w:rPr>
          <w:rFonts w:hint="eastAsia" w:ascii="宋体" w:hAnsi="宋体" w:eastAsia="宋体"/>
          <w:szCs w:val="21"/>
        </w:rPr>
        <w:t>；招</w:t>
      </w:r>
      <w:r>
        <w:rPr>
          <w:rFonts w:ascii="宋体" w:hAnsi="宋体" w:eastAsia="宋体"/>
          <w:szCs w:val="21"/>
        </w:rPr>
        <w:t>标人</w:t>
      </w:r>
      <w:r>
        <w:rPr>
          <w:rFonts w:hint="eastAsia" w:ascii="宋体" w:hAnsi="宋体" w:eastAsia="宋体"/>
          <w:szCs w:val="21"/>
        </w:rPr>
        <w:t>采</w:t>
      </w:r>
      <w:r>
        <w:rPr>
          <w:rFonts w:ascii="宋体" w:hAnsi="宋体" w:eastAsia="宋体"/>
          <w:szCs w:val="21"/>
        </w:rPr>
        <w:t>购主体</w:t>
      </w:r>
      <w:r>
        <w:rPr>
          <w:rFonts w:hint="eastAsia" w:ascii="宋体" w:hAnsi="宋体" w:eastAsia="宋体"/>
          <w:szCs w:val="21"/>
        </w:rPr>
        <w:t>根</w:t>
      </w:r>
      <w:r>
        <w:rPr>
          <w:rFonts w:ascii="宋体" w:hAnsi="宋体" w:eastAsia="宋体"/>
          <w:szCs w:val="21"/>
        </w:rPr>
        <w:t>据年度单价</w:t>
      </w:r>
      <w:r>
        <w:rPr>
          <w:rFonts w:hint="eastAsia" w:ascii="宋体" w:hAnsi="宋体" w:eastAsia="宋体"/>
          <w:szCs w:val="21"/>
        </w:rPr>
        <w:t>协</w:t>
      </w:r>
      <w:r>
        <w:rPr>
          <w:rFonts w:ascii="宋体" w:hAnsi="宋体" w:eastAsia="宋体"/>
          <w:szCs w:val="21"/>
        </w:rPr>
        <w:t>议</w:t>
      </w:r>
      <w:r>
        <w:rPr>
          <w:rFonts w:hint="eastAsia" w:ascii="宋体" w:hAnsi="宋体" w:eastAsia="宋体"/>
          <w:szCs w:val="21"/>
        </w:rPr>
        <w:t>，根</w:t>
      </w:r>
      <w:r>
        <w:rPr>
          <w:rFonts w:ascii="宋体" w:hAnsi="宋体" w:eastAsia="宋体"/>
          <w:szCs w:val="21"/>
        </w:rPr>
        <w:t>据</w:t>
      </w:r>
      <w:r>
        <w:rPr>
          <w:rFonts w:hint="eastAsia" w:ascii="宋体" w:hAnsi="宋体" w:eastAsia="宋体"/>
          <w:szCs w:val="21"/>
        </w:rPr>
        <w:t>中</w:t>
      </w:r>
      <w:r>
        <w:rPr>
          <w:rFonts w:ascii="宋体" w:hAnsi="宋体" w:eastAsia="宋体"/>
          <w:szCs w:val="21"/>
        </w:rPr>
        <w:t>标</w:t>
      </w:r>
      <w:r>
        <w:rPr>
          <w:rFonts w:hint="eastAsia" w:ascii="宋体" w:hAnsi="宋体" w:eastAsia="宋体"/>
          <w:szCs w:val="21"/>
        </w:rPr>
        <w:t>约</w:t>
      </w:r>
      <w:r>
        <w:rPr>
          <w:rFonts w:ascii="宋体" w:hAnsi="宋体" w:eastAsia="宋体"/>
          <w:szCs w:val="21"/>
        </w:rPr>
        <w:t>定</w:t>
      </w:r>
      <w:r>
        <w:rPr>
          <w:rFonts w:hint="eastAsia" w:ascii="宋体" w:hAnsi="宋体" w:eastAsia="宋体"/>
          <w:szCs w:val="21"/>
        </w:rPr>
        <w:t>，按</w:t>
      </w:r>
      <w:r>
        <w:rPr>
          <w:rFonts w:ascii="宋体" w:hAnsi="宋体" w:eastAsia="宋体"/>
          <w:szCs w:val="21"/>
        </w:rPr>
        <w:t>需以</w:t>
      </w:r>
      <w:r>
        <w:rPr>
          <w:rFonts w:hint="eastAsia" w:ascii="宋体" w:hAnsi="宋体" w:eastAsia="宋体"/>
          <w:szCs w:val="21"/>
        </w:rPr>
        <w:t>服</w:t>
      </w:r>
      <w:r>
        <w:rPr>
          <w:rFonts w:ascii="宋体" w:hAnsi="宋体" w:eastAsia="宋体"/>
          <w:szCs w:val="21"/>
        </w:rPr>
        <w:t>务订单方式</w:t>
      </w:r>
      <w:r>
        <w:rPr>
          <w:rFonts w:hint="eastAsia" w:ascii="宋体" w:hAnsi="宋体" w:eastAsia="宋体"/>
          <w:szCs w:val="21"/>
        </w:rPr>
        <w:t>采</w:t>
      </w:r>
      <w:r>
        <w:rPr>
          <w:rFonts w:ascii="宋体" w:hAnsi="宋体" w:eastAsia="宋体"/>
          <w:szCs w:val="21"/>
        </w:rPr>
        <w:t>购</w:t>
      </w:r>
      <w:r>
        <w:rPr>
          <w:rFonts w:hint="eastAsia" w:ascii="宋体" w:hAnsi="宋体" w:eastAsia="宋体"/>
          <w:szCs w:val="21"/>
        </w:rPr>
        <w:t>，按服</w:t>
      </w:r>
      <w:r>
        <w:rPr>
          <w:rFonts w:ascii="宋体" w:hAnsi="宋体" w:eastAsia="宋体"/>
          <w:szCs w:val="21"/>
        </w:rPr>
        <w:t>务订单</w:t>
      </w:r>
      <w:r>
        <w:rPr>
          <w:rFonts w:hint="eastAsia" w:ascii="宋体" w:hAnsi="宋体" w:eastAsia="宋体"/>
          <w:szCs w:val="21"/>
        </w:rPr>
        <w:t>以实际检漏量进</w:t>
      </w:r>
      <w:r>
        <w:rPr>
          <w:rFonts w:ascii="宋体" w:hAnsi="宋体" w:eastAsia="宋体"/>
          <w:szCs w:val="21"/>
        </w:rPr>
        <w:t>行</w:t>
      </w:r>
      <w:r>
        <w:rPr>
          <w:rFonts w:hint="eastAsia" w:ascii="宋体" w:hAnsi="宋体" w:eastAsia="宋体"/>
          <w:szCs w:val="21"/>
        </w:rPr>
        <w:t>结</w:t>
      </w:r>
      <w:r>
        <w:rPr>
          <w:rFonts w:ascii="宋体" w:hAnsi="宋体" w:eastAsia="宋体"/>
          <w:szCs w:val="21"/>
        </w:rPr>
        <w:t>算</w:t>
      </w:r>
      <w:r>
        <w:rPr>
          <w:rFonts w:hint="eastAsia" w:ascii="宋体" w:hAnsi="宋体" w:eastAsia="宋体"/>
          <w:szCs w:val="21"/>
        </w:rPr>
        <w:t>；</w:t>
      </w:r>
      <w:r>
        <w:rPr>
          <w:rFonts w:hint="eastAsia" w:ascii="宋体" w:hAnsi="宋体" w:eastAsia="宋体"/>
          <w:b/>
          <w:szCs w:val="21"/>
        </w:rPr>
        <w:t>原</w:t>
      </w:r>
      <w:r>
        <w:rPr>
          <w:rFonts w:ascii="宋体" w:hAnsi="宋体" w:eastAsia="宋体"/>
          <w:b/>
          <w:szCs w:val="21"/>
        </w:rPr>
        <w:t>则上</w:t>
      </w:r>
      <w:r>
        <w:rPr>
          <w:rFonts w:hint="eastAsia" w:ascii="宋体" w:hAnsi="宋体" w:eastAsia="宋体"/>
          <w:szCs w:val="21"/>
        </w:rPr>
        <w:t>在一个招标年度内单价不做调整。</w:t>
      </w:r>
    </w:p>
    <w:p>
      <w:pPr>
        <w:rPr>
          <w:rFonts w:ascii="宋体" w:hAnsi="宋体" w:eastAsia="宋体"/>
          <w:sz w:val="28"/>
          <w:szCs w:val="28"/>
        </w:rPr>
      </w:pPr>
    </w:p>
    <w:p>
      <w:pPr>
        <w:spacing w:line="360" w:lineRule="auto"/>
        <w:ind w:firstLine="3360" w:firstLineChars="1200"/>
        <w:outlineLvl w:val="0"/>
        <w:rPr>
          <w:rFonts w:ascii="宋体" w:hAnsi="宋体" w:eastAsia="宋体" w:cs="宋体"/>
          <w:b/>
          <w:sz w:val="28"/>
          <w:szCs w:val="28"/>
        </w:rPr>
      </w:pPr>
      <w:r>
        <w:rPr>
          <w:rFonts w:hint="eastAsia" w:ascii="宋体" w:hAnsi="宋体" w:eastAsia="宋体"/>
          <w:sz w:val="28"/>
          <w:szCs w:val="28"/>
        </w:rPr>
        <w:br w:type="page"/>
      </w:r>
      <w:r>
        <w:rPr>
          <w:rFonts w:hint="eastAsia" w:ascii="宋体" w:hAnsi="宋体" w:eastAsia="宋体"/>
          <w:b/>
          <w:sz w:val="28"/>
          <w:szCs w:val="28"/>
        </w:rPr>
        <w:t xml:space="preserve">第六章 </w:t>
      </w:r>
      <w:r>
        <w:rPr>
          <w:rFonts w:hint="eastAsia" w:ascii="宋体" w:hAnsi="宋体" w:eastAsia="宋体" w:cs="宋体"/>
          <w:b/>
          <w:sz w:val="28"/>
          <w:szCs w:val="28"/>
        </w:rPr>
        <w:t>招标项目要求</w:t>
      </w:r>
    </w:p>
    <w:p>
      <w:pPr>
        <w:rPr>
          <w:rFonts w:ascii="Calibri" w:hAnsi="Calibri" w:eastAsia="宋体"/>
          <w:szCs w:val="22"/>
        </w:rPr>
      </w:pPr>
    </w:p>
    <w:p>
      <w:pPr>
        <w:pStyle w:val="3"/>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一、项目概况及要求</w:t>
      </w:r>
    </w:p>
    <w:p>
      <w:pPr>
        <w:tabs>
          <w:tab w:val="left" w:pos="7560"/>
        </w:tabs>
        <w:spacing w:before="120"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（一）项目背景</w:t>
      </w:r>
    </w:p>
    <w:p>
      <w:pPr>
        <w:tabs>
          <w:tab w:val="left" w:pos="7560"/>
        </w:tabs>
        <w:spacing w:before="12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国务院〔2012〕3号文件《国务院关于实行最严格水资源管理制度的意见》的实施意见，以及随着城市的发展，需水量不断增加，供水服务面积在扩展，对现有供水管网的精细化管理和节能降耗提出了更高的要求，为进一步降低供水管网漏损率和产销差率，同时提高管网检漏效率，更好地完成集团本部产销差控制工作，现需公开招标选取宁国水务有限公司2024年供水管网探漏服务。</w:t>
      </w:r>
    </w:p>
    <w:p>
      <w:pPr>
        <w:tabs>
          <w:tab w:val="left" w:pos="7560"/>
        </w:tabs>
        <w:spacing w:before="120"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（二）项目规模及特征</w:t>
      </w:r>
    </w:p>
    <w:p>
      <w:pPr>
        <w:spacing w:line="360" w:lineRule="auto"/>
        <w:ind w:firstLine="420" w:firstLineChars="200"/>
        <w:rPr>
          <w:rFonts w:eastAsia="宋体" w:asciiTheme="minorEastAsia" w:hAnsiTheme="minorEastAsia"/>
          <w:color w:val="000000"/>
          <w:szCs w:val="21"/>
        </w:rPr>
      </w:pPr>
      <w:r>
        <w:rPr>
          <w:rFonts w:hint="eastAsia" w:ascii="宋体" w:hAnsi="宋体" w:eastAsia="宋体" w:cs="宋体"/>
          <w:color w:val="000000" w:themeColor="text1"/>
          <w:szCs w:val="21"/>
          <w14:textFill>
            <w14:solidFill>
              <w14:schemeClr w14:val="tx1"/>
            </w14:solidFill>
          </w14:textFill>
        </w:rPr>
        <w:t>三水厂高压管区域、低压管区域及河沥溪水厂所覆盖的供水区域的日常探漏、定点。</w:t>
      </w:r>
    </w:p>
    <w:p>
      <w:pPr>
        <w:tabs>
          <w:tab w:val="left" w:pos="7560"/>
        </w:tabs>
        <w:spacing w:before="120"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（三）服务期限</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本次招标服务期限为1年，在执行期限内单价不做调整。</w:t>
      </w:r>
    </w:p>
    <w:p>
      <w:pPr>
        <w:tabs>
          <w:tab w:val="left" w:pos="7560"/>
        </w:tabs>
        <w:spacing w:before="120"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（四）项目内容</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本次招标共确定壹名中标人，成为本项目年度服务商（有效期1年），具有承接宁国水务有限公司城区内供水管道检漏工作的资格。确定年度服务商资格后，由宁国水务有限公司与年度服务商签订服务合同，具体合同事项由宁国水务有限公司年度服务商协定。</w:t>
      </w:r>
    </w:p>
    <w:p>
      <w:pPr>
        <w:tabs>
          <w:tab w:val="left" w:pos="7560"/>
        </w:tabs>
        <w:spacing w:before="120"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（五）资料报送</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中标单位应按计划开展检漏工作，并梳理漏点信息，每季度汇总并形成分析总结报告。</w:t>
      </w:r>
    </w:p>
    <w:p>
      <w:pPr>
        <w:pStyle w:val="3"/>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二、技术要求</w:t>
      </w:r>
    </w:p>
    <w:p>
      <w:pPr>
        <w:pStyle w:val="39"/>
        <w:widowControl w:val="0"/>
        <w:numPr>
          <w:ilvl w:val="0"/>
          <w:numId w:val="14"/>
        </w:numPr>
        <w:tabs>
          <w:tab w:val="left" w:pos="673"/>
        </w:tabs>
        <w:spacing w:after="0" w:line="360" w:lineRule="auto"/>
        <w:ind w:leftChars="0" w:firstLineChars="0"/>
        <w:jc w:val="both"/>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中标单位需制定检漏计划，服务期内，制定检漏计划。三水厂高压管区域、低压管区域及河沥溪水厂所覆盖的供水区域的日常探漏、定点，对于辖区分公司指定的重点检漏区域，应根据分公司要求增加检漏频次。单点漏量上限：</w:t>
      </w:r>
      <w:r>
        <w:rPr>
          <w:rFonts w:hint="eastAsia" w:asciiTheme="minorEastAsia" w:hAnsiTheme="minorEastAsia" w:eastAsiaTheme="minorEastAsia"/>
          <w:bCs/>
          <w:sz w:val="21"/>
          <w:szCs w:val="21"/>
          <w:lang w:eastAsia="zh-CN"/>
        </w:rPr>
        <w:t>管径在DN50以上，漏水点的管材为PE、UPVC、ABS等塑料管及玻璃夹砂管的常规漏水点，单点封顶漏量为15m</w:t>
      </w:r>
      <w:r>
        <w:rPr>
          <w:rFonts w:hint="eastAsia" w:asciiTheme="minorEastAsia" w:hAnsiTheme="minorEastAsia" w:eastAsiaTheme="minorEastAsia"/>
          <w:bCs/>
          <w:sz w:val="21"/>
          <w:szCs w:val="21"/>
          <w:vertAlign w:val="superscript"/>
          <w:lang w:eastAsia="zh-CN"/>
        </w:rPr>
        <w:t>3</w:t>
      </w:r>
      <w:r>
        <w:rPr>
          <w:rFonts w:hint="eastAsia" w:asciiTheme="minorEastAsia" w:hAnsiTheme="minorEastAsia" w:eastAsiaTheme="minorEastAsia"/>
          <w:bCs/>
          <w:sz w:val="21"/>
          <w:szCs w:val="21"/>
          <w:lang w:eastAsia="zh-CN"/>
        </w:rPr>
        <w:t>/h；管径在DN50以上，除PE、UPVC、ABS等塑料管及玻璃夹砂管之外的常规漏水点，单点封顶漏量为30m</w:t>
      </w:r>
      <w:r>
        <w:rPr>
          <w:rFonts w:hint="eastAsia" w:asciiTheme="minorEastAsia" w:hAnsiTheme="minorEastAsia" w:eastAsiaTheme="minorEastAsia"/>
          <w:bCs/>
          <w:sz w:val="21"/>
          <w:szCs w:val="21"/>
          <w:vertAlign w:val="superscript"/>
          <w:lang w:eastAsia="zh-CN"/>
        </w:rPr>
        <w:t>3</w:t>
      </w:r>
      <w:r>
        <w:rPr>
          <w:rFonts w:hint="eastAsia" w:asciiTheme="minorEastAsia" w:hAnsiTheme="minorEastAsia" w:eastAsiaTheme="minorEastAsia"/>
          <w:bCs/>
          <w:sz w:val="21"/>
          <w:szCs w:val="21"/>
          <w:lang w:eastAsia="zh-CN"/>
        </w:rPr>
        <w:t>/h；管径在DN50及以下的常规漏水点不论管材类型，单点封顶漏量均为10m</w:t>
      </w:r>
      <w:r>
        <w:rPr>
          <w:rFonts w:hint="eastAsia" w:asciiTheme="minorEastAsia" w:hAnsiTheme="minorEastAsia" w:eastAsiaTheme="minorEastAsia"/>
          <w:bCs/>
          <w:sz w:val="21"/>
          <w:szCs w:val="21"/>
          <w:vertAlign w:val="superscript"/>
          <w:lang w:eastAsia="zh-CN"/>
        </w:rPr>
        <w:t>3</w:t>
      </w:r>
      <w:r>
        <w:rPr>
          <w:rFonts w:hint="eastAsia" w:asciiTheme="minorEastAsia" w:hAnsiTheme="minorEastAsia" w:eastAsiaTheme="minorEastAsia"/>
          <w:bCs/>
          <w:sz w:val="21"/>
          <w:szCs w:val="21"/>
          <w:lang w:eastAsia="zh-CN"/>
        </w:rPr>
        <w:t>/h。</w:t>
      </w:r>
    </w:p>
    <w:p>
      <w:pPr>
        <w:pStyle w:val="39"/>
        <w:widowControl w:val="0"/>
        <w:numPr>
          <w:ilvl w:val="0"/>
          <w:numId w:val="14"/>
        </w:numPr>
        <w:tabs>
          <w:tab w:val="left" w:pos="673"/>
        </w:tabs>
        <w:spacing w:after="0" w:line="360" w:lineRule="auto"/>
        <w:ind w:leftChars="0" w:firstLineChars="0"/>
        <w:jc w:val="both"/>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承包人探得漏点，应当日及时上报，不得误报、漏报、虚报。</w:t>
      </w:r>
    </w:p>
    <w:p>
      <w:pPr>
        <w:pStyle w:val="39"/>
        <w:widowControl w:val="0"/>
        <w:numPr>
          <w:ilvl w:val="0"/>
          <w:numId w:val="14"/>
        </w:numPr>
        <w:tabs>
          <w:tab w:val="left" w:pos="673"/>
        </w:tabs>
        <w:spacing w:after="0" w:line="360" w:lineRule="auto"/>
        <w:ind w:leftChars="0" w:firstLineChars="0"/>
        <w:jc w:val="both"/>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中标单位须服从发包人的检漏安排及轮换机制，人员投入须满足发包人的要求。标的单位至少常驻配备班组不少于1个，每个班组常驻配备不少于2-3人，特殊情况按照招标人需求增加具有检漏作业能力的人员投入。</w:t>
      </w:r>
    </w:p>
    <w:p>
      <w:pPr>
        <w:pStyle w:val="39"/>
        <w:widowControl w:val="0"/>
        <w:numPr>
          <w:ilvl w:val="0"/>
          <w:numId w:val="14"/>
        </w:numPr>
        <w:tabs>
          <w:tab w:val="left" w:pos="673"/>
        </w:tabs>
        <w:spacing w:after="0" w:line="360" w:lineRule="auto"/>
        <w:ind w:leftChars="0" w:firstLineChars="0"/>
        <w:jc w:val="both"/>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中标单位项目组应配备专业团队，</w:t>
      </w:r>
      <w:r>
        <w:rPr>
          <w:rFonts w:hint="eastAsia" w:asciiTheme="minorEastAsia" w:hAnsiTheme="minorEastAsia" w:eastAsiaTheme="minorEastAsia"/>
          <w:sz w:val="21"/>
          <w:szCs w:val="21"/>
          <w:lang w:val="zh-CN" w:eastAsia="zh-CN"/>
        </w:rPr>
        <w:t>项目负责人须为从事相关专业的人员，并具备中级工程师及以上资格。</w:t>
      </w:r>
    </w:p>
    <w:p>
      <w:pPr>
        <w:pStyle w:val="39"/>
        <w:widowControl w:val="0"/>
        <w:numPr>
          <w:ilvl w:val="0"/>
          <w:numId w:val="14"/>
        </w:numPr>
        <w:tabs>
          <w:tab w:val="left" w:pos="673"/>
        </w:tabs>
        <w:spacing w:after="0" w:line="360" w:lineRule="auto"/>
        <w:ind w:leftChars="0" w:firstLineChars="0"/>
        <w:jc w:val="both"/>
        <w:rPr>
          <w:rFonts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中标单位需对检漏工作期间的安全负全部责任。</w:t>
      </w:r>
    </w:p>
    <w:p>
      <w:pPr>
        <w:pStyle w:val="3"/>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三、商务要求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1、投标报价为按照招标文件要求完成本项目所必须的一切成本和费用。本项目实行总价包干，包工包料、包安全，不包属招标人负责的漏水点开挖及修复工程。</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2、投标报价的上限为</w:t>
      </w:r>
      <w:r>
        <w:rPr>
          <w:rFonts w:asciiTheme="minorEastAsia" w:hAnsiTheme="minorEastAsia" w:eastAsiaTheme="minorEastAsia"/>
          <w:szCs w:val="21"/>
        </w:rPr>
        <w:t>¥</w:t>
      </w:r>
      <w:r>
        <w:rPr>
          <w:rFonts w:hint="eastAsia" w:asciiTheme="minorEastAsia" w:hAnsiTheme="minorEastAsia" w:eastAsiaTheme="minorEastAsia"/>
          <w:szCs w:val="21"/>
        </w:rPr>
        <w:t>0.12元·年/m</w:t>
      </w:r>
      <w:r>
        <w:rPr>
          <w:rFonts w:asciiTheme="minorEastAsia" w:hAnsiTheme="minorEastAsia" w:eastAsiaTheme="minorEastAsia"/>
          <w:szCs w:val="21"/>
        </w:rPr>
        <w:t>³</w:t>
      </w:r>
      <w:r>
        <w:rPr>
          <w:rFonts w:hint="eastAsia" w:asciiTheme="minorEastAsia" w:hAnsiTheme="minorEastAsia" w:eastAsiaTheme="minorEastAsia"/>
          <w:szCs w:val="21"/>
        </w:rPr>
        <w:t>（人民币壹角贰分每年每立方米），投标人投标单价不得超过上限，否则按无效标处理。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3、中标人的报价单价作为合同签订价，最终按实际服务数量乘以合同签订价结算。</w:t>
      </w:r>
    </w:p>
    <w:p>
      <w:pPr>
        <w:pStyle w:val="3"/>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★四、项目合同签订</w:t>
      </w:r>
    </w:p>
    <w:p>
      <w:pPr>
        <w:spacing w:line="360" w:lineRule="auto"/>
        <w:ind w:firstLine="420" w:firstLineChars="200"/>
        <w:rPr>
          <w:rFonts w:ascii="宋体" w:hAnsi="宋体" w:eastAsia="宋体"/>
          <w:szCs w:val="21"/>
        </w:rPr>
      </w:pPr>
      <w:r>
        <w:rPr>
          <w:rFonts w:hint="eastAsia" w:cs="宋体" w:asciiTheme="minorEastAsia" w:hAnsiTheme="minorEastAsia" w:eastAsiaTheme="minorEastAsia"/>
          <w:color w:val="000000"/>
          <w:kern w:val="0"/>
          <w:szCs w:val="21"/>
        </w:rPr>
        <w:t>中标人收到中标通知书30天内，由招标人采购主体与中标人签订合同，同时签订关于本项目的保密协议，中标人应当对本项目的所有内容保密，未经招标人许可，不得将本项目的所有信息泄露给第三方，否则，招标人保留追究中标人法律责任的权利。</w:t>
      </w:r>
      <w:r>
        <w:rPr>
          <w:rFonts w:hint="eastAsia" w:ascii="宋体" w:hAnsi="宋体" w:eastAsia="宋体"/>
          <w:b/>
          <w:szCs w:val="21"/>
        </w:rPr>
        <w:t>（投标人须提供承诺函</w:t>
      </w:r>
      <w:r>
        <w:rPr>
          <w:rFonts w:hint="eastAsia" w:ascii="宋体" w:hAnsi="宋体" w:eastAsia="宋体"/>
          <w:szCs w:val="21"/>
        </w:rPr>
        <w:t>）</w:t>
      </w:r>
    </w:p>
    <w:p>
      <w:pPr>
        <w:pStyle w:val="3"/>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五、付款方式、付</w:t>
      </w:r>
      <w:r>
        <w:rPr>
          <w:rFonts w:cs="宋体" w:asciiTheme="minorEastAsia" w:hAnsiTheme="minorEastAsia" w:eastAsiaTheme="minorEastAsia"/>
          <w:color w:val="000000"/>
          <w:sz w:val="21"/>
          <w:szCs w:val="21"/>
        </w:rPr>
        <w:t>款要求</w:t>
      </w:r>
    </w:p>
    <w:p>
      <w:pPr>
        <w:tabs>
          <w:tab w:val="left" w:pos="7560"/>
        </w:tabs>
        <w:spacing w:line="360" w:lineRule="auto"/>
        <w:rPr>
          <w:rFonts w:ascii="宋体" w:hAnsi="宋体" w:eastAsia="宋体" w:cs="宋体"/>
          <w:szCs w:val="21"/>
        </w:rPr>
      </w:pPr>
      <w:r>
        <w:rPr>
          <w:rFonts w:hint="eastAsia" w:ascii="宋体" w:hAnsi="宋体" w:eastAsia="宋体" w:cs="宋体"/>
          <w:szCs w:val="21"/>
        </w:rPr>
        <w:t>1、银行转账</w:t>
      </w:r>
    </w:p>
    <w:p>
      <w:pPr>
        <w:tabs>
          <w:tab w:val="left" w:pos="7560"/>
        </w:tabs>
        <w:spacing w:line="360" w:lineRule="auto"/>
        <w:rPr>
          <w:rFonts w:ascii="宋体" w:hAnsi="宋体" w:eastAsia="宋体" w:cs="宋体"/>
          <w:szCs w:val="21"/>
        </w:rPr>
      </w:pPr>
      <w:r>
        <w:rPr>
          <w:rFonts w:hint="eastAsia" w:ascii="宋体" w:hAnsi="宋体" w:eastAsia="宋体" w:cs="宋体"/>
          <w:szCs w:val="21"/>
        </w:rPr>
        <w:t>★2、服务商开具合规服务订单含税全额发票，并提供有效的检测证明，以</w:t>
      </w:r>
      <w:r>
        <w:rPr>
          <w:rFonts w:hint="eastAsia" w:ascii="宋体" w:hAnsi="宋体" w:eastAsia="宋体"/>
          <w:szCs w:val="21"/>
        </w:rPr>
        <w:t>实际检漏量</w:t>
      </w:r>
      <w:r>
        <w:rPr>
          <w:rFonts w:hint="eastAsia" w:ascii="宋体" w:hAnsi="宋体" w:eastAsia="宋体" w:cs="宋体"/>
          <w:szCs w:val="21"/>
        </w:rPr>
        <w:t>进行结算。</w:t>
      </w:r>
      <w:r>
        <w:rPr>
          <w:rFonts w:hint="eastAsia" w:ascii="宋体" w:hAnsi="宋体" w:eastAsia="宋体"/>
          <w:b/>
          <w:szCs w:val="21"/>
        </w:rPr>
        <w:t>（投标人须提供承诺函</w:t>
      </w:r>
      <w:r>
        <w:rPr>
          <w:rFonts w:hint="eastAsia" w:ascii="宋体" w:hAnsi="宋体" w:eastAsia="宋体"/>
          <w:szCs w:val="21"/>
        </w:rPr>
        <w:t>）</w:t>
      </w:r>
    </w:p>
    <w:p>
      <w:pPr>
        <w:pStyle w:val="3"/>
        <w:spacing w:line="360" w:lineRule="auto"/>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六、其他信息</w:t>
      </w:r>
    </w:p>
    <w:p>
      <w:pPr>
        <w:spacing w:line="360" w:lineRule="auto"/>
        <w:rPr>
          <w:rFonts w:ascii="宋体" w:hAnsi="宋体" w:eastAsia="宋体"/>
          <w:szCs w:val="21"/>
        </w:rPr>
      </w:pPr>
      <w:r>
        <w:rPr>
          <w:rFonts w:hint="eastAsia" w:ascii="宋体" w:hAnsi="宋体" w:eastAsia="宋体" w:cs="宋体"/>
          <w:color w:val="000000"/>
          <w:szCs w:val="21"/>
        </w:rPr>
        <w:t>★</w:t>
      </w:r>
      <w:r>
        <w:rPr>
          <w:rFonts w:ascii="宋体" w:hAnsi="宋体" w:eastAsia="宋体" w:cs="宋体"/>
          <w:color w:val="000000"/>
          <w:kern w:val="0"/>
          <w:szCs w:val="21"/>
        </w:rPr>
        <w:t>1</w:t>
      </w:r>
      <w:r>
        <w:rPr>
          <w:rFonts w:hint="eastAsia" w:ascii="宋体" w:hAnsi="宋体" w:eastAsia="宋体" w:cs="宋体"/>
          <w:color w:val="000000"/>
          <w:kern w:val="0"/>
          <w:szCs w:val="21"/>
        </w:rPr>
        <w:t>.投标人应如实披露：截止投标日，投标人是否存在尚在有效期内的政府及各级行政部门的处罚情况，未如实披露的，一经发现作废标处理。</w:t>
      </w:r>
      <w:r>
        <w:rPr>
          <w:rFonts w:hint="eastAsia" w:ascii="宋体" w:hAnsi="宋体" w:eastAsia="宋体"/>
          <w:b/>
          <w:szCs w:val="21"/>
        </w:rPr>
        <w:t>（投标人须提供承诺函</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、投标人须保证投标报价不低于本企业完成该招标项目的成本。招</w:t>
      </w:r>
      <w:r>
        <w:rPr>
          <w:rFonts w:ascii="宋体" w:hAnsi="宋体" w:eastAsia="宋体"/>
          <w:szCs w:val="21"/>
        </w:rPr>
        <w:t>标人</w:t>
      </w:r>
      <w:r>
        <w:rPr>
          <w:rFonts w:hint="eastAsia" w:ascii="宋体" w:hAnsi="宋体" w:eastAsia="宋体"/>
          <w:szCs w:val="21"/>
        </w:rPr>
        <w:t>采</w:t>
      </w:r>
      <w:r>
        <w:rPr>
          <w:rFonts w:ascii="宋体" w:hAnsi="宋体" w:eastAsia="宋体"/>
          <w:szCs w:val="21"/>
        </w:rPr>
        <w:t>购主</w:t>
      </w:r>
      <w:r>
        <w:rPr>
          <w:rFonts w:hint="eastAsia" w:ascii="宋体" w:hAnsi="宋体" w:eastAsia="宋体"/>
          <w:szCs w:val="21"/>
        </w:rPr>
        <w:t>体</w:t>
      </w:r>
      <w:r>
        <w:rPr>
          <w:rFonts w:ascii="宋体" w:hAnsi="宋体" w:eastAsia="宋体"/>
          <w:szCs w:val="21"/>
        </w:rPr>
        <w:t>可根据</w:t>
      </w:r>
      <w:r>
        <w:rPr>
          <w:rFonts w:hint="eastAsia" w:ascii="宋体" w:hAnsi="宋体" w:eastAsia="宋体"/>
          <w:szCs w:val="21"/>
        </w:rPr>
        <w:t>各</w:t>
      </w:r>
      <w:r>
        <w:rPr>
          <w:rFonts w:ascii="宋体" w:hAnsi="宋体" w:eastAsia="宋体"/>
          <w:szCs w:val="21"/>
        </w:rPr>
        <w:t>中标人的中标</w:t>
      </w:r>
      <w:r>
        <w:rPr>
          <w:rFonts w:ascii="宋体" w:hAnsi="宋体" w:eastAsia="宋体" w:cs="宋体"/>
          <w:color w:val="000000"/>
          <w:szCs w:val="21"/>
        </w:rPr>
        <w:t>单价</w:t>
      </w:r>
      <w:r>
        <w:rPr>
          <w:rFonts w:hint="eastAsia" w:ascii="宋体" w:hAnsi="宋体" w:eastAsia="宋体"/>
          <w:szCs w:val="21"/>
        </w:rPr>
        <w:t>、服</w:t>
      </w:r>
      <w:r>
        <w:rPr>
          <w:rFonts w:ascii="宋体" w:hAnsi="宋体" w:eastAsia="宋体"/>
          <w:szCs w:val="21"/>
        </w:rPr>
        <w:t>务质量</w:t>
      </w:r>
      <w:r>
        <w:rPr>
          <w:rFonts w:hint="eastAsia" w:ascii="宋体" w:hAnsi="宋体" w:eastAsia="宋体"/>
          <w:szCs w:val="21"/>
        </w:rPr>
        <w:t>、实</w:t>
      </w:r>
      <w:r>
        <w:rPr>
          <w:rFonts w:ascii="宋体" w:hAnsi="宋体" w:eastAsia="宋体"/>
          <w:szCs w:val="21"/>
        </w:rPr>
        <w:t>际</w:t>
      </w:r>
      <w:r>
        <w:rPr>
          <w:rFonts w:hint="eastAsia" w:ascii="宋体" w:hAnsi="宋体" w:eastAsia="宋体"/>
          <w:szCs w:val="21"/>
        </w:rPr>
        <w:t>检</w:t>
      </w:r>
      <w:r>
        <w:rPr>
          <w:rFonts w:ascii="宋体" w:hAnsi="宋体" w:eastAsia="宋体"/>
          <w:szCs w:val="21"/>
        </w:rPr>
        <w:t>漏</w:t>
      </w:r>
      <w:r>
        <w:rPr>
          <w:rFonts w:hint="eastAsia" w:ascii="宋体" w:hAnsi="宋体" w:eastAsia="宋体"/>
          <w:szCs w:val="21"/>
        </w:rPr>
        <w:t>量和检</w:t>
      </w:r>
      <w:r>
        <w:rPr>
          <w:rFonts w:ascii="宋体" w:hAnsi="宋体" w:eastAsia="宋体"/>
          <w:szCs w:val="21"/>
        </w:rPr>
        <w:t>漏</w:t>
      </w:r>
      <w:r>
        <w:rPr>
          <w:rFonts w:hint="eastAsia" w:ascii="宋体" w:hAnsi="宋体" w:eastAsia="宋体"/>
          <w:szCs w:val="21"/>
        </w:rPr>
        <w:t>组</w:t>
      </w:r>
      <w:r>
        <w:rPr>
          <w:rFonts w:ascii="宋体" w:hAnsi="宋体" w:eastAsia="宋体"/>
          <w:szCs w:val="21"/>
        </w:rPr>
        <w:t>织实施能力择优选</w:t>
      </w:r>
      <w:r>
        <w:rPr>
          <w:rFonts w:hint="eastAsia" w:ascii="宋体" w:hAnsi="宋体" w:eastAsia="宋体"/>
          <w:szCs w:val="21"/>
        </w:rPr>
        <w:t>择中</w:t>
      </w:r>
      <w:r>
        <w:rPr>
          <w:rFonts w:ascii="宋体" w:hAnsi="宋体" w:eastAsia="宋体"/>
          <w:szCs w:val="21"/>
        </w:rPr>
        <w:t>标人</w:t>
      </w:r>
      <w:r>
        <w:rPr>
          <w:rFonts w:hint="eastAsia" w:ascii="宋体" w:hAnsi="宋体" w:eastAsia="宋体"/>
          <w:szCs w:val="21"/>
        </w:rPr>
        <w:t>进</w:t>
      </w:r>
      <w:r>
        <w:rPr>
          <w:rFonts w:ascii="宋体" w:hAnsi="宋体" w:eastAsia="宋体"/>
          <w:szCs w:val="21"/>
        </w:rPr>
        <w:t>行</w:t>
      </w:r>
      <w:r>
        <w:rPr>
          <w:rFonts w:hint="eastAsia" w:ascii="宋体" w:hAnsi="宋体" w:eastAsia="宋体"/>
          <w:szCs w:val="21"/>
        </w:rPr>
        <w:t>检</w:t>
      </w:r>
      <w:r>
        <w:rPr>
          <w:rFonts w:ascii="宋体" w:hAnsi="宋体" w:eastAsia="宋体"/>
          <w:szCs w:val="21"/>
        </w:rPr>
        <w:t>漏服务</w:t>
      </w:r>
      <w:r>
        <w:rPr>
          <w:rFonts w:hint="eastAsia" w:ascii="宋体" w:hAnsi="宋体" w:eastAsia="宋体"/>
          <w:szCs w:val="21"/>
        </w:rPr>
        <w:t>。</w:t>
      </w:r>
    </w:p>
    <w:p>
      <w:pPr>
        <w:spacing w:line="360" w:lineRule="auto"/>
        <w:rPr>
          <w:rFonts w:ascii="宋体" w:hAnsi="宋体" w:eastAsia="宋体"/>
          <w:szCs w:val="21"/>
        </w:rPr>
      </w:pPr>
      <w:r>
        <w:rPr>
          <w:rFonts w:hint="eastAsia" w:ascii="宋体" w:hAnsi="宋体" w:eastAsia="宋体" w:cs="宋体"/>
          <w:color w:val="000000"/>
          <w:szCs w:val="21"/>
        </w:rPr>
        <w:t>★</w:t>
      </w:r>
      <w:r>
        <w:rPr>
          <w:rFonts w:ascii="宋体" w:hAnsi="宋体" w:eastAsia="宋体"/>
          <w:szCs w:val="21"/>
        </w:rPr>
        <w:t>3</w:t>
      </w:r>
      <w:r>
        <w:rPr>
          <w:rFonts w:hint="eastAsia" w:ascii="宋体" w:hAnsi="宋体" w:eastAsia="宋体"/>
          <w:szCs w:val="21"/>
        </w:rPr>
        <w:t>、</w:t>
      </w:r>
      <w:r>
        <w:rPr>
          <w:rFonts w:hint="eastAsia" w:ascii="宋体" w:hAnsi="宋体" w:eastAsia="宋体" w:cs="宋体"/>
          <w:szCs w:val="21"/>
        </w:rPr>
        <w:t>投</w:t>
      </w:r>
      <w:r>
        <w:rPr>
          <w:rFonts w:ascii="宋体" w:hAnsi="宋体" w:eastAsia="宋体" w:cs="宋体"/>
          <w:szCs w:val="21"/>
        </w:rPr>
        <w:t>标人</w:t>
      </w:r>
      <w:r>
        <w:rPr>
          <w:rFonts w:hint="eastAsia" w:ascii="宋体" w:hAnsi="宋体" w:eastAsia="宋体" w:cs="宋体"/>
          <w:szCs w:val="21"/>
        </w:rPr>
        <w:t>需</w:t>
      </w:r>
      <w:r>
        <w:rPr>
          <w:rFonts w:hint="eastAsia" w:ascii="宋体" w:hAnsi="宋体" w:eastAsia="宋体" w:cs="宋体"/>
          <w:color w:val="000000"/>
          <w:kern w:val="0"/>
          <w:szCs w:val="21"/>
        </w:rPr>
        <w:t>承诺有自主独立能力完成深圳市</w:t>
      </w:r>
      <w:r>
        <w:rPr>
          <w:rFonts w:hint="eastAsia" w:ascii="宋体" w:hAnsi="宋体" w:eastAsia="宋体" w:cs="宋体"/>
          <w:szCs w:val="21"/>
        </w:rPr>
        <w:t>原特区内区域的检漏工作</w:t>
      </w:r>
      <w:r>
        <w:rPr>
          <w:rFonts w:hint="eastAsia" w:ascii="宋体" w:hAnsi="宋体" w:eastAsia="宋体" w:cs="宋体"/>
          <w:color w:val="000000"/>
          <w:kern w:val="0"/>
          <w:szCs w:val="21"/>
        </w:rPr>
        <w:t>。</w:t>
      </w:r>
      <w:r>
        <w:rPr>
          <w:rFonts w:hint="eastAsia" w:ascii="宋体" w:hAnsi="宋体" w:eastAsia="宋体"/>
          <w:b/>
          <w:szCs w:val="21"/>
        </w:rPr>
        <w:t>（投标人须提供承诺函</w:t>
      </w:r>
      <w:r>
        <w:rPr>
          <w:rFonts w:hint="eastAsia" w:ascii="宋体" w:hAnsi="宋体" w:eastAsia="宋体"/>
          <w:szCs w:val="21"/>
        </w:rPr>
        <w:t>）</w:t>
      </w:r>
    </w:p>
    <w:p>
      <w:pPr>
        <w:spacing w:line="360" w:lineRule="auto"/>
        <w:rPr>
          <w:rFonts w:ascii="宋体" w:hAnsi="宋体" w:eastAsia="宋体" w:cs="宋体"/>
          <w:color w:val="000000"/>
          <w:kern w:val="0"/>
          <w:szCs w:val="21"/>
        </w:rPr>
      </w:pPr>
      <w:r>
        <w:rPr>
          <w:rFonts w:ascii="宋体" w:hAnsi="宋体" w:eastAsia="宋体" w:cs="宋体"/>
          <w:color w:val="000000"/>
          <w:szCs w:val="21"/>
        </w:rPr>
        <w:t>▲</w:t>
      </w:r>
      <w:r>
        <w:rPr>
          <w:rFonts w:ascii="宋体" w:hAnsi="宋体" w:eastAsia="宋体" w:cs="宋体"/>
          <w:color w:val="000000"/>
          <w:kern w:val="0"/>
          <w:szCs w:val="21"/>
        </w:rPr>
        <w:t>4、</w:t>
      </w:r>
      <w:r>
        <w:rPr>
          <w:rFonts w:hint="eastAsia" w:ascii="宋体" w:hAnsi="宋体" w:eastAsia="宋体" w:cs="宋体"/>
          <w:color w:val="000000"/>
          <w:kern w:val="0"/>
          <w:szCs w:val="21"/>
        </w:rPr>
        <w:t>投</w:t>
      </w:r>
      <w:r>
        <w:rPr>
          <w:rFonts w:ascii="宋体" w:hAnsi="宋体" w:eastAsia="宋体" w:cs="宋体"/>
          <w:color w:val="000000"/>
          <w:kern w:val="0"/>
          <w:szCs w:val="21"/>
        </w:rPr>
        <w:t>标人</w:t>
      </w:r>
      <w:r>
        <w:rPr>
          <w:rFonts w:hint="eastAsia" w:ascii="宋体" w:hAnsi="宋体" w:eastAsia="宋体" w:cs="宋体"/>
          <w:color w:val="000000"/>
          <w:kern w:val="0"/>
          <w:szCs w:val="21"/>
        </w:rPr>
        <w:t>须在商务标</w:t>
      </w:r>
      <w:r>
        <w:rPr>
          <w:rFonts w:ascii="宋体" w:hAnsi="宋体" w:eastAsia="宋体" w:cs="宋体"/>
          <w:color w:val="000000"/>
          <w:kern w:val="0"/>
          <w:szCs w:val="21"/>
        </w:rPr>
        <w:t>提供</w:t>
      </w:r>
      <w:r>
        <w:rPr>
          <w:rFonts w:hint="eastAsia" w:ascii="宋体" w:hAnsi="宋体" w:eastAsia="宋体" w:cs="宋体"/>
          <w:color w:val="000000"/>
          <w:kern w:val="0"/>
          <w:szCs w:val="21"/>
        </w:rPr>
        <w:t>其</w:t>
      </w:r>
      <w:r>
        <w:rPr>
          <w:rFonts w:ascii="宋体" w:hAnsi="宋体" w:eastAsia="宋体" w:cs="宋体"/>
          <w:color w:val="000000"/>
          <w:kern w:val="0"/>
          <w:szCs w:val="21"/>
        </w:rPr>
        <w:t>开户</w:t>
      </w:r>
      <w:r>
        <w:rPr>
          <w:rFonts w:hint="eastAsia" w:ascii="宋体" w:hAnsi="宋体" w:eastAsia="宋体" w:cs="宋体"/>
          <w:color w:val="000000"/>
          <w:kern w:val="0"/>
          <w:szCs w:val="21"/>
        </w:rPr>
        <w:t>行</w:t>
      </w:r>
      <w:r>
        <w:rPr>
          <w:rFonts w:ascii="宋体" w:hAnsi="宋体" w:eastAsia="宋体" w:cs="宋体"/>
          <w:color w:val="000000"/>
          <w:kern w:val="0"/>
          <w:szCs w:val="21"/>
        </w:rPr>
        <w:t>相关信息</w:t>
      </w:r>
      <w:r>
        <w:rPr>
          <w:rFonts w:hint="eastAsia" w:ascii="宋体" w:hAnsi="宋体" w:eastAsia="宋体" w:cs="宋体"/>
          <w:color w:val="000000"/>
          <w:kern w:val="0"/>
          <w:szCs w:val="21"/>
        </w:rPr>
        <w:t>，请完</w:t>
      </w:r>
      <w:r>
        <w:rPr>
          <w:rFonts w:ascii="宋体" w:hAnsi="宋体" w:eastAsia="宋体" w:cs="宋体"/>
          <w:color w:val="000000"/>
          <w:kern w:val="0"/>
          <w:szCs w:val="21"/>
        </w:rPr>
        <w:t>善下表</w:t>
      </w:r>
      <w:r>
        <w:rPr>
          <w:rFonts w:hint="eastAsia" w:ascii="宋体" w:hAnsi="宋体" w:eastAsia="宋体" w:cs="宋体"/>
          <w:color w:val="000000"/>
          <w:kern w:val="0"/>
          <w:szCs w:val="21"/>
        </w:rPr>
        <w:t>，提供</w:t>
      </w:r>
      <w:r>
        <w:rPr>
          <w:rFonts w:ascii="宋体" w:hAnsi="宋体" w:eastAsia="宋体" w:cs="宋体"/>
          <w:color w:val="000000"/>
          <w:kern w:val="0"/>
          <w:szCs w:val="21"/>
        </w:rPr>
        <w:t>加盖公</w:t>
      </w:r>
      <w:r>
        <w:rPr>
          <w:rFonts w:hint="eastAsia" w:ascii="宋体" w:hAnsi="宋体" w:eastAsia="宋体" w:cs="宋体"/>
          <w:color w:val="000000"/>
          <w:kern w:val="0"/>
          <w:szCs w:val="21"/>
        </w:rPr>
        <w:t>章文件。</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spacing w:line="360" w:lineRule="auto"/>
              <w:jc w:val="center"/>
              <w:rPr>
                <w:rFonts w:ascii="宋体" w:hAnsi="宋体" w:eastAsia="宋体"/>
                <w:b/>
                <w:szCs w:val="21"/>
              </w:rPr>
            </w:pPr>
            <w:r>
              <w:rPr>
                <w:rFonts w:hint="eastAsia" w:ascii="宋体" w:hAnsi="宋体" w:eastAsia="宋体"/>
                <w:b/>
                <w:szCs w:val="21"/>
              </w:rPr>
              <w:t>公</w:t>
            </w:r>
            <w:r>
              <w:rPr>
                <w:rFonts w:ascii="宋体" w:hAnsi="宋体" w:eastAsia="宋体"/>
                <w:b/>
                <w:szCs w:val="21"/>
              </w:rPr>
              <w:t>司名称</w:t>
            </w:r>
          </w:p>
        </w:tc>
        <w:tc>
          <w:tcPr>
            <w:tcW w:w="6174"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spacing w:line="360" w:lineRule="auto"/>
              <w:jc w:val="center"/>
              <w:rPr>
                <w:rFonts w:ascii="宋体" w:hAnsi="宋体" w:eastAsia="宋体"/>
                <w:b/>
                <w:szCs w:val="21"/>
              </w:rPr>
            </w:pPr>
            <w:r>
              <w:rPr>
                <w:rFonts w:hint="eastAsia" w:ascii="宋体" w:hAnsi="宋体" w:eastAsia="宋体"/>
                <w:b/>
                <w:szCs w:val="21"/>
              </w:rPr>
              <w:t>纳</w:t>
            </w:r>
            <w:r>
              <w:rPr>
                <w:rFonts w:ascii="宋体" w:hAnsi="宋体" w:eastAsia="宋体"/>
                <w:b/>
                <w:szCs w:val="21"/>
              </w:rPr>
              <w:t>税人识别号</w:t>
            </w:r>
          </w:p>
        </w:tc>
        <w:tc>
          <w:tcPr>
            <w:tcW w:w="6174"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spacing w:line="360" w:lineRule="auto"/>
              <w:jc w:val="center"/>
              <w:rPr>
                <w:rFonts w:ascii="宋体" w:hAnsi="宋体" w:eastAsia="宋体"/>
                <w:b/>
                <w:szCs w:val="21"/>
              </w:rPr>
            </w:pPr>
            <w:r>
              <w:rPr>
                <w:rFonts w:hint="eastAsia" w:ascii="宋体" w:hAnsi="宋体" w:eastAsia="宋体"/>
                <w:b/>
                <w:szCs w:val="21"/>
              </w:rPr>
              <w:t>开</w:t>
            </w:r>
            <w:r>
              <w:rPr>
                <w:rFonts w:ascii="宋体" w:hAnsi="宋体" w:eastAsia="宋体"/>
                <w:b/>
                <w:szCs w:val="21"/>
              </w:rPr>
              <w:t>户行</w:t>
            </w:r>
          </w:p>
        </w:tc>
        <w:tc>
          <w:tcPr>
            <w:tcW w:w="6174"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spacing w:line="360" w:lineRule="auto"/>
              <w:jc w:val="center"/>
              <w:rPr>
                <w:rFonts w:ascii="宋体" w:hAnsi="宋体" w:eastAsia="宋体"/>
                <w:b/>
                <w:szCs w:val="21"/>
              </w:rPr>
            </w:pPr>
            <w:r>
              <w:rPr>
                <w:rFonts w:hint="eastAsia" w:ascii="宋体" w:hAnsi="宋体" w:eastAsia="宋体"/>
                <w:b/>
                <w:szCs w:val="21"/>
              </w:rPr>
              <w:t>账</w:t>
            </w:r>
            <w:r>
              <w:rPr>
                <w:rFonts w:ascii="宋体" w:hAnsi="宋体" w:eastAsia="宋体"/>
                <w:b/>
                <w:szCs w:val="21"/>
              </w:rPr>
              <w:t>户</w:t>
            </w:r>
          </w:p>
        </w:tc>
        <w:tc>
          <w:tcPr>
            <w:tcW w:w="6174"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spacing w:line="360" w:lineRule="auto"/>
              <w:jc w:val="center"/>
              <w:rPr>
                <w:rFonts w:ascii="宋体" w:hAnsi="宋体" w:eastAsia="宋体"/>
                <w:b/>
                <w:szCs w:val="21"/>
              </w:rPr>
            </w:pPr>
            <w:r>
              <w:rPr>
                <w:rFonts w:hint="eastAsia" w:ascii="宋体" w:hAnsi="宋体" w:eastAsia="宋体"/>
                <w:b/>
                <w:szCs w:val="21"/>
              </w:rPr>
              <w:t>公</w:t>
            </w:r>
            <w:r>
              <w:rPr>
                <w:rFonts w:ascii="宋体" w:hAnsi="宋体" w:eastAsia="宋体"/>
                <w:b/>
                <w:szCs w:val="21"/>
              </w:rPr>
              <w:t>司地址</w:t>
            </w:r>
          </w:p>
        </w:tc>
        <w:tc>
          <w:tcPr>
            <w:tcW w:w="6174" w:type="dxa"/>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spacing w:line="360" w:lineRule="auto"/>
              <w:jc w:val="center"/>
              <w:rPr>
                <w:rFonts w:ascii="宋体" w:hAnsi="宋体" w:eastAsia="宋体"/>
                <w:b/>
                <w:szCs w:val="21"/>
              </w:rPr>
            </w:pPr>
            <w:r>
              <w:rPr>
                <w:rFonts w:hint="eastAsia" w:ascii="宋体" w:hAnsi="宋体" w:eastAsia="宋体"/>
                <w:b/>
                <w:szCs w:val="21"/>
              </w:rPr>
              <w:t>联</w:t>
            </w:r>
            <w:r>
              <w:rPr>
                <w:rFonts w:ascii="宋体" w:hAnsi="宋体" w:eastAsia="宋体"/>
                <w:b/>
                <w:szCs w:val="21"/>
              </w:rPr>
              <w:t>系人及</w:t>
            </w:r>
            <w:r>
              <w:rPr>
                <w:rFonts w:hint="eastAsia" w:ascii="宋体" w:hAnsi="宋体" w:eastAsia="宋体"/>
                <w:b/>
                <w:szCs w:val="21"/>
              </w:rPr>
              <w:t>电</w:t>
            </w:r>
            <w:r>
              <w:rPr>
                <w:rFonts w:ascii="宋体" w:hAnsi="宋体" w:eastAsia="宋体"/>
                <w:b/>
                <w:szCs w:val="21"/>
              </w:rPr>
              <w:t>话</w:t>
            </w:r>
          </w:p>
        </w:tc>
        <w:tc>
          <w:tcPr>
            <w:tcW w:w="6174" w:type="dxa"/>
          </w:tcPr>
          <w:p>
            <w:pPr>
              <w:spacing w:line="360" w:lineRule="auto"/>
              <w:rPr>
                <w:rFonts w:ascii="宋体" w:hAnsi="宋体" w:eastAsia="宋体"/>
                <w:szCs w:val="21"/>
              </w:rPr>
            </w:pPr>
          </w:p>
        </w:tc>
      </w:tr>
    </w:tbl>
    <w:p>
      <w:pPr>
        <w:spacing w:line="360" w:lineRule="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p>
    <w:p>
      <w:pPr>
        <w:spacing w:line="360" w:lineRule="auto"/>
        <w:jc w:val="center"/>
        <w:outlineLvl w:val="0"/>
        <w:rPr>
          <w:rFonts w:ascii="宋体" w:hAnsi="宋体" w:eastAsia="宋体"/>
          <w:b/>
          <w:bCs/>
          <w:color w:val="000000" w:themeColor="text1"/>
          <w:sz w:val="28"/>
          <w:szCs w:val="28"/>
          <w14:textFill>
            <w14:solidFill>
              <w14:schemeClr w14:val="tx1"/>
            </w14:solidFill>
          </w14:textFill>
        </w:rPr>
      </w:pPr>
      <w:r>
        <w:rPr>
          <w:rFonts w:hint="eastAsia" w:ascii="宋体" w:hAnsi="宋体"/>
          <w:color w:val="000000" w:themeColor="text1"/>
          <w:sz w:val="24"/>
          <w:szCs w:val="21"/>
          <w14:textFill>
            <w14:solidFill>
              <w14:schemeClr w14:val="tx1"/>
            </w14:solidFill>
          </w14:textFill>
        </w:rPr>
        <w:br w:type="page"/>
      </w:r>
      <w:r>
        <w:rPr>
          <w:rFonts w:hint="eastAsia" w:ascii="宋体" w:hAnsi="宋体" w:eastAsia="宋体" w:cs="宋体"/>
          <w:b/>
          <w:color w:val="000000" w:themeColor="text1"/>
          <w:sz w:val="28"/>
          <w:szCs w:val="28"/>
          <w14:textFill>
            <w14:solidFill>
              <w14:schemeClr w14:val="tx1"/>
            </w14:solidFill>
          </w14:textFill>
        </w:rPr>
        <w:t>第七章  投标文件格式</w:t>
      </w:r>
    </w:p>
    <w:p>
      <w:pPr>
        <w:tabs>
          <w:tab w:val="left" w:pos="7560"/>
        </w:tabs>
        <w:spacing w:line="360" w:lineRule="auto"/>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（投标人须自行编制目录）</w:t>
      </w: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pStyle w:val="3"/>
        <w:jc w:val="center"/>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一、投标书</w:t>
      </w: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1、法定代表人资格证明书（见投标书附表1）</w:t>
      </w: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2、投标文件签署授权委托书（见投标书附表2）</w:t>
      </w:r>
    </w:p>
    <w:p>
      <w:pPr>
        <w:tabs>
          <w:tab w:val="left" w:pos="7560"/>
        </w:tabs>
        <w:spacing w:line="360" w:lineRule="auto"/>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3、投标函（见投标书附表3）</w:t>
      </w: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p>
    <w:p>
      <w:pPr>
        <w:tabs>
          <w:tab w:val="left" w:pos="7560"/>
        </w:tabs>
        <w:spacing w:line="360" w:lineRule="auto"/>
        <w:rPr>
          <w:rFonts w:ascii="宋体" w:hAnsi="宋体" w:eastAsia="宋体"/>
          <w:color w:val="000000" w:themeColor="text1"/>
          <w:szCs w:val="21"/>
          <w14:textFill>
            <w14:solidFill>
              <w14:schemeClr w14:val="tx1"/>
            </w14:solidFill>
          </w14:textFill>
        </w:rPr>
        <w:sectPr>
          <w:pgSz w:w="11906" w:h="16838"/>
          <w:pgMar w:top="1418" w:right="1418" w:bottom="1361" w:left="1418" w:header="851" w:footer="992" w:gutter="0"/>
          <w:pgNumType w:fmt="numberInDash"/>
          <w:cols w:space="720" w:num="1"/>
          <w:docGrid w:linePitch="312" w:charSpace="0"/>
        </w:sectPr>
      </w:pP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投标书附表1：</w:t>
      </w:r>
    </w:p>
    <w:p>
      <w:pPr>
        <w:tabs>
          <w:tab w:val="left" w:pos="7560"/>
        </w:tabs>
        <w:spacing w:line="360" w:lineRule="auto"/>
        <w:ind w:firstLine="420" w:firstLineChars="20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法定代表人资格证明书</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单位名称：</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地    址：</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姓名：</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性别：</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年龄：</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职务：</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u w:val="single"/>
          <w:bdr w:val="single" w:color="auto" w:sz="4" w:space="0"/>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系</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的法定代表人。</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特此证明。</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投标人（盖章）：</w:t>
      </w:r>
      <w:r>
        <w:rPr>
          <w:rFonts w:hint="eastAsia" w:ascii="宋体" w:hAnsi="宋体" w:eastAsia="宋体"/>
          <w:color w:val="000000" w:themeColor="text1"/>
          <w:szCs w:val="21"/>
          <w:u w:val="single"/>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1050" w:firstLineChars="5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日         期：</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日</w:t>
      </w:r>
    </w:p>
    <w:p>
      <w:pPr>
        <w:tabs>
          <w:tab w:val="left" w:pos="7560"/>
        </w:tabs>
        <w:spacing w:line="360" w:lineRule="auto"/>
        <w:rPr>
          <w:rFonts w:ascii="宋体" w:hAnsi="宋体" w:eastAsia="宋体"/>
          <w:color w:val="000000" w:themeColor="text1"/>
          <w:szCs w:val="21"/>
          <w14:textFill>
            <w14:solidFill>
              <w14:schemeClr w14:val="tx1"/>
            </w14:solidFill>
          </w14:textFill>
        </w:rPr>
      </w:pP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br w:type="page"/>
      </w:r>
      <w:r>
        <w:rPr>
          <w:rFonts w:hint="eastAsia" w:ascii="宋体" w:hAnsi="宋体" w:eastAsia="宋体"/>
          <w:color w:val="000000" w:themeColor="text1"/>
          <w:szCs w:val="21"/>
          <w14:textFill>
            <w14:solidFill>
              <w14:schemeClr w14:val="tx1"/>
            </w14:solidFill>
          </w14:textFill>
        </w:rPr>
        <w:t>投标书附表2：</w:t>
      </w: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投标文件签署授权委托书</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本授权委托书声明：我</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（姓名）系</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（投标人名称）的法定代表人，现授权委托</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（单位名称）的                   </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u w:val="words"/>
          <w14:textFill>
            <w14:solidFill>
              <w14:schemeClr w14:val="tx1"/>
            </w14:solidFill>
          </w14:textFill>
        </w:rPr>
        <w:t xml:space="preserve">      </w:t>
      </w:r>
      <w:r>
        <w:rPr>
          <w:rFonts w:hint="eastAsia" w:ascii="宋体" w:hAnsi="宋体" w:eastAsia="宋体"/>
          <w:color w:val="000000" w:themeColor="text1"/>
          <w:szCs w:val="21"/>
          <w:u w:val="single"/>
          <w14:textFill>
            <w14:solidFill>
              <w14:schemeClr w14:val="tx1"/>
            </w14:solidFill>
          </w14:textFill>
        </w:rPr>
        <w:t>（姓名）</w:t>
      </w:r>
      <w:r>
        <w:rPr>
          <w:rFonts w:hint="eastAsia" w:ascii="宋体" w:hAnsi="宋体" w:eastAsia="宋体"/>
          <w:color w:val="000000" w:themeColor="text1"/>
          <w:szCs w:val="21"/>
          <w14:textFill>
            <w14:solidFill>
              <w14:schemeClr w14:val="tx1"/>
            </w14:solidFill>
          </w14:textFill>
        </w:rPr>
        <w:t>为我公司签署</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项目投标文件的法定代表人的授权委托代理人，我承认代理人全权代表我所签署的</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项目投标文件的内容。</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代理人无转委托权，特此委托。</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附代理人身份证。</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代理人：</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性别：</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年龄：</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身份证号码：</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职务：</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投标人（盖章）：</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法定代表人（签字或盖章）：</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授权委托日期：</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日</w:t>
      </w:r>
    </w:p>
    <w:p>
      <w:pPr>
        <w:tabs>
          <w:tab w:val="left" w:pos="7560"/>
        </w:tabs>
        <w:spacing w:line="360" w:lineRule="auto"/>
        <w:rPr>
          <w:rFonts w:ascii="宋体" w:hAnsi="宋体" w:eastAsia="宋体"/>
          <w:color w:val="000000" w:themeColor="text1"/>
          <w:szCs w:val="21"/>
          <w14:textFill>
            <w14:solidFill>
              <w14:schemeClr w14:val="tx1"/>
            </w14:solidFill>
          </w14:textFill>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承诺函</w:t>
      </w:r>
    </w:p>
    <w:p>
      <w:pPr>
        <w:spacing w:line="560" w:lineRule="exact"/>
        <w:rPr>
          <w:rFonts w:cs="仿宋_GB2312"/>
          <w:sz w:val="32"/>
          <w:szCs w:val="32"/>
          <w:u w:val="single"/>
        </w:rPr>
      </w:pPr>
    </w:p>
    <w:p>
      <w:pPr>
        <w:spacing w:line="560" w:lineRule="exact"/>
        <w:ind w:firstLine="640" w:firstLineChars="200"/>
        <w:rPr>
          <w:rFonts w:cs="仿宋_GB2312"/>
          <w:sz w:val="32"/>
          <w:szCs w:val="32"/>
        </w:rPr>
      </w:pPr>
      <w:r>
        <w:rPr>
          <w:rFonts w:hint="eastAsia" w:cs="仿宋_GB2312"/>
          <w:sz w:val="32"/>
          <w:szCs w:val="32"/>
        </w:rPr>
        <w:t>本人</w:t>
      </w:r>
      <w:r>
        <w:rPr>
          <w:rFonts w:hint="eastAsia" w:cs="仿宋_GB2312"/>
          <w:sz w:val="32"/>
          <w:szCs w:val="32"/>
          <w:u w:val="single"/>
        </w:rPr>
        <w:t>XXX</w:t>
      </w:r>
      <w:r>
        <w:rPr>
          <w:rFonts w:hint="eastAsia" w:cs="仿宋_GB2312"/>
          <w:sz w:val="32"/>
          <w:szCs w:val="32"/>
        </w:rPr>
        <w:t>（身份证号码：</w:t>
      </w:r>
      <w:r>
        <w:rPr>
          <w:rFonts w:hint="eastAsia" w:cs="仿宋_GB2312"/>
          <w:sz w:val="32"/>
          <w:szCs w:val="32"/>
          <w:u w:val="single"/>
        </w:rPr>
        <w:t>XXXXXXXXXXXXXXXXXX</w:t>
      </w:r>
      <w:r>
        <w:rPr>
          <w:rFonts w:hint="eastAsia" w:cs="仿宋_GB2312"/>
          <w:sz w:val="32"/>
          <w:szCs w:val="32"/>
        </w:rPr>
        <w:t>）代表</w:t>
      </w:r>
      <w:r>
        <w:rPr>
          <w:rFonts w:hint="eastAsia" w:cs="仿宋_GB2312"/>
          <w:sz w:val="32"/>
          <w:szCs w:val="32"/>
          <w:u w:val="single"/>
        </w:rPr>
        <w:t>XX公司</w:t>
      </w:r>
      <w:r>
        <w:rPr>
          <w:rFonts w:hint="eastAsia" w:cs="仿宋_GB2312"/>
          <w:sz w:val="32"/>
          <w:szCs w:val="32"/>
        </w:rPr>
        <w:t>参加</w:t>
      </w:r>
      <w:r>
        <w:rPr>
          <w:rFonts w:hint="eastAsia" w:cs="仿宋_GB2312"/>
          <w:sz w:val="32"/>
          <w:szCs w:val="32"/>
          <w:u w:val="single"/>
        </w:rPr>
        <w:t>XX项目</w:t>
      </w:r>
      <w:r>
        <w:rPr>
          <w:rFonts w:hint="eastAsia" w:cs="仿宋_GB2312"/>
          <w:sz w:val="32"/>
          <w:szCs w:val="32"/>
        </w:rPr>
        <w:t>（项目编号：</w:t>
      </w:r>
      <w:r>
        <w:rPr>
          <w:rFonts w:hint="eastAsia" w:cs="仿宋_GB2312"/>
          <w:sz w:val="32"/>
          <w:szCs w:val="32"/>
          <w:u w:val="single"/>
        </w:rPr>
        <w:t>XXXXXX</w:t>
      </w:r>
      <w:r>
        <w:rPr>
          <w:rFonts w:hint="eastAsia" w:cs="仿宋_GB2312"/>
          <w:sz w:val="32"/>
          <w:szCs w:val="32"/>
        </w:rPr>
        <w:t>）</w:t>
      </w:r>
      <w:r>
        <w:rPr>
          <w:rFonts w:cs="仿宋_GB2312"/>
          <w:sz w:val="32"/>
          <w:szCs w:val="32"/>
        </w:rPr>
        <w:t>投标</w:t>
      </w:r>
      <w:r>
        <w:rPr>
          <w:rFonts w:hint="eastAsia" w:cs="仿宋_GB2312"/>
          <w:sz w:val="32"/>
          <w:szCs w:val="32"/>
        </w:rPr>
        <w:t>。在此，本人郑重承诺，本人与本项目其他投标方不存在</w:t>
      </w:r>
      <w:r>
        <w:rPr>
          <w:rFonts w:cs="仿宋_GB2312"/>
          <w:sz w:val="32"/>
          <w:szCs w:val="32"/>
        </w:rPr>
        <w:t>雇佣关系或其他</w:t>
      </w:r>
      <w:r>
        <w:rPr>
          <w:rFonts w:hint="eastAsia" w:cs="仿宋_GB2312"/>
          <w:sz w:val="32"/>
          <w:szCs w:val="32"/>
        </w:rPr>
        <w:t>可能影响采购活动公平、公正进行的关系。</w:t>
      </w:r>
    </w:p>
    <w:p>
      <w:pPr>
        <w:spacing w:line="560" w:lineRule="exact"/>
        <w:ind w:firstLine="640" w:firstLineChars="200"/>
        <w:rPr>
          <w:rFonts w:cs="仿宋_GB2312"/>
          <w:sz w:val="32"/>
          <w:szCs w:val="32"/>
        </w:rPr>
      </w:pPr>
      <w:r>
        <w:rPr>
          <w:rFonts w:hint="eastAsia" w:cs="仿宋_GB2312"/>
          <w:sz w:val="32"/>
          <w:szCs w:val="32"/>
          <w:u w:val="single"/>
        </w:rPr>
        <w:t>XX公司</w:t>
      </w:r>
      <w:r>
        <w:rPr>
          <w:rFonts w:hint="eastAsia" w:cs="仿宋_GB2312"/>
          <w:sz w:val="32"/>
          <w:szCs w:val="32"/>
        </w:rPr>
        <w:t>已核实上述承诺内容。如承诺不属实，</w:t>
      </w:r>
      <w:r>
        <w:rPr>
          <w:rFonts w:hint="eastAsia" w:cs="仿宋_GB2312"/>
          <w:sz w:val="32"/>
          <w:szCs w:val="32"/>
          <w:u w:val="single"/>
        </w:rPr>
        <w:t>XX公司</w:t>
      </w:r>
      <w:r>
        <w:rPr>
          <w:rFonts w:hint="eastAsia" w:cs="仿宋_GB2312"/>
          <w:sz w:val="32"/>
          <w:szCs w:val="32"/>
        </w:rPr>
        <w:t>愿意无条件接受：</w:t>
      </w:r>
    </w:p>
    <w:p>
      <w:pPr>
        <w:spacing w:line="560" w:lineRule="exact"/>
        <w:ind w:firstLine="640" w:firstLineChars="200"/>
        <w:rPr>
          <w:rFonts w:cs="仿宋_GB2312"/>
          <w:sz w:val="32"/>
          <w:szCs w:val="32"/>
        </w:rPr>
      </w:pPr>
      <w:r>
        <w:rPr>
          <w:rFonts w:hint="eastAsia" w:cs="仿宋_GB2312"/>
          <w:sz w:val="32"/>
          <w:szCs w:val="32"/>
        </w:rPr>
        <w:t>1.宣布</w:t>
      </w:r>
      <w:r>
        <w:rPr>
          <w:rFonts w:hint="eastAsia" w:cs="仿宋_GB2312"/>
          <w:sz w:val="32"/>
          <w:szCs w:val="32"/>
          <w:u w:val="single"/>
        </w:rPr>
        <w:t>XX公司</w:t>
      </w:r>
      <w:r>
        <w:rPr>
          <w:rFonts w:hint="eastAsia" w:cs="仿宋_GB2312"/>
          <w:sz w:val="32"/>
          <w:szCs w:val="32"/>
        </w:rPr>
        <w:t>投标废标。</w:t>
      </w:r>
    </w:p>
    <w:p>
      <w:pPr>
        <w:spacing w:line="560" w:lineRule="exact"/>
        <w:ind w:firstLine="640" w:firstLineChars="200"/>
        <w:rPr>
          <w:rFonts w:cs="仿宋_GB2312"/>
          <w:sz w:val="32"/>
          <w:szCs w:val="32"/>
        </w:rPr>
      </w:pPr>
      <w:r>
        <w:rPr>
          <w:rFonts w:hint="eastAsia" w:cs="仿宋_GB2312"/>
          <w:sz w:val="32"/>
          <w:szCs w:val="32"/>
        </w:rPr>
        <w:t>2.取消</w:t>
      </w:r>
      <w:r>
        <w:rPr>
          <w:rFonts w:hint="eastAsia" w:cs="仿宋_GB2312"/>
          <w:sz w:val="32"/>
          <w:szCs w:val="32"/>
          <w:u w:val="single"/>
        </w:rPr>
        <w:t>XX公司</w:t>
      </w:r>
      <w:r>
        <w:rPr>
          <w:rFonts w:hint="eastAsia" w:cs="仿宋_GB2312"/>
          <w:sz w:val="32"/>
          <w:szCs w:val="32"/>
        </w:rPr>
        <w:t>的中标资格。</w:t>
      </w:r>
    </w:p>
    <w:p>
      <w:pPr>
        <w:spacing w:line="560" w:lineRule="exact"/>
        <w:ind w:firstLine="640" w:firstLineChars="200"/>
        <w:rPr>
          <w:rFonts w:cs="仿宋_GB2312"/>
          <w:sz w:val="32"/>
          <w:szCs w:val="32"/>
        </w:rPr>
      </w:pPr>
      <w:r>
        <w:rPr>
          <w:rFonts w:hint="eastAsia" w:cs="仿宋_GB2312"/>
          <w:sz w:val="32"/>
          <w:szCs w:val="32"/>
        </w:rPr>
        <w:t>3.列入投标黑名单。</w:t>
      </w:r>
    </w:p>
    <w:p>
      <w:pPr>
        <w:spacing w:line="560" w:lineRule="exact"/>
        <w:ind w:firstLine="640" w:firstLineChars="200"/>
        <w:rPr>
          <w:rFonts w:cs="仿宋_GB2312"/>
          <w:sz w:val="32"/>
          <w:szCs w:val="32"/>
        </w:rPr>
      </w:pPr>
      <w:r>
        <w:rPr>
          <w:rFonts w:hint="eastAsia" w:cs="仿宋_GB2312"/>
          <w:sz w:val="32"/>
          <w:szCs w:val="32"/>
        </w:rPr>
        <w:t>4.不予退还投标保证金。</w:t>
      </w:r>
    </w:p>
    <w:p>
      <w:pPr>
        <w:spacing w:line="560" w:lineRule="exact"/>
        <w:ind w:firstLine="640" w:firstLineChars="200"/>
        <w:rPr>
          <w:rFonts w:cs="仿宋_GB2312"/>
          <w:sz w:val="32"/>
          <w:szCs w:val="32"/>
        </w:rPr>
      </w:pPr>
      <w:r>
        <w:rPr>
          <w:rFonts w:hint="eastAsia" w:cs="仿宋_GB2312"/>
          <w:sz w:val="32"/>
          <w:szCs w:val="32"/>
        </w:rPr>
        <w:t>特此承诺。</w:t>
      </w:r>
    </w:p>
    <w:p>
      <w:pPr>
        <w:spacing w:line="560" w:lineRule="exact"/>
        <w:ind w:firstLine="640" w:firstLineChars="200"/>
        <w:rPr>
          <w:rFonts w:cs="仿宋_GB2312"/>
          <w:sz w:val="32"/>
          <w:szCs w:val="32"/>
        </w:rPr>
      </w:pPr>
    </w:p>
    <w:p>
      <w:pPr>
        <w:spacing w:line="560" w:lineRule="exact"/>
        <w:ind w:firstLine="640" w:firstLineChars="200"/>
        <w:rPr>
          <w:rFonts w:cs="仿宋_GB2312"/>
          <w:sz w:val="32"/>
          <w:szCs w:val="32"/>
        </w:rPr>
      </w:pPr>
    </w:p>
    <w:tbl>
      <w:tblPr>
        <w:tblStyle w:val="40"/>
        <w:tblW w:w="670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5"/>
        <w:gridCol w:w="3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3175" w:type="dxa"/>
            <w:tcBorders>
              <w:top w:val="nil"/>
              <w:left w:val="nil"/>
              <w:bottom w:val="nil"/>
              <w:right w:val="nil"/>
            </w:tcBorders>
          </w:tcPr>
          <w:p>
            <w:pPr>
              <w:spacing w:line="560" w:lineRule="exact"/>
              <w:jc w:val="distribute"/>
              <w:rPr>
                <w:rFonts w:cs="仿宋_GB2312"/>
                <w:spacing w:val="-34"/>
                <w:sz w:val="32"/>
                <w:szCs w:val="32"/>
              </w:rPr>
            </w:pPr>
            <w:r>
              <w:rPr>
                <w:rFonts w:hint="eastAsia" w:cs="仿宋_GB2312"/>
                <w:spacing w:val="-34"/>
                <w:sz w:val="32"/>
                <w:szCs w:val="32"/>
              </w:rPr>
              <w:t>投标人(盖章):</w:t>
            </w:r>
          </w:p>
        </w:tc>
        <w:tc>
          <w:tcPr>
            <w:tcW w:w="3532" w:type="dxa"/>
            <w:tcBorders>
              <w:top w:val="nil"/>
              <w:left w:val="nil"/>
              <w:bottom w:val="single" w:color="auto" w:sz="4" w:space="0"/>
              <w:right w:val="nil"/>
            </w:tcBorders>
          </w:tcPr>
          <w:p>
            <w:pPr>
              <w:spacing w:line="560" w:lineRule="exact"/>
              <w:rPr>
                <w:rFonts w:cs="仿宋_GB2312"/>
                <w:spacing w:val="-3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nil"/>
              <w:left w:val="nil"/>
              <w:bottom w:val="nil"/>
              <w:right w:val="nil"/>
            </w:tcBorders>
          </w:tcPr>
          <w:p>
            <w:pPr>
              <w:spacing w:line="560" w:lineRule="exact"/>
              <w:jc w:val="distribute"/>
              <w:rPr>
                <w:rFonts w:cs="仿宋_GB2312"/>
                <w:spacing w:val="-34"/>
                <w:sz w:val="32"/>
                <w:szCs w:val="32"/>
              </w:rPr>
            </w:pPr>
            <w:r>
              <w:rPr>
                <w:rFonts w:hint="eastAsia" w:cs="仿宋_GB2312"/>
                <w:spacing w:val="-34"/>
                <w:sz w:val="32"/>
                <w:szCs w:val="32"/>
              </w:rPr>
              <w:t>法定代表人(签字/</w:t>
            </w:r>
            <w:r>
              <w:rPr>
                <w:rFonts w:cs="仿宋_GB2312"/>
                <w:spacing w:val="-34"/>
                <w:sz w:val="32"/>
                <w:szCs w:val="32"/>
              </w:rPr>
              <w:t>盖章</w:t>
            </w:r>
            <w:r>
              <w:rPr>
                <w:rFonts w:hint="eastAsia" w:cs="仿宋_GB2312"/>
                <w:spacing w:val="-34"/>
                <w:sz w:val="32"/>
                <w:szCs w:val="32"/>
              </w:rPr>
              <w:t>):</w:t>
            </w:r>
          </w:p>
        </w:tc>
        <w:tc>
          <w:tcPr>
            <w:tcW w:w="3532" w:type="dxa"/>
            <w:tcBorders>
              <w:top w:val="single" w:color="auto" w:sz="4" w:space="0"/>
              <w:left w:val="nil"/>
              <w:bottom w:val="single" w:color="auto" w:sz="4" w:space="0"/>
              <w:right w:val="nil"/>
            </w:tcBorders>
          </w:tcPr>
          <w:p>
            <w:pPr>
              <w:spacing w:line="560" w:lineRule="exact"/>
              <w:rPr>
                <w:rFonts w:cs="仿宋_GB2312"/>
                <w:spacing w:val="-3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nil"/>
              <w:left w:val="nil"/>
              <w:bottom w:val="nil"/>
              <w:right w:val="nil"/>
            </w:tcBorders>
          </w:tcPr>
          <w:p>
            <w:pPr>
              <w:spacing w:line="560" w:lineRule="exact"/>
              <w:jc w:val="distribute"/>
              <w:rPr>
                <w:rFonts w:cs="仿宋_GB2312"/>
                <w:spacing w:val="-34"/>
                <w:sz w:val="32"/>
                <w:szCs w:val="32"/>
              </w:rPr>
            </w:pPr>
            <w:r>
              <w:rPr>
                <w:rFonts w:hint="eastAsia" w:cs="仿宋_GB2312"/>
                <w:spacing w:val="-34"/>
                <w:sz w:val="32"/>
                <w:szCs w:val="32"/>
              </w:rPr>
              <w:t>投标人代表(签字):</w:t>
            </w:r>
          </w:p>
        </w:tc>
        <w:tc>
          <w:tcPr>
            <w:tcW w:w="3532" w:type="dxa"/>
            <w:tcBorders>
              <w:top w:val="single" w:color="auto" w:sz="4" w:space="0"/>
              <w:left w:val="nil"/>
              <w:bottom w:val="single" w:color="auto" w:sz="4" w:space="0"/>
              <w:right w:val="nil"/>
            </w:tcBorders>
          </w:tcPr>
          <w:p>
            <w:pPr>
              <w:spacing w:line="560" w:lineRule="exact"/>
              <w:rPr>
                <w:rFonts w:cs="仿宋_GB2312"/>
                <w:spacing w:val="-3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3175" w:type="dxa"/>
            <w:tcBorders>
              <w:top w:val="nil"/>
              <w:left w:val="nil"/>
              <w:bottom w:val="nil"/>
              <w:right w:val="nil"/>
            </w:tcBorders>
          </w:tcPr>
          <w:p>
            <w:pPr>
              <w:spacing w:line="560" w:lineRule="exact"/>
              <w:jc w:val="distribute"/>
              <w:rPr>
                <w:rFonts w:cs="仿宋_GB2312"/>
                <w:spacing w:val="-34"/>
                <w:sz w:val="32"/>
                <w:szCs w:val="32"/>
              </w:rPr>
            </w:pPr>
            <w:r>
              <w:rPr>
                <w:rFonts w:hint="eastAsia" w:cs="仿宋_GB2312"/>
                <w:spacing w:val="-34"/>
                <w:sz w:val="32"/>
                <w:szCs w:val="32"/>
              </w:rPr>
              <w:t>出具日期:</w:t>
            </w:r>
          </w:p>
        </w:tc>
        <w:tc>
          <w:tcPr>
            <w:tcW w:w="3532" w:type="dxa"/>
            <w:tcBorders>
              <w:top w:val="single" w:color="auto" w:sz="4" w:space="0"/>
              <w:left w:val="nil"/>
              <w:bottom w:val="single" w:color="auto" w:sz="4" w:space="0"/>
              <w:right w:val="nil"/>
            </w:tcBorders>
          </w:tcPr>
          <w:p>
            <w:pPr>
              <w:spacing w:line="560" w:lineRule="exact"/>
              <w:jc w:val="right"/>
              <w:rPr>
                <w:rFonts w:cs="仿宋_GB2312"/>
                <w:spacing w:val="-34"/>
                <w:sz w:val="32"/>
                <w:szCs w:val="32"/>
              </w:rPr>
            </w:pPr>
            <w:r>
              <w:rPr>
                <w:rFonts w:hint="eastAsia" w:cs="仿宋_GB2312"/>
                <w:spacing w:val="-34"/>
                <w:sz w:val="32"/>
                <w:szCs w:val="32"/>
              </w:rPr>
              <w:t>年       月       日</w:t>
            </w:r>
          </w:p>
        </w:tc>
      </w:tr>
    </w:tbl>
    <w:p>
      <w:pPr>
        <w:spacing w:line="560" w:lineRule="exact"/>
        <w:rPr>
          <w:rFonts w:cs="仿宋_GB2312"/>
          <w:sz w:val="32"/>
          <w:szCs w:val="32"/>
        </w:rPr>
      </w:pP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br w:type="page"/>
      </w:r>
      <w:r>
        <w:rPr>
          <w:rFonts w:hint="eastAsia" w:ascii="宋体" w:hAnsi="宋体" w:eastAsia="宋体"/>
          <w:color w:val="000000" w:themeColor="text1"/>
          <w:szCs w:val="21"/>
          <w14:textFill>
            <w14:solidFill>
              <w14:schemeClr w14:val="tx1"/>
            </w14:solidFill>
          </w14:textFill>
        </w:rPr>
        <w:t>投标书附表3：</w:t>
      </w:r>
    </w:p>
    <w:p>
      <w:pPr>
        <w:tabs>
          <w:tab w:val="left" w:pos="7560"/>
        </w:tabs>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投标函</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致</w:t>
      </w:r>
      <w:bookmarkStart w:id="1" w:name="_GoBack"/>
      <w:bookmarkEnd w:id="1"/>
      <w:r>
        <w:rPr>
          <w:rFonts w:hint="eastAsia" w:ascii="宋体" w:hAnsi="宋体" w:eastAsia="宋体" w:cs="宋体"/>
          <w:color w:val="000000" w:themeColor="text1"/>
          <w:kern w:val="0"/>
          <w:szCs w:val="21"/>
          <w:lang w:eastAsia="zh-CN"/>
          <w14:textFill>
            <w14:solidFill>
              <w14:schemeClr w14:val="tx1"/>
            </w14:solidFill>
          </w14:textFill>
        </w:rPr>
        <w:t>宁国水务有限公司</w:t>
      </w:r>
      <w:r>
        <w:rPr>
          <w:rFonts w:hint="eastAsia" w:ascii="宋体" w:hAnsi="宋体" w:eastAsia="宋体" w:cs="宋体"/>
          <w:color w:val="000000" w:themeColor="text1"/>
          <w:kern w:val="0"/>
          <w:szCs w:val="21"/>
          <w14:textFill>
            <w14:solidFill>
              <w14:schemeClr w14:val="tx1"/>
            </w14:solidFill>
          </w14:textFill>
        </w:rPr>
        <w:t>：</w:t>
      </w: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1、根据已收到贵方的编号为</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r>
        <w:rPr>
          <w:rFonts w:hint="eastAsia" w:ascii="宋体" w:hAnsi="宋体" w:eastAsia="宋体"/>
          <w:color w:val="000000" w:themeColor="text1"/>
          <w:szCs w:val="21"/>
          <w:u w:val="single"/>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项目招标文件，并已详细审核了全部招标文件及有关附件。</w:t>
      </w: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2、遵照《中华人民共和国招标投标法》等有关规定，经研究上述招标文件的投标须知、合同主要条款、服务清单、招标项目要求及其他有关文件后，我方承诺：愿以</w:t>
      </w:r>
    </w:p>
    <w:p>
      <w:pPr>
        <w:tabs>
          <w:tab w:val="left" w:pos="7560"/>
        </w:tabs>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币种：</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p>
    <w:p>
      <w:pPr>
        <w:tabs>
          <w:tab w:val="left" w:pos="7560"/>
        </w:tabs>
        <w:spacing w:line="36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w:t>
      </w:r>
    </w:p>
    <w:tbl>
      <w:tblPr>
        <w:tblStyle w:val="40"/>
        <w:tblW w:w="10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12"/>
        <w:gridCol w:w="1820"/>
        <w:gridCol w:w="1732"/>
        <w:gridCol w:w="1842"/>
        <w:gridCol w:w="156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780" w:type="dxa"/>
            <w:tcBorders>
              <w:top w:val="single" w:color="auto" w:sz="12" w:space="0"/>
              <w:left w:val="single" w:color="auto" w:sz="12" w:space="0"/>
            </w:tcBorders>
            <w:shd w:val="clear" w:color="auto" w:fill="DBE5F1"/>
            <w:vAlign w:val="center"/>
          </w:tcPr>
          <w:p>
            <w:pPr>
              <w:spacing w:before="72" w:beforeLines="30" w:line="360" w:lineRule="auto"/>
              <w:jc w:val="center"/>
              <w:rPr>
                <w:rFonts w:ascii="宋体" w:hAnsi="宋体" w:eastAsia="宋体"/>
                <w:snapToGrid w:val="0"/>
                <w:kern w:val="0"/>
              </w:rPr>
            </w:pPr>
            <w:r>
              <w:rPr>
                <w:rFonts w:hint="eastAsia" w:ascii="宋体" w:hAnsi="宋体" w:eastAsia="宋体"/>
                <w:snapToGrid w:val="0"/>
                <w:kern w:val="0"/>
              </w:rPr>
              <w:t>序</w:t>
            </w:r>
            <w:r>
              <w:rPr>
                <w:rFonts w:ascii="宋体" w:hAnsi="宋体" w:eastAsia="宋体"/>
                <w:snapToGrid w:val="0"/>
                <w:kern w:val="0"/>
              </w:rPr>
              <w:t>号</w:t>
            </w:r>
          </w:p>
        </w:tc>
        <w:tc>
          <w:tcPr>
            <w:tcW w:w="1812" w:type="dxa"/>
            <w:tcBorders>
              <w:top w:val="single" w:color="auto" w:sz="12" w:space="0"/>
              <w:left w:val="single" w:color="auto" w:sz="12" w:space="0"/>
            </w:tcBorders>
            <w:shd w:val="clear" w:color="auto" w:fill="DBE5F1"/>
            <w:vAlign w:val="center"/>
          </w:tcPr>
          <w:p>
            <w:pPr>
              <w:spacing w:before="72" w:beforeLines="30" w:line="360" w:lineRule="auto"/>
              <w:jc w:val="center"/>
              <w:rPr>
                <w:rFonts w:ascii="宋体" w:hAnsi="宋体" w:eastAsia="宋体"/>
              </w:rPr>
            </w:pPr>
            <w:r>
              <w:rPr>
                <w:rFonts w:hint="eastAsia" w:ascii="宋体" w:hAnsi="宋体" w:eastAsia="宋体"/>
                <w:snapToGrid w:val="0"/>
                <w:kern w:val="0"/>
              </w:rPr>
              <w:t>项</w:t>
            </w:r>
            <w:r>
              <w:rPr>
                <w:rFonts w:ascii="宋体" w:hAnsi="宋体" w:eastAsia="宋体"/>
                <w:snapToGrid w:val="0"/>
                <w:kern w:val="0"/>
              </w:rPr>
              <w:t>目名称</w:t>
            </w:r>
          </w:p>
        </w:tc>
        <w:tc>
          <w:tcPr>
            <w:tcW w:w="1820" w:type="dxa"/>
            <w:tcBorders>
              <w:top w:val="single" w:color="auto" w:sz="12" w:space="0"/>
            </w:tcBorders>
            <w:shd w:val="clear" w:color="auto" w:fill="DBE5F1"/>
            <w:vAlign w:val="center"/>
          </w:tcPr>
          <w:p>
            <w:pPr>
              <w:spacing w:line="360" w:lineRule="auto"/>
              <w:jc w:val="center"/>
              <w:rPr>
                <w:rFonts w:ascii="宋体" w:hAnsi="宋体" w:eastAsia="宋体"/>
                <w:snapToGrid w:val="0"/>
                <w:kern w:val="0"/>
              </w:rPr>
            </w:pPr>
          </w:p>
          <w:p>
            <w:pPr>
              <w:spacing w:line="360" w:lineRule="auto"/>
              <w:jc w:val="center"/>
              <w:rPr>
                <w:rFonts w:ascii="宋体" w:hAnsi="宋体" w:eastAsia="宋体"/>
                <w:snapToGrid w:val="0"/>
                <w:kern w:val="0"/>
              </w:rPr>
            </w:pPr>
            <w:r>
              <w:rPr>
                <w:rFonts w:hint="eastAsia" w:ascii="宋体" w:hAnsi="宋体" w:eastAsia="宋体"/>
                <w:snapToGrid w:val="0"/>
                <w:kern w:val="0"/>
              </w:rPr>
              <w:t>投</w:t>
            </w:r>
            <w:r>
              <w:rPr>
                <w:rFonts w:ascii="宋体" w:hAnsi="宋体" w:eastAsia="宋体"/>
                <w:snapToGrid w:val="0"/>
                <w:kern w:val="0"/>
              </w:rPr>
              <w:t>标</w:t>
            </w:r>
            <w:r>
              <w:rPr>
                <w:rFonts w:hint="eastAsia" w:ascii="宋体" w:hAnsi="宋体" w:eastAsia="宋体"/>
                <w:snapToGrid w:val="0"/>
                <w:kern w:val="0"/>
              </w:rPr>
              <w:t>报价的上限</w:t>
            </w:r>
          </w:p>
          <w:p>
            <w:pPr>
              <w:spacing w:line="360" w:lineRule="auto"/>
              <w:jc w:val="center"/>
              <w:rPr>
                <w:rFonts w:ascii="宋体" w:hAnsi="宋体" w:eastAsia="宋体"/>
                <w:snapToGrid w:val="0"/>
                <w:kern w:val="0"/>
              </w:rPr>
            </w:pPr>
            <w:r>
              <w:rPr>
                <w:rFonts w:hint="eastAsia" w:ascii="宋体" w:hAnsi="宋体" w:eastAsia="宋体"/>
                <w:snapToGrid w:val="0"/>
                <w:kern w:val="0"/>
              </w:rPr>
              <w:t>（元</w:t>
            </w:r>
            <w:r>
              <w:rPr>
                <w:rFonts w:ascii="宋体" w:hAnsi="宋体" w:eastAsia="宋体"/>
                <w:snapToGrid w:val="0"/>
                <w:kern w:val="0"/>
              </w:rPr>
              <w:t>/m³</w:t>
            </w:r>
            <w:r>
              <w:rPr>
                <w:rFonts w:hint="eastAsia" w:ascii="宋体" w:hAnsi="宋体" w:eastAsia="宋体"/>
                <w:snapToGrid w:val="0"/>
                <w:kern w:val="0"/>
              </w:rPr>
              <w:t>·年）</w:t>
            </w:r>
          </w:p>
          <w:p>
            <w:pPr>
              <w:spacing w:line="360" w:lineRule="auto"/>
              <w:jc w:val="center"/>
              <w:rPr>
                <w:rFonts w:ascii="宋体" w:hAnsi="宋体" w:eastAsia="宋体"/>
                <w:snapToGrid w:val="0"/>
                <w:kern w:val="0"/>
              </w:rPr>
            </w:pPr>
          </w:p>
        </w:tc>
        <w:tc>
          <w:tcPr>
            <w:tcW w:w="1732" w:type="dxa"/>
            <w:tcBorders>
              <w:top w:val="single" w:color="auto" w:sz="12" w:space="0"/>
            </w:tcBorders>
            <w:shd w:val="clear" w:color="auto" w:fill="DBE5F1"/>
            <w:vAlign w:val="center"/>
          </w:tcPr>
          <w:p>
            <w:pPr>
              <w:spacing w:line="360" w:lineRule="auto"/>
              <w:ind w:left="210" w:hanging="210" w:hangingChars="100"/>
              <w:rPr>
                <w:rFonts w:ascii="宋体" w:hAnsi="宋体" w:eastAsia="宋体"/>
              </w:rPr>
            </w:pPr>
            <w:r>
              <w:rPr>
                <w:rFonts w:hint="eastAsia" w:ascii="宋体" w:hAnsi="宋体" w:eastAsia="宋体"/>
              </w:rPr>
              <w:t>年度预估小</w:t>
            </w:r>
            <w:r>
              <w:rPr>
                <w:rFonts w:ascii="宋体" w:hAnsi="宋体" w:eastAsia="宋体"/>
              </w:rPr>
              <w:t>时</w:t>
            </w:r>
            <w:r>
              <w:rPr>
                <w:rFonts w:hint="eastAsia" w:ascii="宋体" w:hAnsi="宋体" w:eastAsia="宋体"/>
              </w:rPr>
              <w:t>检漏量（m³/h）</w:t>
            </w:r>
          </w:p>
        </w:tc>
        <w:tc>
          <w:tcPr>
            <w:tcW w:w="1842" w:type="dxa"/>
            <w:tcBorders>
              <w:top w:val="single" w:color="auto" w:sz="12" w:space="0"/>
            </w:tcBorders>
            <w:shd w:val="clear" w:color="auto" w:fill="DBE5F1"/>
          </w:tcPr>
          <w:p>
            <w:pPr>
              <w:spacing w:line="360" w:lineRule="auto"/>
              <w:rPr>
                <w:rFonts w:ascii="宋体" w:hAnsi="宋体" w:eastAsia="宋体"/>
              </w:rPr>
            </w:pPr>
          </w:p>
          <w:p>
            <w:pPr>
              <w:spacing w:line="360" w:lineRule="auto"/>
              <w:ind w:firstLine="210" w:firstLineChars="100"/>
              <w:rPr>
                <w:rFonts w:ascii="宋体" w:hAnsi="宋体" w:eastAsia="宋体"/>
              </w:rPr>
            </w:pPr>
            <w:r>
              <w:rPr>
                <w:rFonts w:hint="eastAsia" w:ascii="宋体" w:hAnsi="宋体" w:eastAsia="宋体"/>
              </w:rPr>
              <w:t>投标报价单价</w:t>
            </w:r>
          </w:p>
          <w:p>
            <w:pPr>
              <w:spacing w:line="360" w:lineRule="auto"/>
              <w:ind w:firstLine="210" w:firstLineChars="100"/>
              <w:rPr>
                <w:rFonts w:ascii="宋体" w:hAnsi="宋体" w:eastAsia="宋体"/>
              </w:rPr>
            </w:pPr>
            <w:r>
              <w:rPr>
                <w:rFonts w:hint="eastAsia" w:ascii="宋体" w:hAnsi="宋体" w:eastAsia="宋体"/>
              </w:rPr>
              <w:t>（元</w:t>
            </w:r>
            <w:r>
              <w:rPr>
                <w:rFonts w:ascii="宋体" w:hAnsi="宋体" w:eastAsia="宋体"/>
              </w:rPr>
              <w:t>/m³</w:t>
            </w:r>
            <w:r>
              <w:rPr>
                <w:rFonts w:hint="eastAsia" w:ascii="宋体" w:hAnsi="宋体" w:eastAsia="宋体"/>
                <w:snapToGrid w:val="0"/>
                <w:kern w:val="0"/>
              </w:rPr>
              <w:t>·年</w:t>
            </w:r>
            <w:r>
              <w:rPr>
                <w:rFonts w:hint="eastAsia" w:ascii="宋体" w:hAnsi="宋体" w:eastAsia="宋体"/>
              </w:rPr>
              <w:t>）</w:t>
            </w:r>
          </w:p>
        </w:tc>
        <w:tc>
          <w:tcPr>
            <w:tcW w:w="1560" w:type="dxa"/>
            <w:tcBorders>
              <w:top w:val="single" w:color="auto" w:sz="12" w:space="0"/>
            </w:tcBorders>
            <w:shd w:val="clear" w:color="auto" w:fill="DBE5F1"/>
          </w:tcPr>
          <w:p>
            <w:pPr>
              <w:spacing w:before="72" w:beforeLines="30" w:line="360" w:lineRule="auto"/>
              <w:jc w:val="center"/>
              <w:rPr>
                <w:rFonts w:ascii="宋体" w:hAnsi="宋体" w:eastAsia="宋体"/>
              </w:rPr>
            </w:pPr>
          </w:p>
          <w:p>
            <w:pPr>
              <w:jc w:val="center"/>
              <w:rPr>
                <w:rFonts w:ascii="宋体" w:hAnsi="宋体" w:eastAsia="宋体"/>
              </w:rPr>
            </w:pPr>
            <w:r>
              <w:rPr>
                <w:rFonts w:ascii="宋体" w:hAnsi="宋体" w:eastAsia="宋体"/>
              </w:rPr>
              <w:t>暂定投标总价</w:t>
            </w:r>
            <w:r>
              <w:rPr>
                <w:rFonts w:hint="eastAsia" w:ascii="宋体" w:hAnsi="宋体" w:eastAsia="宋体"/>
              </w:rPr>
              <w:t>（元）</w:t>
            </w:r>
          </w:p>
        </w:tc>
        <w:tc>
          <w:tcPr>
            <w:tcW w:w="753" w:type="dxa"/>
            <w:tcBorders>
              <w:top w:val="single" w:color="auto" w:sz="12" w:space="0"/>
            </w:tcBorders>
            <w:shd w:val="clear" w:color="auto" w:fill="DBE5F1"/>
            <w:vAlign w:val="center"/>
          </w:tcPr>
          <w:p>
            <w:pPr>
              <w:spacing w:before="72" w:beforeLines="30" w:line="360" w:lineRule="auto"/>
              <w:jc w:val="center"/>
              <w:rPr>
                <w:rFonts w:ascii="宋体" w:hAnsi="宋体" w:eastAsia="宋体"/>
              </w:rPr>
            </w:pPr>
            <w:r>
              <w:rPr>
                <w:rFonts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80" w:type="dxa"/>
            <w:tcBorders>
              <w:left w:val="single" w:color="auto" w:sz="12" w:space="0"/>
            </w:tcBorders>
          </w:tcPr>
          <w:p>
            <w:pPr>
              <w:spacing w:before="72" w:beforeLines="30" w:line="360" w:lineRule="auto"/>
              <w:jc w:val="center"/>
              <w:rPr>
                <w:rFonts w:ascii="宋体" w:hAnsi="宋体" w:eastAsia="宋体" w:cs="Arial"/>
                <w:szCs w:val="21"/>
              </w:rPr>
            </w:pPr>
          </w:p>
          <w:p>
            <w:pPr>
              <w:spacing w:before="72" w:beforeLines="30" w:line="360" w:lineRule="auto"/>
              <w:jc w:val="center"/>
              <w:rPr>
                <w:rFonts w:ascii="宋体" w:hAnsi="宋体" w:eastAsia="宋体" w:cs="Arial"/>
                <w:szCs w:val="21"/>
              </w:rPr>
            </w:pPr>
            <w:r>
              <w:rPr>
                <w:rFonts w:hint="eastAsia" w:ascii="宋体" w:hAnsi="宋体" w:eastAsia="宋体" w:cs="Arial"/>
                <w:szCs w:val="21"/>
              </w:rPr>
              <w:t>1</w:t>
            </w:r>
          </w:p>
        </w:tc>
        <w:tc>
          <w:tcPr>
            <w:tcW w:w="1812" w:type="dxa"/>
            <w:tcBorders>
              <w:left w:val="single" w:color="auto" w:sz="12" w:space="0"/>
            </w:tcBorders>
            <w:vAlign w:val="center"/>
          </w:tcPr>
          <w:p>
            <w:pPr>
              <w:spacing w:before="72" w:beforeLines="30" w:line="360" w:lineRule="auto"/>
              <w:jc w:val="center"/>
              <w:rPr>
                <w:rFonts w:ascii="宋体" w:hAnsi="宋体" w:eastAsia="宋体"/>
              </w:rPr>
            </w:pPr>
            <w:r>
              <w:rPr>
                <w:rFonts w:hint="eastAsia" w:ascii="宋体" w:hAnsi="宋体" w:eastAsia="宋体"/>
                <w:szCs w:val="21"/>
              </w:rPr>
              <w:t>供水管网检漏年度服务商</w:t>
            </w:r>
          </w:p>
        </w:tc>
        <w:tc>
          <w:tcPr>
            <w:tcW w:w="1820" w:type="dxa"/>
            <w:vAlign w:val="center"/>
          </w:tcPr>
          <w:p>
            <w:pPr>
              <w:spacing w:before="72" w:beforeLines="30" w:line="360" w:lineRule="auto"/>
              <w:jc w:val="center"/>
              <w:rPr>
                <w:rFonts w:ascii="宋体" w:hAnsi="宋体" w:eastAsia="宋体"/>
              </w:rPr>
            </w:pPr>
            <w:r>
              <w:rPr>
                <w:rFonts w:ascii="宋体" w:hAnsi="宋体" w:eastAsia="宋体"/>
                <w:snapToGrid w:val="0"/>
                <w:kern w:val="0"/>
              </w:rPr>
              <w:t>0.12</w:t>
            </w:r>
          </w:p>
        </w:tc>
        <w:tc>
          <w:tcPr>
            <w:tcW w:w="1732" w:type="dxa"/>
            <w:vAlign w:val="center"/>
          </w:tcPr>
          <w:p>
            <w:pPr>
              <w:spacing w:before="72" w:beforeLines="30" w:line="360" w:lineRule="auto"/>
              <w:jc w:val="center"/>
              <w:rPr>
                <w:rFonts w:ascii="宋体" w:hAnsi="宋体" w:eastAsia="宋体"/>
              </w:rPr>
            </w:pPr>
            <w:r>
              <w:rPr>
                <w:rFonts w:hint="eastAsia" w:ascii="宋体" w:hAnsi="宋体" w:eastAsia="宋体"/>
              </w:rPr>
              <w:t>933</w:t>
            </w:r>
          </w:p>
        </w:tc>
        <w:tc>
          <w:tcPr>
            <w:tcW w:w="1842" w:type="dxa"/>
          </w:tcPr>
          <w:p>
            <w:pPr>
              <w:keepNext/>
              <w:keepLines/>
              <w:spacing w:before="260" w:after="260" w:line="416" w:lineRule="auto"/>
              <w:jc w:val="center"/>
              <w:outlineLvl w:val="1"/>
              <w:rPr>
                <w:rFonts w:ascii="Arial" w:hAnsi="Arial" w:eastAsia="黑体"/>
                <w:b/>
                <w:bCs/>
                <w:sz w:val="32"/>
                <w:szCs w:val="32"/>
              </w:rPr>
            </w:pPr>
          </w:p>
        </w:tc>
        <w:tc>
          <w:tcPr>
            <w:tcW w:w="1560" w:type="dxa"/>
          </w:tcPr>
          <w:p>
            <w:pPr>
              <w:spacing w:before="72" w:beforeLines="30" w:line="360" w:lineRule="auto"/>
              <w:jc w:val="center"/>
              <w:rPr>
                <w:rFonts w:ascii="宋体" w:hAnsi="宋体" w:eastAsia="宋体"/>
              </w:rPr>
            </w:pPr>
          </w:p>
        </w:tc>
        <w:tc>
          <w:tcPr>
            <w:tcW w:w="753" w:type="dxa"/>
            <w:vAlign w:val="center"/>
          </w:tcPr>
          <w:p>
            <w:pPr>
              <w:spacing w:before="72" w:beforeLines="30" w:line="360" w:lineRule="auto"/>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299" w:type="dxa"/>
            <w:gridSpan w:val="7"/>
            <w:tcBorders>
              <w:left w:val="single" w:color="auto" w:sz="12" w:space="0"/>
              <w:bottom w:val="single" w:color="auto" w:sz="12" w:space="0"/>
              <w:right w:val="single" w:color="auto" w:sz="4" w:space="0"/>
            </w:tcBorders>
          </w:tcPr>
          <w:p>
            <w:pPr>
              <w:spacing w:line="360" w:lineRule="auto"/>
              <w:rPr>
                <w:rFonts w:ascii="宋体" w:hAnsi="宋体" w:eastAsia="宋体"/>
              </w:rPr>
            </w:pPr>
            <w:r>
              <w:rPr>
                <w:rFonts w:hint="eastAsia" w:ascii="宋体" w:hAnsi="宋体" w:eastAsia="宋体"/>
                <w:b/>
                <w:snapToGrid w:val="0"/>
                <w:kern w:val="0"/>
              </w:rPr>
              <w:t>暂</w:t>
            </w:r>
            <w:r>
              <w:rPr>
                <w:rFonts w:ascii="宋体" w:hAnsi="宋体" w:eastAsia="宋体"/>
                <w:b/>
                <w:snapToGrid w:val="0"/>
                <w:kern w:val="0"/>
              </w:rPr>
              <w:t>定投标总价</w:t>
            </w:r>
            <w:r>
              <w:rPr>
                <w:rFonts w:hint="eastAsia" w:ascii="宋体" w:hAnsi="宋体" w:eastAsia="宋体" w:cs="宋体"/>
                <w:b/>
                <w:sz w:val="24"/>
              </w:rPr>
              <w:t>＝</w:t>
            </w:r>
            <w:r>
              <w:rPr>
                <w:rFonts w:hint="eastAsia" w:ascii="宋体" w:hAnsi="宋体" w:eastAsia="宋体"/>
                <w:b/>
                <w:sz w:val="24"/>
              </w:rPr>
              <w:t>9000</w:t>
            </w:r>
            <w:r>
              <w:rPr>
                <w:rFonts w:hint="eastAsia" w:ascii="宋体" w:hAnsi="宋体" w:eastAsia="宋体" w:cs="宋体"/>
                <w:b/>
                <w:sz w:val="24"/>
                <w:szCs w:val="20"/>
              </w:rPr>
              <w:t>*24*365*</w:t>
            </w:r>
            <w:r>
              <w:rPr>
                <w:rFonts w:hint="eastAsia" w:ascii="宋体" w:hAnsi="宋体" w:eastAsia="宋体"/>
                <w:b/>
              </w:rPr>
              <w:t>投标报价单价</w:t>
            </w:r>
            <w:r>
              <w:rPr>
                <w:rFonts w:hint="eastAsia" w:ascii="宋体" w:hAnsi="宋体" w:eastAsia="宋体" w:cs="宋体"/>
                <w:sz w:val="24"/>
                <w:szCs w:val="20"/>
              </w:rPr>
              <w:t>（</w:t>
            </w:r>
            <w:r>
              <w:rPr>
                <w:rFonts w:hint="eastAsia" w:ascii="宋体" w:hAnsi="宋体" w:eastAsia="宋体"/>
                <w:b/>
                <w:snapToGrid w:val="0"/>
                <w:kern w:val="0"/>
              </w:rPr>
              <w:t>此价格仅用作价格得分的计算）</w:t>
            </w:r>
          </w:p>
        </w:tc>
      </w:tr>
    </w:tbl>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（以上报价均为含税报价。）</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的投标报价并按上述合同主要条款、服</w:t>
      </w:r>
      <w:r>
        <w:rPr>
          <w:rFonts w:ascii="宋体" w:hAnsi="宋体" w:eastAsia="宋体"/>
          <w:color w:val="000000"/>
          <w:szCs w:val="21"/>
        </w:rPr>
        <w:t>务</w:t>
      </w:r>
      <w:r>
        <w:rPr>
          <w:rFonts w:hint="eastAsia" w:ascii="宋体" w:hAnsi="宋体" w:eastAsia="宋体"/>
          <w:color w:val="000000"/>
          <w:szCs w:val="21"/>
        </w:rPr>
        <w:t>清单、招</w:t>
      </w:r>
      <w:r>
        <w:rPr>
          <w:rFonts w:ascii="宋体" w:hAnsi="宋体" w:eastAsia="宋体"/>
          <w:color w:val="000000"/>
          <w:szCs w:val="21"/>
        </w:rPr>
        <w:t>标项目</w:t>
      </w:r>
      <w:r>
        <w:rPr>
          <w:rFonts w:hint="eastAsia" w:ascii="宋体" w:hAnsi="宋体" w:eastAsia="宋体"/>
          <w:color w:val="000000"/>
          <w:szCs w:val="21"/>
        </w:rPr>
        <w:t>要求等的要求承接上述项目。</w:t>
      </w:r>
    </w:p>
    <w:p>
      <w:pPr>
        <w:tabs>
          <w:tab w:val="left" w:pos="7560"/>
        </w:tabs>
        <w:spacing w:line="360" w:lineRule="auto"/>
        <w:rPr>
          <w:rFonts w:ascii="宋体" w:hAnsi="宋体" w:eastAsia="宋体"/>
          <w:color w:val="000000"/>
          <w:szCs w:val="21"/>
        </w:rPr>
      </w:pPr>
      <w:r>
        <w:rPr>
          <w:rFonts w:ascii="宋体" w:hAnsi="宋体" w:eastAsia="宋体"/>
          <w:color w:val="000000"/>
          <w:szCs w:val="21"/>
        </w:rPr>
        <w:t>注：投标报价的单位为</w:t>
      </w:r>
      <w:r>
        <w:rPr>
          <w:rFonts w:hint="eastAsia" w:ascii="宋体" w:hAnsi="宋体" w:eastAsia="宋体"/>
          <w:snapToGrid w:val="0"/>
          <w:kern w:val="0"/>
        </w:rPr>
        <w:t>元</w:t>
      </w:r>
      <w:r>
        <w:rPr>
          <w:rFonts w:ascii="宋体" w:hAnsi="宋体" w:eastAsia="宋体"/>
          <w:snapToGrid w:val="0"/>
          <w:kern w:val="0"/>
        </w:rPr>
        <w:t>/m³</w:t>
      </w:r>
      <w:r>
        <w:rPr>
          <w:rFonts w:hint="eastAsia" w:ascii="宋体" w:hAnsi="宋体" w:eastAsia="宋体"/>
          <w:snapToGrid w:val="0"/>
          <w:kern w:val="0"/>
        </w:rPr>
        <w:t>·年</w:t>
      </w:r>
      <w:r>
        <w:rPr>
          <w:rFonts w:ascii="宋体" w:hAnsi="宋体" w:eastAsia="宋体"/>
          <w:snapToGrid w:val="0"/>
          <w:kern w:val="0"/>
        </w:rPr>
        <w:t>，即</w:t>
      </w:r>
      <w:r>
        <w:rPr>
          <w:rFonts w:hint="eastAsia" w:ascii="宋体" w:hAnsi="宋体" w:eastAsia="宋体"/>
          <w:snapToGrid w:val="0"/>
          <w:kern w:val="0"/>
        </w:rPr>
        <w:t>年每立方米的单价。</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3、我方同意所递交的投标文件在投标须知规定的投标有效期内有效，在此期间内我方的投标有可能中标，我方将受此约束。如果在投标有效期内撤回投标或放弃中标资格，或中标后不按时与贵方签订合同，则贵方有权废除中标，同时，我方支付招标项目预估总额百分之五的补偿金给招标人。</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另外，给贵方造成的损失超过上述金额的，贵方还有权要求我方对超过部分进行赔偿。</w:t>
      </w:r>
    </w:p>
    <w:p>
      <w:pPr>
        <w:tabs>
          <w:tab w:val="left" w:pos="7560"/>
        </w:tabs>
        <w:spacing w:line="360" w:lineRule="auto"/>
        <w:rPr>
          <w:rFonts w:ascii="宋体" w:hAnsi="宋体" w:eastAsia="宋体"/>
          <w:szCs w:val="21"/>
        </w:rPr>
      </w:pPr>
      <w:r>
        <w:rPr>
          <w:rFonts w:hint="eastAsia" w:ascii="宋体" w:hAnsi="宋体" w:eastAsia="宋体"/>
          <w:szCs w:val="21"/>
        </w:rPr>
        <w:t>4、我方理解贵方将不受必须接受你们所收到的最低标价或其它任何投标文件的约束。</w:t>
      </w:r>
    </w:p>
    <w:p>
      <w:pPr>
        <w:tabs>
          <w:tab w:val="left" w:pos="7560"/>
        </w:tabs>
        <w:spacing w:line="360" w:lineRule="auto"/>
        <w:rPr>
          <w:rFonts w:ascii="宋体" w:hAnsi="宋体" w:eastAsia="宋体" w:cs="宋体"/>
          <w:szCs w:val="21"/>
        </w:rPr>
      </w:pPr>
      <w:r>
        <w:rPr>
          <w:rFonts w:hint="eastAsia" w:ascii="宋体" w:hAnsi="宋体" w:eastAsia="宋体"/>
          <w:szCs w:val="21"/>
        </w:rPr>
        <w:t>5、我方</w:t>
      </w:r>
      <w:r>
        <w:rPr>
          <w:rFonts w:hint="eastAsia" w:ascii="宋体" w:hAnsi="宋体" w:eastAsia="宋体" w:cs="宋体"/>
          <w:szCs w:val="21"/>
        </w:rPr>
        <w:t>同意向贵方提供贵方可能要求的与本投标有关的任何证据或资料。</w:t>
      </w:r>
    </w:p>
    <w:p>
      <w:pPr>
        <w:tabs>
          <w:tab w:val="left" w:pos="7560"/>
        </w:tabs>
        <w:spacing w:line="360" w:lineRule="auto"/>
        <w:rPr>
          <w:rFonts w:ascii="宋体" w:hAnsi="宋体" w:eastAsia="宋体"/>
          <w:szCs w:val="21"/>
        </w:rPr>
      </w:pPr>
      <w:r>
        <w:rPr>
          <w:rFonts w:hint="eastAsia" w:ascii="宋体" w:hAnsi="宋体" w:eastAsia="宋体" w:cs="宋体"/>
          <w:szCs w:val="21"/>
        </w:rPr>
        <w:t>6、我方同意如投标材料存在虚假，则自动放弃中标资格，并愿意为此承担相应的法律责任。</w:t>
      </w:r>
    </w:p>
    <w:p>
      <w:pPr>
        <w:tabs>
          <w:tab w:val="left" w:pos="7560"/>
        </w:tabs>
        <w:spacing w:line="360" w:lineRule="auto"/>
        <w:rPr>
          <w:rFonts w:ascii="宋体" w:hAnsi="宋体" w:eastAsia="宋体"/>
          <w:szCs w:val="21"/>
        </w:rPr>
      </w:pPr>
      <w:r>
        <w:rPr>
          <w:rFonts w:hint="eastAsia" w:ascii="宋体" w:hAnsi="宋体" w:eastAsia="宋体"/>
          <w:szCs w:val="21"/>
        </w:rPr>
        <w:t>7、除非另外达成协议并生效，贵方的中标通知书和本投标文件将成为约束双方的合同文件的组成部分。</w:t>
      </w:r>
    </w:p>
    <w:p>
      <w:pPr>
        <w:tabs>
          <w:tab w:val="left" w:pos="7560"/>
        </w:tabs>
        <w:spacing w:line="360" w:lineRule="auto"/>
        <w:rPr>
          <w:rFonts w:ascii="宋体" w:hAnsi="宋体" w:eastAsia="宋体"/>
          <w:szCs w:val="21"/>
        </w:rPr>
      </w:pPr>
      <w:r>
        <w:rPr>
          <w:rFonts w:hint="eastAsia" w:ascii="宋体" w:hAnsi="宋体" w:eastAsia="宋体"/>
          <w:szCs w:val="21"/>
        </w:rPr>
        <w:t>投标人（盖章）：</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rPr>
          <w:rFonts w:ascii="宋体" w:hAnsi="宋体" w:eastAsia="宋体"/>
          <w:szCs w:val="21"/>
        </w:rPr>
      </w:pPr>
      <w:r>
        <w:rPr>
          <w:rFonts w:hint="eastAsia" w:ascii="宋体" w:hAnsi="宋体" w:eastAsia="宋体"/>
          <w:szCs w:val="21"/>
        </w:rPr>
        <w:t>单位地址：</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rPr>
          <w:rFonts w:ascii="宋体" w:hAnsi="宋体" w:eastAsia="宋体"/>
          <w:szCs w:val="21"/>
        </w:rPr>
      </w:pPr>
      <w:r>
        <w:rPr>
          <w:rFonts w:hint="eastAsia" w:ascii="宋体" w:hAnsi="宋体" w:eastAsia="宋体"/>
          <w:szCs w:val="21"/>
        </w:rPr>
        <w:t>法定代表人或其授权委托人（签字或盖章）：</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rPr>
          <w:rFonts w:ascii="宋体" w:hAnsi="宋体" w:eastAsia="宋体"/>
          <w:szCs w:val="21"/>
        </w:rPr>
      </w:pPr>
      <w:r>
        <w:rPr>
          <w:rFonts w:hint="eastAsia" w:ascii="宋体" w:hAnsi="宋体" w:eastAsia="宋体"/>
          <w:szCs w:val="21"/>
        </w:rPr>
        <w:t>邮政编码：</w:t>
      </w:r>
      <w:r>
        <w:rPr>
          <w:rFonts w:hint="eastAsia" w:ascii="宋体" w:hAnsi="宋体" w:eastAsia="宋体"/>
          <w:szCs w:val="21"/>
          <w:u w:val="single"/>
        </w:rPr>
        <w:t xml:space="preserve">        </w:t>
      </w:r>
      <w:r>
        <w:rPr>
          <w:rFonts w:hint="eastAsia" w:ascii="宋体" w:hAnsi="宋体" w:eastAsia="宋体"/>
          <w:szCs w:val="21"/>
        </w:rPr>
        <w:t>电话：</w:t>
      </w:r>
      <w:r>
        <w:rPr>
          <w:rFonts w:hint="eastAsia" w:ascii="宋体" w:hAnsi="宋体" w:eastAsia="宋体"/>
          <w:szCs w:val="21"/>
          <w:u w:val="single"/>
        </w:rPr>
        <w:t xml:space="preserve">          </w:t>
      </w:r>
      <w:r>
        <w:rPr>
          <w:rFonts w:hint="eastAsia" w:ascii="宋体" w:hAnsi="宋体" w:eastAsia="宋体"/>
          <w:szCs w:val="21"/>
        </w:rPr>
        <w:t xml:space="preserve"> 传真：</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rPr>
          <w:rFonts w:ascii="宋体" w:hAnsi="宋体" w:eastAsia="宋体"/>
          <w:szCs w:val="21"/>
        </w:rPr>
      </w:pPr>
      <w:r>
        <w:rPr>
          <w:rFonts w:hint="eastAsia" w:ascii="宋体" w:hAnsi="宋体" w:eastAsia="宋体"/>
          <w:szCs w:val="21"/>
        </w:rPr>
        <w:t>开户银行名称：</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rPr>
          <w:rFonts w:ascii="宋体" w:hAnsi="宋体" w:eastAsia="宋体"/>
          <w:szCs w:val="21"/>
        </w:rPr>
      </w:pPr>
      <w:r>
        <w:rPr>
          <w:rFonts w:hint="eastAsia" w:ascii="宋体" w:hAnsi="宋体" w:eastAsia="宋体"/>
          <w:szCs w:val="21"/>
        </w:rPr>
        <w:t>开户银行帐号：</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rPr>
          <w:rFonts w:ascii="宋体" w:hAnsi="宋体" w:eastAsia="宋体"/>
          <w:szCs w:val="21"/>
        </w:rPr>
      </w:pPr>
      <w:r>
        <w:rPr>
          <w:rFonts w:hint="eastAsia" w:ascii="宋体" w:hAnsi="宋体" w:eastAsia="宋体"/>
          <w:szCs w:val="21"/>
        </w:rPr>
        <w:t>开户银行地址：</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jc w:val="left"/>
        <w:rPr>
          <w:rFonts w:ascii="宋体" w:hAnsi="宋体" w:eastAsia="宋体"/>
          <w:szCs w:val="21"/>
        </w:rPr>
      </w:pPr>
      <w:r>
        <w:rPr>
          <w:rFonts w:hint="eastAsia" w:ascii="宋体" w:hAnsi="宋体" w:eastAsia="宋体"/>
          <w:szCs w:val="21"/>
        </w:rPr>
        <w:t>开户银行电话：</w:t>
      </w:r>
      <w:r>
        <w:rPr>
          <w:rFonts w:hint="eastAsia" w:ascii="宋体" w:hAnsi="宋体" w:eastAsia="宋体"/>
          <w:szCs w:val="21"/>
          <w:u w:val="single"/>
        </w:rPr>
        <w:t xml:space="preserve">                  </w:t>
      </w:r>
      <w:r>
        <w:rPr>
          <w:rFonts w:hint="eastAsia" w:ascii="宋体" w:hAnsi="宋体" w:eastAsia="宋体"/>
          <w:szCs w:val="21"/>
        </w:rPr>
        <w:t xml:space="preserve">                                     </w:t>
      </w:r>
    </w:p>
    <w:p>
      <w:pPr>
        <w:tabs>
          <w:tab w:val="left" w:pos="7560"/>
        </w:tabs>
        <w:spacing w:line="360" w:lineRule="auto"/>
        <w:jc w:val="left"/>
        <w:rPr>
          <w:rFonts w:ascii="宋体" w:hAnsi="宋体" w:eastAsia="宋体"/>
          <w:color w:val="000000" w:themeColor="text1"/>
          <w:szCs w:val="21"/>
          <w:u w:val="single"/>
          <w14:textFill>
            <w14:solidFill>
              <w14:schemeClr w14:val="tx1"/>
            </w14:solidFill>
          </w14:textFill>
        </w:rPr>
      </w:pPr>
      <w:r>
        <w:rPr>
          <w:rFonts w:hint="eastAsia" w:ascii="宋体" w:hAnsi="宋体" w:eastAsia="宋体"/>
          <w:szCs w:val="21"/>
        </w:rPr>
        <w:t>日期：</w:t>
      </w:r>
      <w:r>
        <w:rPr>
          <w:rFonts w:hint="eastAsia" w:ascii="宋体" w:hAnsi="宋体" w:eastAsia="宋体"/>
          <w:szCs w:val="21"/>
          <w:u w:val="single"/>
        </w:rPr>
        <w:t xml:space="preserve">      年     月     日</w:t>
      </w:r>
    </w:p>
    <w:p>
      <w:pPr>
        <w:tabs>
          <w:tab w:val="left" w:pos="7560"/>
        </w:tabs>
        <w:spacing w:line="360" w:lineRule="auto"/>
        <w:ind w:firstLine="420" w:firstLineChars="200"/>
        <w:rPr>
          <w:rFonts w:ascii="宋体" w:hAnsi="宋体" w:eastAsia="宋体"/>
          <w:color w:val="000000" w:themeColor="text1"/>
          <w:szCs w:val="21"/>
          <w14:textFill>
            <w14:solidFill>
              <w14:schemeClr w14:val="tx1"/>
            </w14:solidFill>
          </w14:textFill>
        </w:rPr>
        <w:sectPr>
          <w:pgSz w:w="11906" w:h="16838"/>
          <w:pgMar w:top="1418" w:right="1418" w:bottom="1361" w:left="1418" w:header="851" w:footer="992" w:gutter="0"/>
          <w:pgNumType w:fmt="numberInDash"/>
          <w:cols w:space="720" w:num="1"/>
          <w:docGrid w:linePitch="312" w:charSpace="0"/>
        </w:sectPr>
      </w:pPr>
    </w:p>
    <w:p>
      <w:pPr>
        <w:pStyle w:val="3"/>
        <w:jc w:val="center"/>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二、资格性审查文件</w:t>
      </w:r>
    </w:p>
    <w:p>
      <w:pPr>
        <w:tabs>
          <w:tab w:val="left" w:pos="7560"/>
        </w:tabs>
        <w:spacing w:line="360" w:lineRule="auto"/>
        <w:rPr>
          <w:rFonts w:ascii="宋体" w:hAnsi="宋体" w:eastAsia="宋体"/>
          <w:color w:val="000000" w:themeColor="text1"/>
          <w:szCs w:val="21"/>
          <w14:textFill>
            <w14:solidFill>
              <w14:schemeClr w14:val="tx1"/>
            </w14:solidFill>
          </w14:textFill>
        </w:rPr>
      </w:pP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1.投标人营业执照复印件；</w:t>
      </w:r>
      <w:r>
        <w:rPr>
          <w:rFonts w:hint="eastAsia" w:ascii="宋体" w:hAnsi="宋体" w:eastAsia="宋体"/>
          <w:color w:val="000000" w:themeColor="text1"/>
          <w:szCs w:val="21"/>
          <w14:textFill>
            <w14:solidFill>
              <w14:schemeClr w14:val="tx1"/>
            </w14:solidFill>
          </w14:textFill>
        </w:rPr>
        <w:br w:type="textWrapping"/>
      </w:r>
      <w:r>
        <w:rPr>
          <w:rFonts w:hint="eastAsia" w:ascii="宋体" w:hAnsi="宋体" w:eastAsia="宋体"/>
          <w:color w:val="000000" w:themeColor="text1"/>
          <w:szCs w:val="21"/>
          <w14:textFill>
            <w14:solidFill>
              <w14:schemeClr w14:val="tx1"/>
            </w14:solidFill>
          </w14:textFill>
        </w:rPr>
        <w:t>2.投标人具有的国家测绘地理信息局颁发的丙级及以上测绘资质；</w:t>
      </w: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投标人拟派担任本项目的项目负责人具备的中级工程师及以上职称的相关证明资料；</w:t>
      </w:r>
      <w:r>
        <w:rPr>
          <w:rFonts w:hint="eastAsia" w:ascii="宋体" w:hAnsi="宋体" w:eastAsia="宋体"/>
          <w:color w:val="000000" w:themeColor="text1"/>
          <w:szCs w:val="21"/>
          <w14:textFill>
            <w14:solidFill>
              <w14:schemeClr w14:val="tx1"/>
            </w14:solidFill>
          </w14:textFill>
        </w:rPr>
        <w:br w:type="textWrapping"/>
      </w:r>
      <w:r>
        <w:rPr>
          <w:rFonts w:hint="eastAsia" w:ascii="宋体" w:hAnsi="宋体" w:eastAsia="宋体"/>
          <w:color w:val="000000" w:themeColor="text1"/>
          <w:szCs w:val="21"/>
          <w14:textFill>
            <w14:solidFill>
              <w14:schemeClr w14:val="tx1"/>
            </w14:solidFill>
          </w14:textFill>
        </w:rPr>
        <w:t>3.投标人信誉良好，近三年内没有骗取中标和严重违约等行为的承诺函；（格式自拟）</w:t>
      </w: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4.非联合体投标承诺函（格式自拟）</w:t>
      </w: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中标人收到中标通知书30天内，由招标人采购主体与中标人签订合同，同时签订关于本项目的保密协议，中标人应当对本项目的所有内容保密，未经招标人许可，不得将本项目的所有信息泄露给第三方，否则，招标人保留追究中标人法律责任的权利。提供承诺函。（格式自拟）</w:t>
      </w:r>
    </w:p>
    <w:p>
      <w:pPr>
        <w:tabs>
          <w:tab w:val="left" w:pos="7560"/>
        </w:tabs>
        <w:spacing w:line="360" w:lineRule="auto"/>
        <w:rPr>
          <w:rFonts w:ascii="宋体" w:hAnsi="宋体" w:eastAsia="宋体" w:cs="宋体"/>
          <w:szCs w:val="21"/>
        </w:rPr>
      </w:pPr>
      <w:r>
        <w:rPr>
          <w:rFonts w:hint="eastAsia" w:ascii="宋体" w:hAnsi="宋体" w:eastAsia="宋体" w:cs="宋体"/>
          <w:szCs w:val="21"/>
        </w:rPr>
        <w:t>6</w:t>
      </w:r>
      <w:r>
        <w:rPr>
          <w:rFonts w:ascii="宋体" w:hAnsi="宋体" w:eastAsia="宋体" w:cs="宋体"/>
          <w:szCs w:val="21"/>
        </w:rPr>
        <w:t>.</w:t>
      </w:r>
      <w:r>
        <w:rPr>
          <w:rFonts w:hint="eastAsia" w:ascii="宋体" w:hAnsi="宋体" w:eastAsia="宋体" w:cs="宋体"/>
          <w:szCs w:val="21"/>
        </w:rPr>
        <w:t>服务商开具合规服务订单含税全额发票，并提供有效的检测证明，以</w:t>
      </w:r>
      <w:r>
        <w:rPr>
          <w:rFonts w:hint="eastAsia" w:ascii="宋体" w:hAnsi="宋体" w:eastAsia="宋体"/>
          <w:szCs w:val="21"/>
        </w:rPr>
        <w:t>实际检漏量</w:t>
      </w:r>
      <w:r>
        <w:rPr>
          <w:rFonts w:hint="eastAsia" w:ascii="宋体" w:hAnsi="宋体" w:eastAsia="宋体" w:cs="宋体"/>
          <w:szCs w:val="21"/>
        </w:rPr>
        <w:t>进行结算。</w:t>
      </w:r>
      <w:r>
        <w:rPr>
          <w:rFonts w:hint="eastAsia" w:ascii="宋体" w:hAnsi="宋体" w:eastAsia="宋体"/>
          <w:szCs w:val="21"/>
        </w:rPr>
        <w:t>（投标人须提供承诺函）</w:t>
      </w:r>
    </w:p>
    <w:p>
      <w:pPr>
        <w:spacing w:line="360" w:lineRule="auto"/>
        <w:rPr>
          <w:rFonts w:ascii="宋体" w:hAnsi="宋体" w:eastAsia="宋体"/>
          <w:szCs w:val="21"/>
        </w:rPr>
      </w:pPr>
      <w:r>
        <w:rPr>
          <w:rFonts w:hint="eastAsia" w:ascii="宋体" w:hAnsi="宋体" w:eastAsia="宋体" w:cs="宋体"/>
          <w:color w:val="000000"/>
          <w:szCs w:val="21"/>
        </w:rPr>
        <w:t>7</w:t>
      </w:r>
      <w:r>
        <w:rPr>
          <w:rFonts w:ascii="宋体" w:hAnsi="宋体" w:eastAsia="宋体" w:cs="宋体"/>
          <w:color w:val="000000"/>
          <w:szCs w:val="21"/>
        </w:rPr>
        <w:t>.</w:t>
      </w:r>
      <w:r>
        <w:rPr>
          <w:rFonts w:hint="eastAsia" w:ascii="宋体" w:hAnsi="宋体" w:eastAsia="宋体" w:cs="宋体"/>
          <w:szCs w:val="21"/>
        </w:rPr>
        <w:t>投</w:t>
      </w:r>
      <w:r>
        <w:rPr>
          <w:rFonts w:ascii="宋体" w:hAnsi="宋体" w:eastAsia="宋体" w:cs="宋体"/>
          <w:szCs w:val="21"/>
        </w:rPr>
        <w:t>标人</w:t>
      </w:r>
      <w:r>
        <w:rPr>
          <w:rFonts w:hint="eastAsia" w:ascii="宋体" w:hAnsi="宋体" w:eastAsia="宋体" w:cs="宋体"/>
          <w:szCs w:val="21"/>
        </w:rPr>
        <w:t>需</w:t>
      </w:r>
      <w:r>
        <w:rPr>
          <w:rFonts w:hint="eastAsia" w:ascii="宋体" w:hAnsi="宋体" w:eastAsia="宋体" w:cs="宋体"/>
          <w:color w:val="000000"/>
          <w:kern w:val="0"/>
          <w:szCs w:val="21"/>
        </w:rPr>
        <w:t>承诺有自主独立能力完成深圳市</w:t>
      </w:r>
      <w:r>
        <w:rPr>
          <w:rFonts w:hint="eastAsia" w:ascii="宋体" w:hAnsi="宋体" w:eastAsia="宋体" w:cs="宋体"/>
          <w:szCs w:val="21"/>
        </w:rPr>
        <w:t>原特区内区域的检漏工作</w:t>
      </w:r>
      <w:r>
        <w:rPr>
          <w:rFonts w:hint="eastAsia" w:ascii="宋体" w:hAnsi="宋体" w:eastAsia="宋体" w:cs="宋体"/>
          <w:color w:val="000000"/>
          <w:kern w:val="0"/>
          <w:szCs w:val="21"/>
        </w:rPr>
        <w:t>。</w:t>
      </w:r>
      <w:r>
        <w:rPr>
          <w:rFonts w:hint="eastAsia" w:ascii="宋体" w:hAnsi="宋体" w:eastAsia="宋体"/>
          <w:szCs w:val="21"/>
        </w:rPr>
        <w:t>（投标人须提供承诺函）</w:t>
      </w:r>
    </w:p>
    <w:p>
      <w:pPr>
        <w:tabs>
          <w:tab w:val="left" w:pos="7560"/>
        </w:tabs>
        <w:spacing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hint="eastAsia"/>
        </w:rPr>
        <w:t xml:space="preserve"> </w:t>
      </w:r>
      <w:r>
        <w:rPr>
          <w:rFonts w:hint="eastAsia" w:ascii="宋体" w:hAnsi="宋体" w:eastAsia="宋体"/>
          <w:color w:val="000000" w:themeColor="text1"/>
          <w:szCs w:val="21"/>
          <w14:textFill>
            <w14:solidFill>
              <w14:schemeClr w14:val="tx1"/>
            </w14:solidFill>
          </w14:textFill>
        </w:rPr>
        <w:t>投标人应如实披露：截止投标日，投标人是否存在尚在有效期内的政府及各级行政部门的处罚情况，未如实披露的，一经发现作废标处理。（投标人须提供承诺函）</w:t>
      </w:r>
    </w:p>
    <w:p/>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br w:type="page"/>
      </w:r>
    </w:p>
    <w:p>
      <w:pPr>
        <w:pStyle w:val="3"/>
        <w:jc w:val="center"/>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三、商</w:t>
      </w:r>
      <w:r>
        <w:rPr>
          <w:rFonts w:cs="宋体" w:asciiTheme="minorEastAsia" w:hAnsiTheme="minorEastAsia" w:eastAsiaTheme="minorEastAsia"/>
          <w:color w:val="000000" w:themeColor="text1"/>
          <w:sz w:val="21"/>
          <w:szCs w:val="21"/>
          <w14:textFill>
            <w14:solidFill>
              <w14:schemeClr w14:val="tx1"/>
            </w14:solidFill>
          </w14:textFill>
        </w:rPr>
        <w:t>务</w:t>
      </w:r>
      <w:r>
        <w:rPr>
          <w:rFonts w:hint="eastAsia" w:cs="宋体" w:asciiTheme="minorEastAsia" w:hAnsiTheme="minorEastAsia" w:eastAsiaTheme="minorEastAsia"/>
          <w:color w:val="000000" w:themeColor="text1"/>
          <w:sz w:val="21"/>
          <w:szCs w:val="21"/>
          <w14:textFill>
            <w14:solidFill>
              <w14:schemeClr w14:val="tx1"/>
            </w14:solidFill>
          </w14:textFill>
        </w:rPr>
        <w:t>标</w:t>
      </w:r>
    </w:p>
    <w:p>
      <w:pPr>
        <w:tabs>
          <w:tab w:val="left" w:pos="7560"/>
        </w:tabs>
        <w:spacing w:line="360" w:lineRule="auto"/>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（投标人编制投标文件需参照第三章项目评分表）</w:t>
      </w:r>
    </w:p>
    <w:p>
      <w:pPr>
        <w:tabs>
          <w:tab w:val="left" w:pos="7560"/>
        </w:tabs>
        <w:spacing w:line="360" w:lineRule="auto"/>
        <w:rPr>
          <w:rFonts w:ascii="宋体" w:hAnsi="宋体" w:eastAsia="宋体"/>
          <w:color w:val="000000" w:themeColor="text1"/>
          <w:szCs w:val="21"/>
          <w14:textFill>
            <w14:solidFill>
              <w14:schemeClr w14:val="tx1"/>
            </w14:solidFill>
          </w14:textFill>
        </w:rPr>
      </w:pPr>
    </w:p>
    <w:p>
      <w:pPr>
        <w:tabs>
          <w:tab w:val="left" w:pos="7560"/>
        </w:tabs>
        <w:spacing w:line="360" w:lineRule="auto"/>
        <w:rPr>
          <w:rFonts w:ascii="宋体" w:hAnsi="宋体" w:eastAsia="宋体"/>
          <w:szCs w:val="21"/>
        </w:rPr>
      </w:pPr>
      <w:r>
        <w:rPr>
          <w:rFonts w:hint="eastAsia" w:ascii="宋体" w:hAnsi="宋体" w:eastAsia="宋体"/>
          <w:szCs w:val="21"/>
        </w:rPr>
        <w:t xml:space="preserve">1、报价包括以下两个部分： </w:t>
      </w:r>
    </w:p>
    <w:p>
      <w:pPr>
        <w:tabs>
          <w:tab w:val="left" w:pos="7560"/>
        </w:tabs>
        <w:spacing w:line="360" w:lineRule="auto"/>
        <w:rPr>
          <w:rFonts w:ascii="宋体" w:hAnsi="宋体" w:eastAsia="宋体"/>
          <w:szCs w:val="21"/>
        </w:rPr>
      </w:pPr>
      <w:r>
        <w:rPr>
          <w:rFonts w:hint="eastAsia" w:ascii="宋体" w:hAnsi="宋体" w:eastAsia="宋体"/>
          <w:szCs w:val="21"/>
        </w:rPr>
        <w:t>（1）暂</w:t>
      </w:r>
      <w:r>
        <w:rPr>
          <w:rFonts w:ascii="宋体" w:hAnsi="宋体" w:eastAsia="宋体"/>
          <w:szCs w:val="21"/>
        </w:rPr>
        <w:t>定</w:t>
      </w:r>
      <w:r>
        <w:rPr>
          <w:rFonts w:hint="eastAsia" w:ascii="宋体" w:hAnsi="宋体" w:eastAsia="宋体"/>
          <w:szCs w:val="21"/>
        </w:rPr>
        <w:t>投标总价（见商</w:t>
      </w:r>
      <w:r>
        <w:rPr>
          <w:rFonts w:ascii="宋体" w:hAnsi="宋体" w:eastAsia="宋体"/>
          <w:szCs w:val="21"/>
        </w:rPr>
        <w:t>务</w:t>
      </w:r>
      <w:r>
        <w:rPr>
          <w:rFonts w:hint="eastAsia" w:ascii="宋体" w:hAnsi="宋体" w:eastAsia="宋体"/>
          <w:szCs w:val="21"/>
        </w:rPr>
        <w:t>标附表1）</w:t>
      </w:r>
    </w:p>
    <w:p>
      <w:pPr>
        <w:tabs>
          <w:tab w:val="left" w:pos="7560"/>
        </w:tabs>
        <w:spacing w:line="360" w:lineRule="auto"/>
        <w:rPr>
          <w:rFonts w:ascii="宋体" w:hAnsi="宋体" w:eastAsia="宋体"/>
          <w:szCs w:val="21"/>
        </w:rPr>
      </w:pPr>
      <w:r>
        <w:rPr>
          <w:rFonts w:hint="eastAsia" w:ascii="宋体" w:hAnsi="宋体" w:eastAsia="宋体"/>
          <w:szCs w:val="21"/>
        </w:rPr>
        <w:t>（2）本投标报价不低于本企业完成该招标项目的成本。（格式自拟）</w:t>
      </w:r>
    </w:p>
    <w:p>
      <w:pPr>
        <w:tabs>
          <w:tab w:val="left" w:pos="7560"/>
        </w:tabs>
        <w:spacing w:line="360" w:lineRule="auto"/>
        <w:rPr>
          <w:rFonts w:ascii="宋体" w:hAnsi="宋体" w:eastAsia="宋体"/>
          <w:szCs w:val="21"/>
        </w:rPr>
      </w:pPr>
      <w:r>
        <w:rPr>
          <w:rFonts w:ascii="宋体" w:hAnsi="宋体" w:eastAsia="宋体"/>
          <w:szCs w:val="21"/>
        </w:rPr>
        <w:t>2、</w:t>
      </w:r>
      <w:r>
        <w:rPr>
          <w:rFonts w:hint="eastAsia" w:ascii="宋体" w:hAnsi="宋体" w:eastAsia="宋体"/>
          <w:bCs/>
          <w:szCs w:val="21"/>
        </w:rPr>
        <w:t>诚信投标及</w:t>
      </w:r>
      <w:r>
        <w:rPr>
          <w:rFonts w:hint="eastAsia" w:ascii="宋体" w:hAnsi="宋体" w:eastAsia="宋体"/>
          <w:szCs w:val="21"/>
        </w:rPr>
        <w:t>无行贿犯罪及</w:t>
      </w:r>
      <w:r>
        <w:rPr>
          <w:rFonts w:ascii="宋体" w:hAnsi="宋体" w:eastAsia="宋体"/>
          <w:szCs w:val="21"/>
        </w:rPr>
        <w:t>行政处罚</w:t>
      </w:r>
      <w:r>
        <w:rPr>
          <w:rFonts w:hint="eastAsia" w:ascii="宋体" w:hAnsi="宋体" w:eastAsia="宋体"/>
          <w:szCs w:val="21"/>
        </w:rPr>
        <w:t>承诺书（见商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2</w:t>
      </w:r>
      <w:r>
        <w:rPr>
          <w:rFonts w:hint="eastAsia" w:ascii="宋体" w:hAnsi="宋体" w:eastAsia="宋体"/>
          <w:szCs w:val="21"/>
        </w:rPr>
        <w:t>）</w:t>
      </w:r>
    </w:p>
    <w:p>
      <w:pPr>
        <w:tabs>
          <w:tab w:val="left" w:pos="7560"/>
        </w:tabs>
        <w:spacing w:line="360" w:lineRule="auto"/>
        <w:rPr>
          <w:rFonts w:ascii="宋体" w:hAnsi="宋体" w:eastAsia="宋体"/>
          <w:color w:val="000000"/>
          <w:szCs w:val="21"/>
        </w:rPr>
      </w:pPr>
      <w:r>
        <w:rPr>
          <w:rFonts w:ascii="宋体" w:hAnsi="宋体" w:eastAsia="宋体"/>
          <w:color w:val="000000"/>
          <w:szCs w:val="21"/>
        </w:rPr>
        <w:t>3</w:t>
      </w:r>
      <w:r>
        <w:rPr>
          <w:rFonts w:hint="eastAsia" w:ascii="宋体" w:hAnsi="宋体" w:eastAsia="宋体"/>
          <w:color w:val="000000"/>
          <w:szCs w:val="21"/>
        </w:rPr>
        <w:t>、投标人资质证明文件（见</w:t>
      </w: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3</w:t>
      </w:r>
      <w:r>
        <w:rPr>
          <w:rFonts w:hint="eastAsia" w:ascii="宋体" w:hAnsi="宋体" w:eastAsia="宋体"/>
          <w:color w:val="000000"/>
          <w:szCs w:val="21"/>
        </w:rPr>
        <w:t>）。</w:t>
      </w:r>
    </w:p>
    <w:p>
      <w:pPr>
        <w:tabs>
          <w:tab w:val="left" w:pos="7560"/>
        </w:tabs>
        <w:spacing w:line="360" w:lineRule="auto"/>
        <w:rPr>
          <w:rFonts w:ascii="宋体" w:hAnsi="宋体" w:eastAsia="宋体"/>
          <w:color w:val="000000"/>
          <w:szCs w:val="21"/>
        </w:rPr>
      </w:pPr>
      <w:r>
        <w:rPr>
          <w:rFonts w:ascii="宋体" w:hAnsi="宋体" w:eastAsia="宋体"/>
          <w:color w:val="000000"/>
          <w:szCs w:val="21"/>
        </w:rPr>
        <w:t>4</w:t>
      </w:r>
      <w:r>
        <w:rPr>
          <w:rFonts w:hint="eastAsia" w:ascii="宋体" w:hAnsi="宋体" w:eastAsia="宋体"/>
          <w:color w:val="000000"/>
          <w:szCs w:val="21"/>
        </w:rPr>
        <w:t>、投标人基本情况介绍及登记表（见</w:t>
      </w: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4</w:t>
      </w:r>
      <w:r>
        <w:rPr>
          <w:rFonts w:hint="eastAsia" w:ascii="宋体" w:hAnsi="宋体" w:eastAsia="宋体"/>
          <w:color w:val="000000"/>
          <w:szCs w:val="21"/>
        </w:rPr>
        <w:t>），投标人应完整填写本表，而且保证所有填写内容是真实和准确的。</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5、投标人位于深圳市常设机构证明材料（详细地址、房屋租赁合同或房产证等、常设机构挂牌及办公场所照片）。</w:t>
      </w:r>
    </w:p>
    <w:p>
      <w:pPr>
        <w:tabs>
          <w:tab w:val="left" w:pos="7560"/>
        </w:tabs>
        <w:spacing w:line="360" w:lineRule="auto"/>
        <w:rPr>
          <w:rFonts w:ascii="宋体" w:hAnsi="宋体" w:eastAsia="宋体"/>
          <w:color w:val="000000"/>
          <w:szCs w:val="21"/>
        </w:rPr>
      </w:pPr>
      <w:r>
        <w:rPr>
          <w:rFonts w:ascii="宋体" w:hAnsi="宋体" w:eastAsia="宋体"/>
          <w:color w:val="000000"/>
          <w:szCs w:val="21"/>
        </w:rPr>
        <w:t>6</w:t>
      </w:r>
      <w:r>
        <w:rPr>
          <w:rFonts w:hint="eastAsia" w:ascii="宋体" w:hAnsi="宋体" w:eastAsia="宋体"/>
          <w:color w:val="000000"/>
          <w:szCs w:val="21"/>
        </w:rPr>
        <w:t>、投标人工程车辆（面包车或皮卡）行驶证、同地点照片（须体现为投标人所有或投标人法定代表人所有）。</w:t>
      </w:r>
    </w:p>
    <w:p>
      <w:pPr>
        <w:tabs>
          <w:tab w:val="left" w:pos="7560"/>
        </w:tabs>
        <w:spacing w:line="360" w:lineRule="auto"/>
        <w:rPr>
          <w:rFonts w:ascii="宋体" w:hAnsi="宋体" w:eastAsia="宋体"/>
          <w:color w:val="000000"/>
          <w:szCs w:val="21"/>
        </w:rPr>
      </w:pPr>
      <w:r>
        <w:rPr>
          <w:rFonts w:ascii="宋体" w:hAnsi="宋体" w:eastAsia="宋体"/>
          <w:color w:val="000000"/>
          <w:szCs w:val="21"/>
        </w:rPr>
        <w:t>7</w:t>
      </w:r>
      <w:r>
        <w:rPr>
          <w:rFonts w:hint="eastAsia" w:ascii="宋体" w:hAnsi="宋体" w:eastAsia="宋体"/>
          <w:color w:val="000000"/>
          <w:szCs w:val="21"/>
        </w:rPr>
        <w:t>、投标人近3年与全国范围内供水能力大于2</w:t>
      </w:r>
      <w:r>
        <w:rPr>
          <w:rFonts w:ascii="宋体" w:hAnsi="宋体" w:eastAsia="宋体"/>
          <w:color w:val="000000"/>
          <w:szCs w:val="21"/>
        </w:rPr>
        <w:t>0万m³/天的供水企业签订的供水管网检漏合同</w:t>
      </w:r>
      <w:r>
        <w:rPr>
          <w:rFonts w:hint="eastAsia" w:ascii="宋体" w:hAnsi="宋体" w:eastAsia="宋体"/>
          <w:color w:val="000000"/>
          <w:szCs w:val="21"/>
        </w:rPr>
        <w:t>（见</w:t>
      </w: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5</w:t>
      </w:r>
      <w:r>
        <w:rPr>
          <w:rFonts w:hint="eastAsia" w:ascii="宋体" w:hAnsi="宋体" w:eastAsia="宋体"/>
          <w:color w:val="000000"/>
          <w:szCs w:val="21"/>
        </w:rPr>
        <w:t>）</w:t>
      </w:r>
      <w:r>
        <w:rPr>
          <w:rFonts w:ascii="宋体" w:hAnsi="宋体" w:eastAsia="宋体"/>
          <w:color w:val="000000"/>
          <w:szCs w:val="21"/>
        </w:rPr>
        <w:t>及供水企业对投标人的评价</w:t>
      </w:r>
      <w:r>
        <w:rPr>
          <w:rFonts w:hint="eastAsia" w:ascii="宋体" w:hAnsi="宋体" w:eastAsia="宋体"/>
          <w:color w:val="000000"/>
          <w:szCs w:val="21"/>
        </w:rPr>
        <w:t>。（需提供合同关键页证明及供水企业加盖公章的评价）</w:t>
      </w:r>
    </w:p>
    <w:p>
      <w:pPr>
        <w:tabs>
          <w:tab w:val="left" w:pos="7560"/>
        </w:tabs>
        <w:spacing w:line="360" w:lineRule="auto"/>
        <w:rPr>
          <w:rFonts w:ascii="宋体" w:hAnsi="宋体" w:eastAsia="宋体"/>
          <w:color w:val="000000"/>
          <w:szCs w:val="21"/>
        </w:rPr>
      </w:pPr>
      <w:r>
        <w:rPr>
          <w:rFonts w:ascii="宋体" w:hAnsi="宋体" w:eastAsia="宋体"/>
          <w:color w:val="000000"/>
          <w:szCs w:val="21"/>
        </w:rPr>
        <w:t>8</w:t>
      </w:r>
      <w:r>
        <w:rPr>
          <w:rFonts w:hint="eastAsia" w:ascii="宋体" w:hAnsi="宋体" w:eastAsia="宋体"/>
          <w:color w:val="000000"/>
          <w:szCs w:val="21"/>
        </w:rPr>
        <w:t>、探漏仪器</w:t>
      </w:r>
      <w:r>
        <w:rPr>
          <w:rFonts w:ascii="宋体" w:hAnsi="宋体" w:eastAsia="宋体"/>
          <w:color w:val="000000"/>
          <w:szCs w:val="21"/>
        </w:rPr>
        <w:t>设</w:t>
      </w:r>
      <w:r>
        <w:rPr>
          <w:rFonts w:hint="eastAsia" w:ascii="宋体" w:hAnsi="宋体" w:eastAsia="宋体"/>
          <w:color w:val="000000"/>
          <w:szCs w:val="21"/>
        </w:rPr>
        <w:t>备一</w:t>
      </w:r>
      <w:r>
        <w:rPr>
          <w:rFonts w:ascii="宋体" w:hAnsi="宋体" w:eastAsia="宋体"/>
          <w:color w:val="000000"/>
          <w:szCs w:val="21"/>
        </w:rPr>
        <w:t>览</w:t>
      </w:r>
      <w:r>
        <w:rPr>
          <w:rFonts w:hint="eastAsia" w:ascii="宋体" w:hAnsi="宋体" w:eastAsia="宋体"/>
          <w:color w:val="000000"/>
          <w:szCs w:val="21"/>
        </w:rPr>
        <w:t>表（见</w:t>
      </w: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6</w:t>
      </w:r>
      <w:r>
        <w:rPr>
          <w:rFonts w:hint="eastAsia" w:ascii="宋体" w:hAnsi="宋体" w:eastAsia="宋体"/>
          <w:color w:val="000000"/>
          <w:szCs w:val="21"/>
        </w:rPr>
        <w:t>），并附上相应</w:t>
      </w:r>
      <w:r>
        <w:rPr>
          <w:rFonts w:hint="eastAsia" w:ascii="宋体" w:hAnsi="宋体" w:eastAsia="宋体"/>
          <w:color w:val="000000"/>
          <w:kern w:val="0"/>
          <w:szCs w:val="21"/>
          <w:lang w:val="zh-CN"/>
        </w:rPr>
        <w:t>发</w:t>
      </w:r>
      <w:r>
        <w:rPr>
          <w:rFonts w:ascii="宋体" w:hAnsi="宋体" w:eastAsia="宋体"/>
          <w:color w:val="000000"/>
          <w:kern w:val="0"/>
          <w:szCs w:val="21"/>
          <w:lang w:val="zh-CN"/>
        </w:rPr>
        <w:t>票</w:t>
      </w:r>
      <w:r>
        <w:rPr>
          <w:rFonts w:hint="eastAsia" w:ascii="宋体" w:hAnsi="宋体" w:eastAsia="宋体"/>
          <w:color w:val="000000"/>
          <w:kern w:val="0"/>
          <w:szCs w:val="21"/>
          <w:lang w:val="zh-CN"/>
        </w:rPr>
        <w:t>（或</w:t>
      </w:r>
      <w:r>
        <w:rPr>
          <w:rFonts w:ascii="宋体" w:hAnsi="宋体" w:eastAsia="宋体"/>
          <w:color w:val="000000"/>
          <w:kern w:val="0"/>
          <w:szCs w:val="21"/>
          <w:lang w:val="zh-CN"/>
        </w:rPr>
        <w:t>合同</w:t>
      </w:r>
      <w:r>
        <w:rPr>
          <w:rFonts w:hint="eastAsia" w:ascii="宋体" w:hAnsi="宋体" w:eastAsia="宋体"/>
          <w:color w:val="000000"/>
          <w:kern w:val="0"/>
          <w:szCs w:val="21"/>
          <w:lang w:val="zh-CN"/>
        </w:rPr>
        <w:t>）复印件</w:t>
      </w:r>
      <w:r>
        <w:rPr>
          <w:rFonts w:hint="eastAsia" w:ascii="宋体" w:hAnsi="宋体" w:eastAsia="宋体"/>
          <w:color w:val="000000"/>
          <w:kern w:val="0"/>
          <w:szCs w:val="21"/>
        </w:rPr>
        <w:t>加盖公章。</w:t>
      </w:r>
    </w:p>
    <w:p>
      <w:pPr>
        <w:tabs>
          <w:tab w:val="left" w:pos="7560"/>
        </w:tabs>
        <w:spacing w:line="360" w:lineRule="auto"/>
        <w:rPr>
          <w:rFonts w:ascii="宋体" w:hAnsi="宋体" w:eastAsia="宋体"/>
          <w:color w:val="000000"/>
          <w:szCs w:val="21"/>
        </w:rPr>
      </w:pPr>
      <w:r>
        <w:rPr>
          <w:rFonts w:ascii="宋体" w:hAnsi="宋体" w:eastAsia="宋体"/>
          <w:color w:val="000000"/>
          <w:szCs w:val="21"/>
        </w:rPr>
        <w:t>9</w:t>
      </w:r>
      <w:r>
        <w:rPr>
          <w:rFonts w:hint="eastAsia" w:ascii="宋体" w:hAnsi="宋体" w:eastAsia="宋体"/>
          <w:color w:val="000000"/>
          <w:szCs w:val="21"/>
        </w:rPr>
        <w:t>、服务网点情况说明，提供工商部门或市场监督管理部门出具的有效证明文件复印件或清晰扫描件加盖公章。</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1</w:t>
      </w:r>
      <w:r>
        <w:rPr>
          <w:rFonts w:ascii="宋体" w:hAnsi="宋体" w:eastAsia="宋体"/>
          <w:color w:val="000000"/>
          <w:szCs w:val="21"/>
        </w:rPr>
        <w:t>0</w:t>
      </w:r>
      <w:r>
        <w:rPr>
          <w:rFonts w:hint="eastAsia" w:ascii="宋体" w:hAnsi="宋体" w:eastAsia="宋体"/>
          <w:color w:val="000000"/>
          <w:szCs w:val="21"/>
        </w:rPr>
        <w:t>、商务条款响应偏离表（</w:t>
      </w:r>
      <w:r>
        <w:rPr>
          <w:rFonts w:hint="eastAsia" w:ascii="宋体" w:hAnsi="宋体" w:eastAsia="宋体"/>
          <w:szCs w:val="21"/>
        </w:rPr>
        <w:t>商</w:t>
      </w:r>
      <w:r>
        <w:rPr>
          <w:rFonts w:ascii="宋体" w:hAnsi="宋体" w:eastAsia="宋体"/>
          <w:szCs w:val="21"/>
        </w:rPr>
        <w:t>务</w:t>
      </w:r>
      <w:r>
        <w:rPr>
          <w:rFonts w:hint="eastAsia" w:ascii="宋体" w:hAnsi="宋体" w:eastAsia="宋体"/>
          <w:color w:val="000000"/>
          <w:szCs w:val="21"/>
        </w:rPr>
        <w:t>标附表</w:t>
      </w:r>
      <w:r>
        <w:rPr>
          <w:rFonts w:ascii="宋体" w:hAnsi="宋体" w:eastAsia="宋体"/>
          <w:color w:val="000000"/>
          <w:szCs w:val="21"/>
        </w:rPr>
        <w:t>7</w:t>
      </w:r>
      <w:r>
        <w:rPr>
          <w:rFonts w:hint="eastAsia" w:ascii="宋体" w:hAnsi="宋体" w:eastAsia="宋体"/>
          <w:color w:val="000000"/>
          <w:szCs w:val="21"/>
        </w:rPr>
        <w:t>）。</w:t>
      </w:r>
    </w:p>
    <w:p>
      <w:pPr>
        <w:tabs>
          <w:tab w:val="left" w:pos="7560"/>
        </w:tabs>
        <w:spacing w:line="360" w:lineRule="auto"/>
        <w:rPr>
          <w:rFonts w:ascii="宋体" w:hAnsi="宋体" w:eastAsia="宋体"/>
          <w:color w:val="000000"/>
          <w:szCs w:val="21"/>
        </w:rPr>
      </w:pPr>
      <w:r>
        <w:rPr>
          <w:rFonts w:ascii="宋体" w:hAnsi="宋体" w:eastAsia="宋体"/>
          <w:color w:val="000000"/>
          <w:szCs w:val="21"/>
        </w:rPr>
        <w:t>11</w:t>
      </w:r>
      <w:r>
        <w:rPr>
          <w:rFonts w:hint="eastAsia" w:ascii="宋体" w:hAnsi="宋体" w:eastAsia="宋体"/>
          <w:color w:val="000000"/>
          <w:szCs w:val="21"/>
        </w:rPr>
        <w:t>、投标人常驻深圳的本项目实施</w:t>
      </w:r>
      <w:r>
        <w:rPr>
          <w:rFonts w:ascii="宋体" w:hAnsi="宋体" w:eastAsia="宋体"/>
          <w:color w:val="000000"/>
          <w:szCs w:val="21"/>
        </w:rPr>
        <w:t>人员名单</w:t>
      </w:r>
      <w:r>
        <w:rPr>
          <w:rFonts w:hint="eastAsia" w:ascii="宋体" w:hAnsi="宋体" w:eastAsia="宋体"/>
          <w:color w:val="000000"/>
          <w:szCs w:val="21"/>
        </w:rPr>
        <w:t>（提供近半年工资发放证明或社保证明）（</w:t>
      </w:r>
      <w:r>
        <w:rPr>
          <w:rFonts w:hint="eastAsia" w:ascii="宋体" w:hAnsi="宋体" w:eastAsia="宋体"/>
          <w:szCs w:val="21"/>
        </w:rPr>
        <w:t>商</w:t>
      </w:r>
      <w:r>
        <w:rPr>
          <w:rFonts w:ascii="宋体" w:hAnsi="宋体" w:eastAsia="宋体"/>
          <w:szCs w:val="21"/>
        </w:rPr>
        <w:t>务</w:t>
      </w:r>
      <w:r>
        <w:rPr>
          <w:rFonts w:hint="eastAsia" w:ascii="宋体" w:hAnsi="宋体" w:eastAsia="宋体"/>
          <w:color w:val="000000"/>
          <w:szCs w:val="21"/>
        </w:rPr>
        <w:t>标附表</w:t>
      </w:r>
      <w:r>
        <w:rPr>
          <w:rFonts w:ascii="宋体" w:hAnsi="宋体" w:eastAsia="宋体"/>
          <w:color w:val="000000"/>
          <w:szCs w:val="21"/>
        </w:rPr>
        <w:t>8</w:t>
      </w:r>
      <w:r>
        <w:rPr>
          <w:rFonts w:hint="eastAsia" w:ascii="宋体" w:hAnsi="宋体" w:eastAsia="宋体"/>
          <w:color w:val="000000"/>
          <w:szCs w:val="21"/>
        </w:rPr>
        <w:t>），格式自拟</w:t>
      </w:r>
      <w:r>
        <w:rPr>
          <w:rFonts w:hint="eastAsia" w:ascii="宋体" w:hAnsi="宋体" w:eastAsia="宋体" w:cs="仿宋"/>
          <w:szCs w:val="21"/>
        </w:rPr>
        <w:t>。</w:t>
      </w:r>
    </w:p>
    <w:p>
      <w:pPr>
        <w:tabs>
          <w:tab w:val="left" w:pos="7560"/>
        </w:tabs>
        <w:spacing w:line="360" w:lineRule="auto"/>
        <w:rPr>
          <w:rFonts w:ascii="宋体" w:hAnsi="宋体" w:eastAsia="宋体"/>
          <w:color w:val="000000"/>
          <w:szCs w:val="21"/>
        </w:rPr>
      </w:pPr>
      <w:r>
        <w:rPr>
          <w:rFonts w:ascii="宋体" w:hAnsi="宋体" w:eastAsia="宋体"/>
          <w:color w:val="000000"/>
          <w:szCs w:val="21"/>
        </w:rPr>
        <w:t>12</w:t>
      </w:r>
      <w:r>
        <w:rPr>
          <w:rFonts w:hint="eastAsia" w:ascii="宋体" w:hAnsi="宋体" w:eastAsia="宋体"/>
          <w:color w:val="000000"/>
          <w:szCs w:val="21"/>
        </w:rPr>
        <w:t>、</w:t>
      </w:r>
      <w:r>
        <w:rPr>
          <w:rFonts w:hint="eastAsia" w:ascii="宋体" w:hAnsi="宋体" w:eastAsia="宋体"/>
          <w:szCs w:val="21"/>
        </w:rPr>
        <w:t>招标文件要求提供的其他文件</w:t>
      </w:r>
      <w:r>
        <w:rPr>
          <w:rFonts w:hint="eastAsia" w:ascii="宋体" w:hAnsi="宋体" w:eastAsia="宋体"/>
          <w:color w:val="000000"/>
          <w:szCs w:val="21"/>
        </w:rPr>
        <w:t>。</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br w:type="page"/>
      </w:r>
      <w:r>
        <w:rPr>
          <w:rFonts w:hint="eastAsia" w:ascii="宋体" w:hAnsi="宋体" w:eastAsia="宋体"/>
          <w:szCs w:val="21"/>
        </w:rPr>
        <w:t>商</w:t>
      </w:r>
      <w:r>
        <w:rPr>
          <w:rFonts w:ascii="宋体" w:hAnsi="宋体" w:eastAsia="宋体"/>
          <w:szCs w:val="21"/>
        </w:rPr>
        <w:t>务</w:t>
      </w:r>
      <w:r>
        <w:rPr>
          <w:rFonts w:hint="eastAsia" w:ascii="宋体" w:hAnsi="宋体" w:eastAsia="宋体"/>
          <w:color w:val="000000"/>
          <w:szCs w:val="21"/>
        </w:rPr>
        <w:t>标附表1：</w:t>
      </w:r>
    </w:p>
    <w:p>
      <w:pPr>
        <w:tabs>
          <w:tab w:val="left" w:pos="7560"/>
        </w:tabs>
        <w:spacing w:line="360" w:lineRule="auto"/>
        <w:ind w:firstLine="420" w:firstLineChars="200"/>
        <w:jc w:val="center"/>
        <w:rPr>
          <w:rFonts w:ascii="宋体" w:hAnsi="宋体" w:eastAsia="宋体"/>
          <w:color w:val="000000"/>
          <w:szCs w:val="21"/>
        </w:rPr>
      </w:pPr>
      <w:r>
        <w:rPr>
          <w:rFonts w:hint="eastAsia" w:ascii="宋体" w:hAnsi="宋体" w:eastAsia="宋体"/>
          <w:color w:val="000000"/>
          <w:szCs w:val="21"/>
        </w:rPr>
        <w:t>暂</w:t>
      </w:r>
      <w:r>
        <w:rPr>
          <w:rFonts w:ascii="宋体" w:hAnsi="宋体" w:eastAsia="宋体"/>
          <w:color w:val="000000"/>
          <w:szCs w:val="21"/>
        </w:rPr>
        <w:t>定</w:t>
      </w:r>
      <w:r>
        <w:rPr>
          <w:rFonts w:hint="eastAsia" w:ascii="宋体" w:hAnsi="宋体" w:eastAsia="宋体"/>
          <w:color w:val="000000"/>
          <w:szCs w:val="21"/>
        </w:rPr>
        <w:t>投标总价</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招标人：</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项目名称：</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投标报价单价（小写）：</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            （大写）：</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暂</w:t>
      </w:r>
      <w:r>
        <w:rPr>
          <w:rFonts w:ascii="宋体" w:hAnsi="宋体" w:eastAsia="宋体"/>
          <w:color w:val="000000"/>
          <w:szCs w:val="21"/>
        </w:rPr>
        <w:t>定</w:t>
      </w:r>
      <w:r>
        <w:rPr>
          <w:rFonts w:hint="eastAsia" w:ascii="宋体" w:hAnsi="宋体" w:eastAsia="宋体"/>
          <w:color w:val="000000"/>
          <w:szCs w:val="21"/>
        </w:rPr>
        <w:t>投标总价（小写）：</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            （大写）：</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投标人（盖章）：</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u w:val="single"/>
        </w:rPr>
      </w:pPr>
      <w:r>
        <w:rPr>
          <w:rFonts w:hint="eastAsia" w:ascii="宋体" w:hAnsi="宋体" w:eastAsia="宋体"/>
          <w:szCs w:val="21"/>
        </w:rPr>
        <w:t>法定代表人或其授权委托人（签字或盖章）：</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u w:val="single"/>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编制时间：</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rPr>
          <w:rFonts w:ascii="宋体" w:hAnsi="宋体" w:eastAsia="宋体"/>
          <w:color w:val="000000"/>
          <w:szCs w:val="21"/>
        </w:rPr>
        <w:sectPr>
          <w:pgSz w:w="11906" w:h="16838"/>
          <w:pgMar w:top="1418" w:right="1797" w:bottom="1361" w:left="1797" w:header="851" w:footer="992" w:gutter="0"/>
          <w:pgNumType w:fmt="numberInDash"/>
          <w:cols w:space="720" w:num="1"/>
          <w:docGrid w:linePitch="312" w:charSpace="0"/>
        </w:sectPr>
      </w:pPr>
    </w:p>
    <w:p>
      <w:pPr>
        <w:spacing w:line="360" w:lineRule="auto"/>
        <w:jc w:val="left"/>
        <w:rPr>
          <w:rFonts w:ascii="宋体" w:hAnsi="宋体" w:eastAsia="宋体"/>
          <w:szCs w:val="21"/>
        </w:rPr>
      </w:pP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2</w:t>
      </w:r>
    </w:p>
    <w:p>
      <w:pPr>
        <w:tabs>
          <w:tab w:val="left" w:pos="7560"/>
        </w:tabs>
        <w:spacing w:line="360" w:lineRule="auto"/>
        <w:ind w:firstLine="420" w:firstLineChars="200"/>
        <w:jc w:val="center"/>
        <w:rPr>
          <w:rFonts w:ascii="宋体" w:hAnsi="宋体" w:eastAsia="宋体"/>
          <w:color w:val="000000"/>
          <w:szCs w:val="21"/>
        </w:rPr>
      </w:pPr>
      <w:r>
        <w:rPr>
          <w:rFonts w:hint="eastAsia" w:ascii="宋体" w:hAnsi="宋体" w:eastAsia="宋体"/>
          <w:color w:val="000000"/>
          <w:szCs w:val="21"/>
        </w:rPr>
        <w:t>诚信投标及无行贿犯罪无行政处罚承诺书</w:t>
      </w:r>
    </w:p>
    <w:p>
      <w:pPr>
        <w:widowControl/>
        <w:snapToGrid w:val="0"/>
        <w:spacing w:line="480" w:lineRule="auto"/>
        <w:jc w:val="left"/>
        <w:rPr>
          <w:rFonts w:ascii="宋体" w:hAnsi="宋体" w:eastAsia="宋体"/>
          <w:szCs w:val="21"/>
        </w:rPr>
      </w:pPr>
    </w:p>
    <w:p>
      <w:pPr>
        <w:widowControl/>
        <w:snapToGrid w:val="0"/>
        <w:spacing w:line="480" w:lineRule="auto"/>
        <w:jc w:val="left"/>
        <w:rPr>
          <w:rFonts w:ascii="宋体" w:hAnsi="宋体" w:eastAsia="宋体"/>
          <w:szCs w:val="21"/>
        </w:rPr>
      </w:pPr>
      <w:r>
        <w:rPr>
          <w:rFonts w:hint="eastAsia" w:ascii="宋体" w:hAnsi="宋体" w:eastAsia="宋体"/>
          <w:szCs w:val="21"/>
          <w:lang w:eastAsia="zh-CN"/>
        </w:rPr>
        <w:t>宁国水务有限公司</w:t>
      </w:r>
      <w:r>
        <w:rPr>
          <w:rFonts w:hint="eastAsia" w:ascii="宋体" w:hAnsi="宋体" w:eastAsia="宋体"/>
          <w:szCs w:val="21"/>
        </w:rPr>
        <w:t xml:space="preserve">： </w:t>
      </w:r>
    </w:p>
    <w:p>
      <w:pPr>
        <w:widowControl/>
        <w:snapToGrid w:val="0"/>
        <w:spacing w:line="480" w:lineRule="auto"/>
        <w:ind w:firstLine="420" w:firstLineChars="200"/>
        <w:jc w:val="left"/>
        <w:rPr>
          <w:rFonts w:ascii="宋体" w:hAnsi="宋体" w:eastAsia="宋体"/>
          <w:szCs w:val="21"/>
        </w:rPr>
      </w:pPr>
      <w:r>
        <w:rPr>
          <w:rFonts w:hint="eastAsia" w:ascii="宋体" w:hAnsi="宋体" w:eastAsia="宋体"/>
          <w:szCs w:val="21"/>
        </w:rPr>
        <w:t>我司</w:t>
      </w:r>
      <w:r>
        <w:rPr>
          <w:rFonts w:ascii="宋体" w:hAnsi="宋体" w:eastAsia="宋体"/>
          <w:szCs w:val="21"/>
        </w:rPr>
        <w:t>自愿</w:t>
      </w:r>
      <w:r>
        <w:rPr>
          <w:rFonts w:hint="eastAsia" w:ascii="宋体" w:hAnsi="宋体" w:eastAsia="宋体"/>
          <w:szCs w:val="21"/>
        </w:rPr>
        <w:t>参加贵</w:t>
      </w:r>
      <w:r>
        <w:rPr>
          <w:rFonts w:ascii="宋体" w:hAnsi="宋体" w:eastAsia="宋体"/>
          <w:szCs w:val="21"/>
        </w:rPr>
        <w:t>司组织的</w:t>
      </w:r>
      <w:r>
        <w:rPr>
          <w:rFonts w:hint="eastAsia" w:ascii="宋体" w:hAnsi="宋体" w:eastAsia="宋体"/>
          <w:szCs w:val="21"/>
          <w:u w:val="single"/>
        </w:rPr>
        <w:t xml:space="preserve">                           （</w:t>
      </w:r>
      <w:r>
        <w:rPr>
          <w:rFonts w:hint="eastAsia" w:ascii="宋体" w:hAnsi="宋体" w:eastAsia="宋体"/>
          <w:szCs w:val="21"/>
        </w:rPr>
        <w:t>项目名称）的投标，我司在此郑</w:t>
      </w:r>
      <w:r>
        <w:rPr>
          <w:rFonts w:ascii="宋体" w:hAnsi="宋体" w:eastAsia="宋体"/>
          <w:szCs w:val="21"/>
        </w:rPr>
        <w:t>重</w:t>
      </w:r>
      <w:r>
        <w:rPr>
          <w:rFonts w:hint="eastAsia" w:ascii="宋体" w:hAnsi="宋体" w:eastAsia="宋体"/>
          <w:szCs w:val="21"/>
        </w:rPr>
        <w:t>承诺：</w:t>
      </w:r>
    </w:p>
    <w:p>
      <w:pPr>
        <w:widowControl/>
        <w:snapToGrid w:val="0"/>
        <w:spacing w:line="480" w:lineRule="auto"/>
        <w:ind w:firstLine="420" w:firstLineChars="200"/>
        <w:jc w:val="left"/>
        <w:rPr>
          <w:rFonts w:ascii="宋体" w:hAnsi="宋体" w:eastAsia="宋体"/>
          <w:szCs w:val="21"/>
        </w:rPr>
      </w:pPr>
      <w:r>
        <w:rPr>
          <w:rFonts w:hint="eastAsia" w:ascii="宋体" w:hAnsi="宋体" w:eastAsia="宋体"/>
          <w:szCs w:val="21"/>
        </w:rPr>
        <w:t>1、诚信参与贵司招标活动，所提供的投标文件等所有资料均真实可信。</w:t>
      </w:r>
    </w:p>
    <w:p>
      <w:pPr>
        <w:widowControl/>
        <w:snapToGrid w:val="0"/>
        <w:spacing w:line="480" w:lineRule="auto"/>
        <w:ind w:firstLine="420" w:firstLineChars="200"/>
        <w:jc w:val="left"/>
        <w:rPr>
          <w:rFonts w:ascii="宋体" w:hAnsi="宋体" w:eastAsia="宋体"/>
          <w:szCs w:val="21"/>
        </w:rPr>
      </w:pPr>
      <w:r>
        <w:rPr>
          <w:rFonts w:hint="eastAsia" w:ascii="宋体" w:hAnsi="宋体" w:eastAsia="宋体"/>
          <w:szCs w:val="21"/>
        </w:rPr>
        <w:t>2、</w:t>
      </w:r>
      <w:r>
        <w:rPr>
          <w:rFonts w:ascii="宋体" w:hAnsi="宋体" w:eastAsia="宋体"/>
          <w:szCs w:val="21"/>
        </w:rPr>
        <w:t>近三年内</w:t>
      </w:r>
      <w:r>
        <w:rPr>
          <w:rFonts w:hint="eastAsia" w:ascii="宋体" w:hAnsi="宋体" w:eastAsia="宋体"/>
          <w:szCs w:val="21"/>
        </w:rPr>
        <w:t>（从本项目发</w:t>
      </w:r>
      <w:r>
        <w:rPr>
          <w:rFonts w:ascii="宋体" w:hAnsi="宋体" w:eastAsia="宋体"/>
          <w:szCs w:val="21"/>
        </w:rPr>
        <w:t>布招标</w:t>
      </w:r>
      <w:r>
        <w:rPr>
          <w:rFonts w:hint="eastAsia" w:ascii="宋体" w:hAnsi="宋体" w:eastAsia="宋体"/>
          <w:szCs w:val="21"/>
        </w:rPr>
        <w:t>公告</w:t>
      </w:r>
      <w:r>
        <w:rPr>
          <w:rFonts w:ascii="宋体" w:hAnsi="宋体" w:eastAsia="宋体"/>
          <w:szCs w:val="21"/>
        </w:rPr>
        <w:t>之日</w:t>
      </w:r>
      <w:r>
        <w:rPr>
          <w:rFonts w:hint="eastAsia" w:ascii="宋体" w:hAnsi="宋体" w:eastAsia="宋体"/>
          <w:szCs w:val="21"/>
        </w:rPr>
        <w:t>起倒算），我</w:t>
      </w:r>
      <w:r>
        <w:rPr>
          <w:rFonts w:ascii="宋体" w:hAnsi="宋体" w:eastAsia="宋体"/>
          <w:szCs w:val="21"/>
        </w:rPr>
        <w:t>司</w:t>
      </w:r>
      <w:r>
        <w:rPr>
          <w:rFonts w:hint="eastAsia" w:ascii="宋体" w:hAnsi="宋体" w:eastAsia="宋体"/>
          <w:szCs w:val="21"/>
        </w:rPr>
        <w:t>或者</w:t>
      </w:r>
      <w:r>
        <w:rPr>
          <w:rFonts w:ascii="宋体" w:hAnsi="宋体" w:eastAsia="宋体"/>
          <w:szCs w:val="21"/>
        </w:rPr>
        <w:t>法定代表人</w:t>
      </w:r>
      <w:r>
        <w:rPr>
          <w:rFonts w:hint="eastAsia" w:ascii="宋体" w:hAnsi="宋体" w:eastAsia="宋体"/>
          <w:szCs w:val="21"/>
        </w:rPr>
        <w:t>无行贿犯罪记</w:t>
      </w:r>
      <w:r>
        <w:rPr>
          <w:rFonts w:ascii="宋体" w:hAnsi="宋体" w:eastAsia="宋体"/>
          <w:szCs w:val="21"/>
        </w:rPr>
        <w:t>录</w:t>
      </w:r>
      <w:r>
        <w:rPr>
          <w:rFonts w:hint="eastAsia" w:ascii="宋体" w:hAnsi="宋体" w:eastAsia="宋体"/>
          <w:szCs w:val="21"/>
        </w:rPr>
        <w:t>。</w:t>
      </w:r>
    </w:p>
    <w:p>
      <w:pPr>
        <w:widowControl/>
        <w:snapToGrid w:val="0"/>
        <w:spacing w:line="480" w:lineRule="auto"/>
        <w:ind w:firstLine="420" w:firstLineChars="200"/>
        <w:jc w:val="left"/>
        <w:rPr>
          <w:rFonts w:ascii="宋体" w:hAnsi="宋体" w:eastAsia="宋体"/>
          <w:szCs w:val="21"/>
        </w:rPr>
      </w:pPr>
      <w:r>
        <w:rPr>
          <w:rFonts w:hint="eastAsia" w:ascii="宋体" w:hAnsi="宋体" w:eastAsia="宋体"/>
          <w:szCs w:val="21"/>
        </w:rPr>
        <w:t>3. 近一年</w:t>
      </w:r>
      <w:r>
        <w:rPr>
          <w:rFonts w:ascii="宋体" w:hAnsi="宋体" w:eastAsia="宋体"/>
          <w:szCs w:val="21"/>
        </w:rPr>
        <w:t>内（</w:t>
      </w:r>
      <w:r>
        <w:rPr>
          <w:rFonts w:hint="eastAsia" w:ascii="宋体" w:hAnsi="宋体" w:eastAsia="宋体"/>
          <w:szCs w:val="21"/>
        </w:rPr>
        <w:t>从本项目</w:t>
      </w:r>
      <w:r>
        <w:rPr>
          <w:rFonts w:ascii="宋体" w:hAnsi="宋体" w:eastAsia="宋体"/>
          <w:szCs w:val="21"/>
        </w:rPr>
        <w:t>截标之日起倒算）</w:t>
      </w:r>
      <w:r>
        <w:rPr>
          <w:rFonts w:hint="eastAsia" w:ascii="宋体" w:hAnsi="宋体" w:eastAsia="宋体"/>
          <w:szCs w:val="21"/>
        </w:rPr>
        <w:t>，</w:t>
      </w:r>
      <w:r>
        <w:rPr>
          <w:rFonts w:ascii="宋体" w:hAnsi="宋体" w:eastAsia="宋体"/>
          <w:szCs w:val="21"/>
        </w:rPr>
        <w:t>我司</w:t>
      </w:r>
      <w:r>
        <w:rPr>
          <w:rFonts w:hint="eastAsia" w:ascii="宋体" w:hAnsi="宋体" w:eastAsia="宋体"/>
          <w:szCs w:val="21"/>
        </w:rPr>
        <w:t>无</w:t>
      </w:r>
      <w:r>
        <w:rPr>
          <w:rFonts w:ascii="宋体" w:hAnsi="宋体" w:eastAsia="宋体"/>
          <w:szCs w:val="21"/>
        </w:rPr>
        <w:t>因串通投标、转包、以</w:t>
      </w:r>
      <w:r>
        <w:rPr>
          <w:rFonts w:hint="eastAsia" w:ascii="宋体" w:hAnsi="宋体" w:eastAsia="宋体"/>
          <w:szCs w:val="21"/>
        </w:rPr>
        <w:t>他人</w:t>
      </w:r>
      <w:r>
        <w:rPr>
          <w:rFonts w:ascii="宋体" w:hAnsi="宋体" w:eastAsia="宋体"/>
          <w:szCs w:val="21"/>
        </w:rPr>
        <w:t>名义投标</w:t>
      </w:r>
      <w:r>
        <w:rPr>
          <w:rFonts w:hint="eastAsia" w:ascii="宋体" w:hAnsi="宋体" w:eastAsia="宋体"/>
          <w:szCs w:val="21"/>
        </w:rPr>
        <w:t>、违规</w:t>
      </w:r>
      <w:r>
        <w:rPr>
          <w:rFonts w:ascii="宋体" w:hAnsi="宋体" w:eastAsia="宋体"/>
          <w:szCs w:val="21"/>
        </w:rPr>
        <w:t>违法分包</w:t>
      </w:r>
      <w:r>
        <w:rPr>
          <w:rFonts w:hint="eastAsia" w:ascii="宋体" w:hAnsi="宋体" w:eastAsia="宋体"/>
          <w:szCs w:val="21"/>
        </w:rPr>
        <w:t>、提供投标虚假材料</w:t>
      </w:r>
      <w:r>
        <w:rPr>
          <w:rFonts w:ascii="宋体" w:hAnsi="宋体" w:eastAsia="宋体"/>
          <w:szCs w:val="21"/>
        </w:rPr>
        <w:t>等违法</w:t>
      </w:r>
      <w:r>
        <w:rPr>
          <w:rFonts w:hint="eastAsia" w:ascii="宋体" w:hAnsi="宋体" w:eastAsia="宋体"/>
          <w:szCs w:val="21"/>
        </w:rPr>
        <w:t>、违</w:t>
      </w:r>
      <w:r>
        <w:rPr>
          <w:rFonts w:ascii="宋体" w:hAnsi="宋体" w:eastAsia="宋体"/>
          <w:szCs w:val="21"/>
        </w:rPr>
        <w:t>规行为</w:t>
      </w:r>
      <w:r>
        <w:rPr>
          <w:rFonts w:hint="eastAsia" w:ascii="宋体" w:hAnsi="宋体" w:eastAsia="宋体"/>
          <w:szCs w:val="21"/>
        </w:rPr>
        <w:t>，</w:t>
      </w:r>
      <w:r>
        <w:rPr>
          <w:rFonts w:ascii="宋体" w:hAnsi="宋体" w:eastAsia="宋体"/>
          <w:szCs w:val="21"/>
        </w:rPr>
        <w:t>受到</w:t>
      </w:r>
      <w:r>
        <w:rPr>
          <w:rFonts w:hint="eastAsia" w:ascii="宋体" w:hAnsi="宋体" w:eastAsia="宋体"/>
          <w:szCs w:val="21"/>
        </w:rPr>
        <w:t>行政</w:t>
      </w:r>
      <w:r>
        <w:rPr>
          <w:rFonts w:ascii="宋体" w:hAnsi="宋体" w:eastAsia="宋体"/>
          <w:szCs w:val="21"/>
        </w:rPr>
        <w:t>部门行政处罚</w:t>
      </w:r>
      <w:r>
        <w:rPr>
          <w:rFonts w:hint="eastAsia" w:ascii="宋体" w:hAnsi="宋体" w:eastAsia="宋体"/>
          <w:szCs w:val="21"/>
        </w:rPr>
        <w:t>或被招标单位因此取消投标资格或中标资格</w:t>
      </w:r>
      <w:r>
        <w:rPr>
          <w:rFonts w:ascii="宋体" w:hAnsi="宋体" w:eastAsia="宋体"/>
          <w:szCs w:val="21"/>
        </w:rPr>
        <w:t>。</w:t>
      </w:r>
    </w:p>
    <w:p>
      <w:pPr>
        <w:widowControl/>
        <w:snapToGrid w:val="0"/>
        <w:spacing w:line="480" w:lineRule="auto"/>
        <w:jc w:val="left"/>
        <w:rPr>
          <w:rFonts w:ascii="宋体" w:hAnsi="宋体" w:eastAsia="宋体"/>
          <w:szCs w:val="21"/>
        </w:rPr>
      </w:pPr>
      <w:r>
        <w:rPr>
          <w:rFonts w:hint="eastAsia" w:ascii="宋体" w:hAnsi="宋体" w:eastAsia="宋体"/>
          <w:szCs w:val="21"/>
        </w:rPr>
        <w:t xml:space="preserve">    如本承</w:t>
      </w:r>
      <w:r>
        <w:rPr>
          <w:rFonts w:ascii="宋体" w:hAnsi="宋体" w:eastAsia="宋体"/>
          <w:szCs w:val="21"/>
        </w:rPr>
        <w:t>诺</w:t>
      </w:r>
      <w:r>
        <w:rPr>
          <w:rFonts w:hint="eastAsia" w:ascii="宋体" w:hAnsi="宋体" w:eastAsia="宋体"/>
          <w:szCs w:val="21"/>
        </w:rPr>
        <w:t>不</w:t>
      </w:r>
      <w:r>
        <w:rPr>
          <w:rFonts w:ascii="宋体" w:hAnsi="宋体" w:eastAsia="宋体"/>
          <w:szCs w:val="21"/>
        </w:rPr>
        <w:t>属实</w:t>
      </w:r>
      <w:r>
        <w:rPr>
          <w:rFonts w:hint="eastAsia" w:ascii="宋体" w:hAnsi="宋体" w:eastAsia="宋体"/>
          <w:szCs w:val="21"/>
        </w:rPr>
        <w:t>，我</w:t>
      </w:r>
      <w:r>
        <w:rPr>
          <w:rFonts w:ascii="宋体" w:hAnsi="宋体" w:eastAsia="宋体"/>
          <w:szCs w:val="21"/>
        </w:rPr>
        <w:t>司</w:t>
      </w:r>
      <w:r>
        <w:rPr>
          <w:rFonts w:hint="eastAsia" w:ascii="宋体" w:hAnsi="宋体" w:eastAsia="宋体"/>
          <w:szCs w:val="21"/>
        </w:rPr>
        <w:t>愿</w:t>
      </w:r>
      <w:r>
        <w:rPr>
          <w:rFonts w:ascii="宋体" w:hAnsi="宋体" w:eastAsia="宋体"/>
          <w:szCs w:val="21"/>
        </w:rPr>
        <w:t>意</w:t>
      </w:r>
      <w:r>
        <w:rPr>
          <w:rFonts w:hint="eastAsia" w:ascii="宋体" w:hAnsi="宋体" w:eastAsia="宋体"/>
          <w:szCs w:val="21"/>
        </w:rPr>
        <w:t>无</w:t>
      </w:r>
      <w:r>
        <w:rPr>
          <w:rFonts w:ascii="宋体" w:hAnsi="宋体" w:eastAsia="宋体"/>
          <w:szCs w:val="21"/>
        </w:rPr>
        <w:t>条件接</w:t>
      </w:r>
      <w:r>
        <w:rPr>
          <w:rFonts w:hint="eastAsia" w:ascii="宋体" w:hAnsi="宋体" w:eastAsia="宋体"/>
          <w:szCs w:val="21"/>
        </w:rPr>
        <w:t>受：</w:t>
      </w:r>
    </w:p>
    <w:p>
      <w:pPr>
        <w:widowControl/>
        <w:snapToGrid w:val="0"/>
        <w:spacing w:line="480" w:lineRule="auto"/>
        <w:ind w:firstLine="315" w:firstLineChars="150"/>
        <w:jc w:val="left"/>
        <w:rPr>
          <w:rFonts w:ascii="宋体" w:hAnsi="宋体" w:eastAsia="宋体"/>
          <w:szCs w:val="21"/>
        </w:rPr>
      </w:pPr>
      <w:r>
        <w:rPr>
          <w:rFonts w:hint="eastAsia" w:ascii="宋体" w:hAnsi="宋体" w:eastAsia="宋体"/>
          <w:szCs w:val="21"/>
        </w:rPr>
        <w:t>（一）宣布我司投标废标。</w:t>
      </w:r>
    </w:p>
    <w:p>
      <w:pPr>
        <w:widowControl/>
        <w:snapToGrid w:val="0"/>
        <w:spacing w:line="480" w:lineRule="auto"/>
        <w:ind w:firstLine="315" w:firstLineChars="150"/>
        <w:jc w:val="left"/>
        <w:rPr>
          <w:rFonts w:ascii="宋体" w:hAnsi="宋体" w:eastAsia="宋体"/>
          <w:szCs w:val="21"/>
        </w:rPr>
      </w:pPr>
      <w:r>
        <w:rPr>
          <w:rFonts w:hint="eastAsia" w:ascii="宋体" w:hAnsi="宋体" w:eastAsia="宋体"/>
          <w:szCs w:val="21"/>
        </w:rPr>
        <w:t>（二）取消我司的中标资格。</w:t>
      </w:r>
    </w:p>
    <w:p>
      <w:pPr>
        <w:widowControl/>
        <w:snapToGrid w:val="0"/>
        <w:spacing w:line="480" w:lineRule="auto"/>
        <w:ind w:firstLine="315" w:firstLineChars="150"/>
        <w:jc w:val="left"/>
        <w:rPr>
          <w:rFonts w:ascii="宋体" w:hAnsi="宋体" w:eastAsia="宋体"/>
          <w:szCs w:val="21"/>
        </w:rPr>
      </w:pPr>
      <w:r>
        <w:rPr>
          <w:rFonts w:hint="eastAsia" w:ascii="宋体" w:hAnsi="宋体" w:eastAsia="宋体"/>
          <w:szCs w:val="21"/>
        </w:rPr>
        <w:t>（三）列入投标黑名单。</w:t>
      </w:r>
    </w:p>
    <w:p>
      <w:pPr>
        <w:widowControl/>
        <w:snapToGrid w:val="0"/>
        <w:spacing w:line="480" w:lineRule="auto"/>
        <w:ind w:firstLine="315" w:firstLineChars="150"/>
        <w:jc w:val="left"/>
        <w:rPr>
          <w:rFonts w:ascii="宋体" w:hAnsi="宋体" w:eastAsia="宋体"/>
          <w:szCs w:val="21"/>
        </w:rPr>
      </w:pPr>
      <w:r>
        <w:rPr>
          <w:rFonts w:hint="eastAsia" w:ascii="宋体" w:hAnsi="宋体" w:eastAsia="宋体"/>
          <w:szCs w:val="21"/>
        </w:rPr>
        <w:t>（四）不</w:t>
      </w:r>
      <w:r>
        <w:rPr>
          <w:rFonts w:ascii="宋体" w:hAnsi="宋体" w:eastAsia="宋体"/>
          <w:szCs w:val="21"/>
        </w:rPr>
        <w:t>予退还</w:t>
      </w:r>
      <w:r>
        <w:rPr>
          <w:rFonts w:hint="eastAsia" w:ascii="宋体" w:hAnsi="宋体" w:eastAsia="宋体"/>
          <w:szCs w:val="21"/>
        </w:rPr>
        <w:t xml:space="preserve">投标保证金。  </w:t>
      </w:r>
    </w:p>
    <w:p>
      <w:pPr>
        <w:widowControl/>
        <w:snapToGrid w:val="0"/>
        <w:spacing w:line="480" w:lineRule="auto"/>
        <w:jc w:val="left"/>
        <w:rPr>
          <w:rFonts w:ascii="宋体" w:hAnsi="宋体" w:eastAsia="宋体"/>
          <w:szCs w:val="21"/>
        </w:rPr>
      </w:pPr>
    </w:p>
    <w:p>
      <w:pPr>
        <w:widowControl/>
        <w:snapToGrid w:val="0"/>
        <w:spacing w:line="480" w:lineRule="auto"/>
        <w:jc w:val="left"/>
        <w:rPr>
          <w:rFonts w:ascii="宋体" w:hAnsi="宋体" w:eastAsia="宋体"/>
          <w:szCs w:val="21"/>
        </w:rPr>
      </w:pPr>
    </w:p>
    <w:p>
      <w:pPr>
        <w:widowControl/>
        <w:snapToGrid w:val="0"/>
        <w:spacing w:line="480" w:lineRule="auto"/>
        <w:ind w:right="420" w:firstLine="4620" w:firstLineChars="2200"/>
        <w:rPr>
          <w:rFonts w:ascii="宋体" w:hAnsi="宋体" w:eastAsia="宋体"/>
          <w:szCs w:val="21"/>
        </w:rPr>
      </w:pPr>
      <w:r>
        <w:rPr>
          <w:rFonts w:hint="eastAsia" w:ascii="宋体" w:hAnsi="宋体" w:eastAsia="宋体"/>
          <w:szCs w:val="21"/>
        </w:rPr>
        <w:t xml:space="preserve">投  标  人：（盖公章）    </w:t>
      </w:r>
    </w:p>
    <w:p>
      <w:pPr>
        <w:widowControl/>
        <w:snapToGrid w:val="0"/>
        <w:spacing w:line="480" w:lineRule="auto"/>
        <w:ind w:right="420" w:firstLine="4620" w:firstLineChars="2200"/>
        <w:rPr>
          <w:rFonts w:ascii="宋体" w:hAnsi="宋体" w:eastAsia="宋体"/>
          <w:szCs w:val="21"/>
        </w:rPr>
      </w:pPr>
      <w:r>
        <w:rPr>
          <w:rFonts w:hint="eastAsia" w:ascii="宋体" w:hAnsi="宋体" w:eastAsia="宋体"/>
          <w:szCs w:val="21"/>
        </w:rPr>
        <w:t>法定代表人：</w:t>
      </w:r>
    </w:p>
    <w:p>
      <w:pPr>
        <w:widowControl/>
        <w:snapToGrid w:val="0"/>
        <w:spacing w:line="480" w:lineRule="auto"/>
        <w:ind w:right="420" w:firstLine="4620" w:firstLineChars="2200"/>
        <w:rPr>
          <w:rFonts w:ascii="宋体" w:hAnsi="宋体" w:eastAsia="宋体"/>
          <w:szCs w:val="21"/>
        </w:rPr>
      </w:pPr>
      <w:r>
        <w:rPr>
          <w:rFonts w:hint="eastAsia" w:ascii="宋体" w:hAnsi="宋体" w:eastAsia="宋体"/>
          <w:szCs w:val="21"/>
        </w:rPr>
        <w:t xml:space="preserve">年  </w:t>
      </w:r>
      <w:r>
        <w:rPr>
          <w:rFonts w:ascii="宋体" w:hAnsi="宋体" w:eastAsia="宋体"/>
          <w:szCs w:val="21"/>
        </w:rPr>
        <w:t xml:space="preserve">  </w:t>
      </w:r>
      <w:r>
        <w:rPr>
          <w:rFonts w:hint="eastAsia" w:ascii="宋体" w:hAnsi="宋体" w:eastAsia="宋体"/>
          <w:szCs w:val="21"/>
        </w:rPr>
        <w:t xml:space="preserve">月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日</w:t>
      </w:r>
    </w:p>
    <w:p>
      <w:pPr>
        <w:widowControl/>
        <w:snapToGrid w:val="0"/>
        <w:spacing w:line="360" w:lineRule="auto"/>
        <w:ind w:right="420" w:firstLine="4620" w:firstLineChars="2200"/>
        <w:rPr>
          <w:rFonts w:ascii="宋体" w:hAnsi="宋体" w:eastAsia="宋体"/>
          <w:szCs w:val="21"/>
        </w:rPr>
      </w:pPr>
    </w:p>
    <w:p>
      <w:pPr>
        <w:tabs>
          <w:tab w:val="left" w:pos="7560"/>
        </w:tabs>
        <w:spacing w:line="360" w:lineRule="auto"/>
        <w:rPr>
          <w:rFonts w:ascii="宋体" w:hAnsi="宋体" w:eastAsia="宋体"/>
          <w:color w:val="000000"/>
          <w:szCs w:val="21"/>
        </w:rPr>
      </w:pPr>
      <w:r>
        <w:rPr>
          <w:rFonts w:hint="eastAsia" w:ascii="宋体" w:hAnsi="宋体" w:eastAsia="宋体"/>
          <w:szCs w:val="21"/>
        </w:rPr>
        <w:br w:type="page"/>
      </w: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3</w:t>
      </w:r>
      <w:r>
        <w:rPr>
          <w:rFonts w:hint="eastAsia" w:ascii="宋体" w:hAnsi="宋体" w:eastAsia="宋体"/>
          <w:color w:val="000000"/>
          <w:szCs w:val="21"/>
        </w:rPr>
        <w:t>：</w:t>
      </w:r>
    </w:p>
    <w:p>
      <w:pPr>
        <w:tabs>
          <w:tab w:val="left" w:pos="7560"/>
        </w:tabs>
        <w:spacing w:line="360" w:lineRule="auto"/>
        <w:jc w:val="center"/>
        <w:rPr>
          <w:rFonts w:ascii="宋体" w:hAnsi="宋体" w:eastAsia="宋体"/>
          <w:szCs w:val="21"/>
        </w:rPr>
      </w:pPr>
      <w:r>
        <w:rPr>
          <w:rFonts w:hint="eastAsia" w:ascii="宋体" w:hAnsi="宋体" w:eastAsia="宋体"/>
          <w:szCs w:val="21"/>
        </w:rPr>
        <w:t>投标人资质证明文件</w:t>
      </w:r>
    </w:p>
    <w:p>
      <w:pPr>
        <w:tabs>
          <w:tab w:val="left" w:pos="7560"/>
        </w:tabs>
        <w:spacing w:line="360" w:lineRule="auto"/>
        <w:jc w:val="center"/>
        <w:rPr>
          <w:rFonts w:ascii="宋体" w:hAnsi="宋体" w:eastAsia="宋体"/>
          <w:szCs w:val="21"/>
        </w:rPr>
      </w:pPr>
    </w:p>
    <w:p>
      <w:pPr>
        <w:tabs>
          <w:tab w:val="left" w:pos="7560"/>
        </w:tabs>
        <w:spacing w:line="360" w:lineRule="auto"/>
        <w:rPr>
          <w:rFonts w:ascii="宋体" w:hAnsi="宋体" w:eastAsia="宋体"/>
          <w:szCs w:val="21"/>
        </w:rPr>
      </w:pPr>
      <w:r>
        <w:rPr>
          <w:rFonts w:hint="eastAsia" w:ascii="宋体" w:hAnsi="宋体" w:eastAsia="宋体"/>
          <w:szCs w:val="21"/>
        </w:rPr>
        <w:t>1.营业执照复印件；</w:t>
      </w:r>
      <w:r>
        <w:rPr>
          <w:rFonts w:hint="eastAsia" w:ascii="宋体" w:hAnsi="宋体" w:eastAsia="宋体"/>
          <w:szCs w:val="21"/>
        </w:rPr>
        <w:br w:type="textWrapping"/>
      </w:r>
      <w:r>
        <w:rPr>
          <w:rFonts w:hint="eastAsia" w:ascii="宋体" w:hAnsi="宋体" w:eastAsia="宋体"/>
          <w:szCs w:val="21"/>
        </w:rPr>
        <w:t>2.投标人工商信息查询截图复印件；（要求体现经营范围）</w:t>
      </w:r>
      <w:r>
        <w:rPr>
          <w:rFonts w:hint="eastAsia" w:ascii="宋体" w:hAnsi="宋体" w:eastAsia="宋体"/>
          <w:szCs w:val="21"/>
        </w:rPr>
        <w:br w:type="textWrapping"/>
      </w:r>
      <w:r>
        <w:rPr>
          <w:rFonts w:hint="eastAsia" w:ascii="宋体" w:hAnsi="宋体" w:eastAsia="宋体"/>
          <w:szCs w:val="21"/>
        </w:rPr>
        <w:t>3.投标人有效期内的</w:t>
      </w:r>
      <w:r>
        <w:rPr>
          <w:rFonts w:hint="eastAsia" w:ascii="宋体" w:hAnsi="宋体" w:eastAsia="宋体" w:cs="仿宋"/>
          <w:color w:val="000000"/>
          <w:szCs w:val="21"/>
        </w:rPr>
        <w:t>国家测绘地理信息局颁发的丙级及以上测绘资质证明资料</w:t>
      </w:r>
      <w:r>
        <w:rPr>
          <w:rFonts w:hint="eastAsia" w:ascii="宋体" w:hAnsi="宋体" w:eastAsia="宋体"/>
          <w:szCs w:val="21"/>
        </w:rPr>
        <w:t>复印件；</w:t>
      </w:r>
    </w:p>
    <w:p>
      <w:pPr>
        <w:tabs>
          <w:tab w:val="left" w:pos="7560"/>
        </w:tabs>
        <w:spacing w:line="360" w:lineRule="auto"/>
        <w:rPr>
          <w:rFonts w:ascii="宋体" w:hAnsi="宋体" w:eastAsia="宋体"/>
          <w:szCs w:val="21"/>
        </w:rPr>
      </w:pPr>
      <w:r>
        <w:rPr>
          <w:rFonts w:ascii="宋体" w:hAnsi="宋体" w:eastAsia="宋体"/>
          <w:szCs w:val="21"/>
        </w:rPr>
        <w:t>4.</w:t>
      </w:r>
      <w:r>
        <w:rPr>
          <w:rFonts w:hint="eastAsia" w:ascii="宋体" w:hAnsi="宋体" w:eastAsia="宋体"/>
          <w:szCs w:val="21"/>
        </w:rPr>
        <w:t>投标人拟派担任本项目负责人的相关专业及中级工程师及以上资格证明资料复印件；</w:t>
      </w:r>
      <w:r>
        <w:rPr>
          <w:rFonts w:hint="eastAsia" w:ascii="宋体" w:hAnsi="宋体" w:eastAsia="宋体"/>
          <w:szCs w:val="21"/>
        </w:rPr>
        <w:br w:type="textWrapping"/>
      </w:r>
      <w:r>
        <w:rPr>
          <w:rFonts w:ascii="宋体" w:hAnsi="宋体" w:eastAsia="宋体"/>
          <w:szCs w:val="21"/>
        </w:rPr>
        <w:t>5</w:t>
      </w:r>
      <w:r>
        <w:rPr>
          <w:rFonts w:hint="eastAsia" w:ascii="宋体" w:hAnsi="宋体" w:eastAsia="宋体"/>
          <w:szCs w:val="21"/>
        </w:rPr>
        <w:t>.投标人近三年内没有骗取中标和严重违约、安全事故的承诺函。（格式自拟）</w:t>
      </w:r>
      <w:r>
        <w:rPr>
          <w:rFonts w:hint="eastAsia" w:ascii="宋体" w:hAnsi="宋体" w:eastAsia="宋体"/>
          <w:szCs w:val="21"/>
        </w:rPr>
        <w:br w:type="textWrapping"/>
      </w:r>
    </w:p>
    <w:p>
      <w:pPr>
        <w:tabs>
          <w:tab w:val="left" w:pos="7560"/>
        </w:tabs>
        <w:spacing w:line="360" w:lineRule="auto"/>
        <w:rPr>
          <w:rFonts w:ascii="宋体" w:hAnsi="宋体" w:eastAsia="宋体"/>
          <w:color w:val="000000"/>
          <w:szCs w:val="21"/>
        </w:rPr>
      </w:pPr>
      <w:r>
        <w:rPr>
          <w:rFonts w:hint="eastAsia" w:ascii="宋体" w:hAnsi="宋体" w:eastAsia="宋体"/>
          <w:szCs w:val="21"/>
        </w:rPr>
        <w:t>※以上文件均需加盖公章，原</w:t>
      </w:r>
      <w:r>
        <w:rPr>
          <w:rFonts w:ascii="宋体" w:hAnsi="宋体" w:eastAsia="宋体"/>
          <w:szCs w:val="21"/>
        </w:rPr>
        <w:t>件备查</w:t>
      </w:r>
      <w:r>
        <w:rPr>
          <w:rFonts w:hint="eastAsia" w:ascii="宋体" w:hAnsi="宋体" w:eastAsia="宋体"/>
          <w:szCs w:val="21"/>
        </w:rPr>
        <w:t>。</w:t>
      </w:r>
    </w:p>
    <w:p>
      <w:pPr>
        <w:tabs>
          <w:tab w:val="left" w:pos="7560"/>
        </w:tabs>
        <w:spacing w:line="360" w:lineRule="auto"/>
        <w:jc w:val="center"/>
        <w:rPr>
          <w:rFonts w:ascii="宋体" w:hAnsi="宋体" w:eastAsia="宋体"/>
          <w:color w:val="000000"/>
          <w:szCs w:val="21"/>
        </w:rPr>
      </w:pPr>
    </w:p>
    <w:p>
      <w:pPr>
        <w:tabs>
          <w:tab w:val="left" w:pos="7560"/>
        </w:tabs>
        <w:spacing w:line="360" w:lineRule="auto"/>
        <w:jc w:val="center"/>
        <w:rPr>
          <w:rFonts w:ascii="宋体" w:hAnsi="宋体" w:eastAsia="宋体"/>
          <w:color w:val="000000"/>
          <w:szCs w:val="21"/>
        </w:rPr>
      </w:pPr>
    </w:p>
    <w:p>
      <w:pPr>
        <w:tabs>
          <w:tab w:val="left" w:pos="7560"/>
        </w:tabs>
        <w:spacing w:line="360" w:lineRule="auto"/>
        <w:jc w:val="center"/>
        <w:rPr>
          <w:rFonts w:ascii="宋体" w:hAnsi="宋体" w:eastAsia="宋体"/>
          <w:color w:val="000000"/>
          <w:szCs w:val="21"/>
        </w:rPr>
      </w:pPr>
    </w:p>
    <w:p>
      <w:pPr>
        <w:tabs>
          <w:tab w:val="left" w:pos="7560"/>
        </w:tabs>
        <w:spacing w:line="360" w:lineRule="auto"/>
        <w:jc w:val="center"/>
        <w:rPr>
          <w:rFonts w:ascii="宋体" w:hAnsi="宋体" w:eastAsia="宋体"/>
          <w:color w:val="000000"/>
          <w:szCs w:val="21"/>
        </w:rPr>
      </w:pPr>
    </w:p>
    <w:p>
      <w:pPr>
        <w:tabs>
          <w:tab w:val="left" w:pos="7560"/>
        </w:tabs>
        <w:spacing w:line="360" w:lineRule="auto"/>
        <w:jc w:val="left"/>
        <w:rPr>
          <w:rFonts w:ascii="宋体" w:hAnsi="宋体" w:eastAsia="宋体"/>
          <w:color w:val="000000"/>
          <w:szCs w:val="21"/>
        </w:rPr>
      </w:pPr>
      <w:r>
        <w:rPr>
          <w:rFonts w:hint="eastAsia" w:ascii="宋体" w:hAnsi="宋体" w:eastAsia="宋体"/>
          <w:szCs w:val="21"/>
        </w:rPr>
        <w:br w:type="page"/>
      </w: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4</w:t>
      </w:r>
      <w:r>
        <w:rPr>
          <w:rFonts w:hint="eastAsia" w:ascii="宋体" w:hAnsi="宋体" w:eastAsia="宋体"/>
          <w:color w:val="000000"/>
          <w:szCs w:val="21"/>
        </w:rPr>
        <w:t>：</w:t>
      </w:r>
    </w:p>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投标人基本情况介绍及登记表</w:t>
      </w:r>
    </w:p>
    <w:p>
      <w:pPr>
        <w:tabs>
          <w:tab w:val="left" w:pos="7560"/>
        </w:tabs>
        <w:spacing w:line="360" w:lineRule="auto"/>
        <w:ind w:firstLine="420" w:firstLineChars="200"/>
        <w:rPr>
          <w:rFonts w:ascii="宋体" w:hAnsi="宋体" w:eastAsia="宋体"/>
          <w:color w:val="000000"/>
          <w:szCs w:val="21"/>
        </w:rPr>
      </w:pP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一、投标人组织机构和法律地位：</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1、企业名称：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2、成立（注册）日期及地点：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3、企业组织机构代码证编号：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4、企业法人代表人：</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姓名： </w:t>
      </w:r>
      <w:r>
        <w:rPr>
          <w:rFonts w:hint="eastAsia" w:ascii="宋体" w:hAnsi="宋体" w:eastAsia="宋体"/>
          <w:color w:val="000000"/>
          <w:szCs w:val="21"/>
          <w:u w:val="single"/>
        </w:rPr>
        <w:t xml:space="preserve">          </w:t>
      </w:r>
      <w:r>
        <w:rPr>
          <w:rFonts w:hint="eastAsia" w:ascii="宋体" w:hAnsi="宋体" w:eastAsia="宋体"/>
          <w:color w:val="000000"/>
          <w:szCs w:val="21"/>
        </w:rPr>
        <w:t>职务：</w:t>
      </w:r>
      <w:r>
        <w:rPr>
          <w:rFonts w:hint="eastAsia" w:ascii="宋体" w:hAnsi="宋体" w:eastAsia="宋体"/>
          <w:color w:val="000000"/>
          <w:szCs w:val="21"/>
          <w:u w:val="single"/>
        </w:rPr>
        <w:t xml:space="preserve">            </w:t>
      </w:r>
      <w:r>
        <w:rPr>
          <w:rFonts w:hint="eastAsia" w:ascii="宋体" w:hAnsi="宋体" w:eastAsia="宋体"/>
          <w:color w:val="000000"/>
          <w:szCs w:val="21"/>
        </w:rPr>
        <w:t>电话 ：</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5、招标采购业务联系人：</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姓名： </w:t>
      </w:r>
      <w:r>
        <w:rPr>
          <w:rFonts w:hint="eastAsia" w:ascii="宋体" w:hAnsi="宋体" w:eastAsia="宋体"/>
          <w:color w:val="000000"/>
          <w:szCs w:val="21"/>
          <w:u w:val="single"/>
        </w:rPr>
        <w:t xml:space="preserve">          </w:t>
      </w:r>
      <w:r>
        <w:rPr>
          <w:rFonts w:hint="eastAsia" w:ascii="宋体" w:hAnsi="宋体" w:eastAsia="宋体"/>
          <w:color w:val="000000"/>
          <w:szCs w:val="21"/>
        </w:rPr>
        <w:t>职务：</w:t>
      </w:r>
      <w:r>
        <w:rPr>
          <w:rFonts w:hint="eastAsia" w:ascii="宋体" w:hAnsi="宋体" w:eastAsia="宋体"/>
          <w:color w:val="000000"/>
          <w:szCs w:val="21"/>
          <w:u w:val="single"/>
        </w:rPr>
        <w:t xml:space="preserve">            </w:t>
      </w:r>
      <w:r>
        <w:rPr>
          <w:rFonts w:hint="eastAsia" w:ascii="宋体" w:hAnsi="宋体" w:eastAsia="宋体"/>
          <w:color w:val="000000"/>
          <w:szCs w:val="21"/>
        </w:rPr>
        <w:t>电话：</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                 手机：</w:t>
      </w:r>
      <w:r>
        <w:rPr>
          <w:rFonts w:hint="eastAsia" w:ascii="宋体" w:hAnsi="宋体" w:eastAsia="宋体"/>
          <w:color w:val="000000"/>
          <w:szCs w:val="21"/>
          <w:u w:val="single"/>
        </w:rPr>
        <w:t xml:space="preserve">            </w:t>
      </w:r>
      <w:r>
        <w:rPr>
          <w:rFonts w:hint="eastAsia" w:ascii="宋体" w:hAnsi="宋体" w:eastAsia="宋体"/>
          <w:color w:val="000000"/>
          <w:szCs w:val="21"/>
        </w:rPr>
        <w:t>传真：</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u w:val="single"/>
        </w:rPr>
      </w:pPr>
      <w:r>
        <w:rPr>
          <w:rFonts w:hint="eastAsia" w:ascii="宋体" w:hAnsi="宋体" w:eastAsia="宋体"/>
          <w:color w:val="000000"/>
          <w:szCs w:val="21"/>
        </w:rPr>
        <w:t>6、邮政编码：</w:t>
      </w:r>
      <w:r>
        <w:rPr>
          <w:rFonts w:hint="eastAsia" w:ascii="宋体" w:hAnsi="宋体" w:eastAsia="宋体"/>
          <w:color w:val="000000"/>
          <w:szCs w:val="21"/>
          <w:u w:val="single"/>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7、通信地址：</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二、投标人财务状况：</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1、注册资本：</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2、实收资本：</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3、近期资产负债表：</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（1）固定资产：</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     原值：</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 xml:space="preserve">     净值：</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（2）流动资金：</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（3）长期负债：</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（4）短期负债：</w:t>
      </w:r>
      <w:r>
        <w:rPr>
          <w:rFonts w:hint="eastAsia" w:ascii="宋体" w:hAnsi="宋体" w:eastAsia="宋体"/>
          <w:color w:val="000000"/>
          <w:szCs w:val="21"/>
          <w:u w:val="single"/>
        </w:rPr>
        <w:t xml:space="preserve">                     </w:t>
      </w:r>
      <w:r>
        <w:rPr>
          <w:rFonts w:hint="eastAsia" w:ascii="宋体" w:hAnsi="宋体" w:eastAsia="宋体"/>
          <w:color w:val="000000"/>
          <w:szCs w:val="21"/>
        </w:rPr>
        <w:t xml:space="preserve">                                         </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4、最近三年的营业额分别为：</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5、财务资信：</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6、AAA级企业信用等级证书：</w:t>
      </w:r>
    </w:p>
    <w:p>
      <w:pPr>
        <w:tabs>
          <w:tab w:val="left" w:pos="7560"/>
        </w:tabs>
        <w:spacing w:line="360" w:lineRule="auto"/>
        <w:ind w:firstLine="420" w:firstLineChars="200"/>
        <w:rPr>
          <w:rFonts w:ascii="宋体" w:hAnsi="宋体" w:eastAsia="宋体"/>
          <w:color w:val="000000"/>
          <w:szCs w:val="21"/>
        </w:rPr>
      </w:pPr>
      <w:r>
        <w:rPr>
          <w:rFonts w:hint="eastAsia" w:ascii="宋体" w:hAnsi="宋体" w:eastAsia="宋体"/>
          <w:color w:val="000000"/>
          <w:szCs w:val="21"/>
        </w:rPr>
        <w:t>三、投标人目前涉及的诉讼案或仲裁的情况（如有如实填写）</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23"/>
        <w:gridCol w:w="3045"/>
        <w:gridCol w:w="2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2923"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涉及的另一方或另几方</w:t>
            </w:r>
          </w:p>
        </w:tc>
        <w:tc>
          <w:tcPr>
            <w:tcW w:w="3045"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left="-34" w:leftChars="-62" w:hanging="96" w:hangingChars="46"/>
              <w:jc w:val="center"/>
              <w:rPr>
                <w:rFonts w:ascii="宋体" w:hAnsi="宋体" w:eastAsia="宋体"/>
                <w:color w:val="000000"/>
                <w:szCs w:val="21"/>
              </w:rPr>
            </w:pPr>
            <w:r>
              <w:rPr>
                <w:rFonts w:hint="eastAsia" w:ascii="宋体" w:hAnsi="宋体" w:eastAsia="宋体"/>
                <w:color w:val="000000"/>
                <w:szCs w:val="21"/>
              </w:rPr>
              <w:t>争端的原因</w:t>
            </w:r>
          </w:p>
        </w:tc>
        <w:tc>
          <w:tcPr>
            <w:tcW w:w="2094"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left="-19" w:leftChars="-34" w:hanging="52" w:hangingChars="25"/>
              <w:jc w:val="center"/>
              <w:rPr>
                <w:rFonts w:ascii="宋体" w:hAnsi="宋体" w:eastAsia="宋体"/>
                <w:color w:val="000000"/>
                <w:szCs w:val="21"/>
              </w:rPr>
            </w:pPr>
            <w:r>
              <w:rPr>
                <w:rFonts w:hint="eastAsia" w:ascii="宋体" w:hAnsi="宋体" w:eastAsia="宋体"/>
                <w:color w:val="000000"/>
                <w:szCs w:val="21"/>
              </w:rPr>
              <w:t>涉及的金额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2923"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3045"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2094"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bl>
    <w:p>
      <w:pPr>
        <w:tabs>
          <w:tab w:val="left" w:pos="7560"/>
        </w:tabs>
        <w:spacing w:line="360" w:lineRule="auto"/>
        <w:rPr>
          <w:rFonts w:ascii="宋体" w:hAnsi="宋体" w:eastAsia="宋体"/>
          <w:color w:val="000000"/>
          <w:szCs w:val="21"/>
        </w:rPr>
      </w:pPr>
    </w:p>
    <w:p>
      <w:pPr>
        <w:tabs>
          <w:tab w:val="left" w:pos="7560"/>
        </w:tabs>
        <w:spacing w:line="360" w:lineRule="auto"/>
        <w:ind w:firstLine="1470" w:firstLineChars="700"/>
        <w:rPr>
          <w:rFonts w:ascii="宋体" w:hAnsi="宋体" w:eastAsia="宋体"/>
          <w:color w:val="000000"/>
          <w:szCs w:val="21"/>
        </w:rPr>
      </w:pPr>
      <w:r>
        <w:rPr>
          <w:rFonts w:hint="eastAsia" w:ascii="宋体" w:hAnsi="宋体" w:eastAsia="宋体"/>
          <w:color w:val="000000"/>
          <w:szCs w:val="21"/>
        </w:rPr>
        <w:t>投标人（盖章）：</w:t>
      </w:r>
      <w:r>
        <w:rPr>
          <w:rFonts w:hint="eastAsia" w:ascii="宋体" w:hAnsi="宋体" w:eastAsia="宋体"/>
          <w:color w:val="000000"/>
          <w:szCs w:val="21"/>
          <w:u w:val="single"/>
        </w:rPr>
        <w:t xml:space="preserve">                                </w:t>
      </w:r>
    </w:p>
    <w:p>
      <w:pPr>
        <w:tabs>
          <w:tab w:val="left" w:pos="7560"/>
        </w:tabs>
        <w:spacing w:line="360" w:lineRule="auto"/>
        <w:ind w:firstLine="1470" w:firstLineChars="700"/>
        <w:rPr>
          <w:rFonts w:ascii="宋体" w:hAnsi="宋体" w:eastAsia="宋体"/>
          <w:color w:val="000000"/>
          <w:szCs w:val="21"/>
        </w:rPr>
      </w:pPr>
      <w:r>
        <w:rPr>
          <w:rFonts w:hint="eastAsia" w:ascii="宋体" w:hAnsi="宋体" w:eastAsia="宋体"/>
          <w:color w:val="000000"/>
          <w:szCs w:val="21"/>
        </w:rPr>
        <w:t>日期：</w:t>
      </w:r>
      <w:r>
        <w:rPr>
          <w:rFonts w:hint="eastAsia" w:ascii="宋体" w:hAnsi="宋体" w:eastAsia="宋体"/>
          <w:color w:val="000000"/>
          <w:szCs w:val="21"/>
          <w:u w:val="single"/>
        </w:rPr>
        <w:t xml:space="preserve">         </w:t>
      </w:r>
      <w:r>
        <w:rPr>
          <w:rFonts w:hint="eastAsia" w:ascii="宋体" w:hAnsi="宋体" w:eastAsia="宋体"/>
          <w:color w:val="000000"/>
          <w:szCs w:val="21"/>
        </w:rPr>
        <w:t>年</w:t>
      </w:r>
      <w:r>
        <w:rPr>
          <w:rFonts w:hint="eastAsia" w:ascii="宋体" w:hAnsi="宋体" w:eastAsia="宋体"/>
          <w:color w:val="000000"/>
          <w:szCs w:val="21"/>
          <w:u w:val="single"/>
        </w:rPr>
        <w:t xml:space="preserve">    </w:t>
      </w:r>
      <w:r>
        <w:rPr>
          <w:rFonts w:hint="eastAsia" w:ascii="宋体" w:hAnsi="宋体" w:eastAsia="宋体"/>
          <w:color w:val="000000"/>
          <w:szCs w:val="21"/>
        </w:rPr>
        <w:t>月</w:t>
      </w:r>
      <w:r>
        <w:rPr>
          <w:rFonts w:hint="eastAsia" w:ascii="宋体" w:hAnsi="宋体" w:eastAsia="宋体"/>
          <w:color w:val="000000"/>
          <w:szCs w:val="21"/>
          <w:u w:val="single"/>
        </w:rPr>
        <w:t xml:space="preserve">    </w:t>
      </w:r>
      <w:r>
        <w:rPr>
          <w:rFonts w:hint="eastAsia" w:ascii="宋体" w:hAnsi="宋体" w:eastAsia="宋体"/>
          <w:color w:val="000000"/>
          <w:szCs w:val="21"/>
        </w:rPr>
        <w:t>日</w:t>
      </w:r>
    </w:p>
    <w:p>
      <w:pPr>
        <w:tabs>
          <w:tab w:val="left" w:pos="7560"/>
        </w:tabs>
        <w:spacing w:line="360" w:lineRule="auto"/>
        <w:rPr>
          <w:rFonts w:ascii="宋体" w:hAnsi="宋体" w:eastAsia="宋体"/>
          <w:color w:val="000000"/>
          <w:szCs w:val="21"/>
        </w:rPr>
        <w:sectPr>
          <w:pgSz w:w="11906" w:h="16838"/>
          <w:pgMar w:top="1418" w:right="1418" w:bottom="1361" w:left="1418" w:header="851" w:footer="992" w:gutter="0"/>
          <w:pgNumType w:fmt="numberInDash"/>
          <w:cols w:space="720" w:num="1"/>
          <w:docGrid w:linePitch="312" w:charSpace="0"/>
        </w:sectPr>
      </w:pPr>
    </w:p>
    <w:p>
      <w:pPr>
        <w:tabs>
          <w:tab w:val="left" w:pos="7560"/>
        </w:tabs>
        <w:spacing w:line="360" w:lineRule="auto"/>
        <w:rPr>
          <w:rFonts w:ascii="宋体" w:hAnsi="宋体" w:eastAsia="宋体"/>
          <w:color w:val="000000"/>
          <w:szCs w:val="21"/>
        </w:rPr>
      </w:pP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5</w:t>
      </w:r>
      <w:r>
        <w:rPr>
          <w:rFonts w:hint="eastAsia" w:ascii="宋体" w:hAnsi="宋体" w:eastAsia="宋体"/>
          <w:color w:val="000000"/>
          <w:szCs w:val="21"/>
        </w:rPr>
        <w:t>：</w:t>
      </w:r>
    </w:p>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投标服务</w:t>
      </w:r>
      <w:r>
        <w:rPr>
          <w:rFonts w:ascii="宋体" w:hAnsi="宋体" w:eastAsia="宋体"/>
          <w:color w:val="000000"/>
          <w:szCs w:val="21"/>
        </w:rPr>
        <w:t>项目</w:t>
      </w:r>
      <w:r>
        <w:rPr>
          <w:rFonts w:hint="eastAsia" w:ascii="宋体" w:hAnsi="宋体" w:eastAsia="宋体"/>
          <w:color w:val="000000"/>
          <w:szCs w:val="21"/>
        </w:rPr>
        <w:t>业绩表</w:t>
      </w:r>
    </w:p>
    <w:p>
      <w:pPr>
        <w:tabs>
          <w:tab w:val="left" w:pos="7560"/>
        </w:tabs>
        <w:spacing w:line="360" w:lineRule="auto"/>
        <w:jc w:val="center"/>
        <w:rPr>
          <w:rFonts w:ascii="宋体" w:hAnsi="宋体" w:eastAsia="宋体"/>
          <w:color w:val="000000"/>
          <w:szCs w:val="21"/>
        </w:rPr>
      </w:pP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投标人（盖章）：</w:t>
      </w:r>
      <w:r>
        <w:rPr>
          <w:rFonts w:hint="eastAsia" w:ascii="宋体" w:hAnsi="宋体" w:eastAsia="宋体"/>
          <w:color w:val="000000"/>
          <w:szCs w:val="21"/>
          <w:u w:val="single"/>
        </w:rPr>
        <w:t xml:space="preserve">                                </w:t>
      </w:r>
    </w:p>
    <w:tbl>
      <w:tblPr>
        <w:tblStyle w:val="40"/>
        <w:tblW w:w="9424" w:type="dxa"/>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71"/>
        <w:gridCol w:w="1559"/>
        <w:gridCol w:w="1559"/>
        <w:gridCol w:w="1418"/>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项</w:t>
            </w:r>
            <w:r>
              <w:rPr>
                <w:rFonts w:ascii="宋体" w:hAnsi="宋体" w:eastAsia="宋体"/>
                <w:color w:val="000000"/>
                <w:szCs w:val="21"/>
              </w:rPr>
              <w:t>目名称</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服务次</w:t>
            </w:r>
            <w:r>
              <w:rPr>
                <w:rFonts w:ascii="宋体" w:hAnsi="宋体" w:eastAsia="宋体"/>
                <w:color w:val="000000"/>
                <w:szCs w:val="21"/>
              </w:rPr>
              <w:t>数</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使用单位</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使用时间</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471"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7560"/>
              </w:tabs>
              <w:spacing w:line="360" w:lineRule="auto"/>
              <w:ind w:firstLine="420" w:firstLineChars="200"/>
              <w:rPr>
                <w:rFonts w:ascii="宋体" w:hAnsi="宋体" w:eastAsia="宋体"/>
                <w:color w:val="000000"/>
                <w:szCs w:val="21"/>
              </w:rPr>
            </w:pPr>
          </w:p>
        </w:tc>
      </w:tr>
    </w:tbl>
    <w:p>
      <w:pPr>
        <w:tabs>
          <w:tab w:val="left" w:pos="7560"/>
        </w:tabs>
        <w:spacing w:line="360" w:lineRule="auto"/>
        <w:rPr>
          <w:rFonts w:ascii="宋体" w:hAnsi="宋体" w:eastAsia="宋体"/>
          <w:color w:val="000000"/>
          <w:szCs w:val="21"/>
        </w:rPr>
      </w:pPr>
    </w:p>
    <w:p>
      <w:pPr>
        <w:tabs>
          <w:tab w:val="left" w:pos="7560"/>
        </w:tabs>
        <w:spacing w:line="360" w:lineRule="auto"/>
        <w:rPr>
          <w:rFonts w:ascii="宋体" w:hAnsi="宋体" w:eastAsia="宋体" w:cs="宋体"/>
          <w:color w:val="000000"/>
          <w:lang w:val="zh-CN"/>
        </w:rPr>
      </w:pPr>
      <w:r>
        <w:rPr>
          <w:rFonts w:hint="eastAsia" w:ascii="宋体" w:hAnsi="宋体" w:eastAsia="宋体"/>
          <w:color w:val="000000"/>
          <w:szCs w:val="21"/>
        </w:rPr>
        <w:t>注：须提供</w:t>
      </w:r>
      <w:r>
        <w:rPr>
          <w:rFonts w:hint="eastAsia" w:ascii="宋体" w:hAnsi="宋体" w:eastAsia="宋体" w:cs="宋体"/>
          <w:color w:val="000000"/>
          <w:lang w:val="zh-CN"/>
        </w:rPr>
        <w:t>近3年（以投标截止日倒算）以来投</w:t>
      </w:r>
      <w:r>
        <w:rPr>
          <w:rFonts w:ascii="宋体" w:hAnsi="宋体" w:eastAsia="宋体" w:cs="宋体"/>
          <w:color w:val="000000"/>
          <w:lang w:val="zh-CN"/>
        </w:rPr>
        <w:t>标人</w:t>
      </w:r>
      <w:r>
        <w:rPr>
          <w:rFonts w:hint="eastAsia" w:ascii="宋体" w:hAnsi="宋体" w:eastAsia="宋体" w:cs="仿宋"/>
          <w:szCs w:val="21"/>
        </w:rPr>
        <w:t>与全国范围内供水能力大于2</w:t>
      </w:r>
      <w:r>
        <w:rPr>
          <w:rFonts w:ascii="宋体" w:hAnsi="宋体" w:eastAsia="宋体" w:cs="仿宋"/>
          <w:szCs w:val="21"/>
        </w:rPr>
        <w:t>0万m³/天供水企业</w:t>
      </w:r>
      <w:r>
        <w:rPr>
          <w:rFonts w:hint="eastAsia" w:ascii="宋体" w:hAnsi="宋体" w:eastAsia="宋体" w:cs="宋体"/>
          <w:color w:val="000000"/>
          <w:lang w:val="zh-CN"/>
        </w:rPr>
        <w:t>签订的供水管网检漏合同。提供相应合同关键页复印件加盖公章。</w:t>
      </w:r>
    </w:p>
    <w:p>
      <w:pPr>
        <w:tabs>
          <w:tab w:val="left" w:pos="7560"/>
        </w:tabs>
        <w:spacing w:line="360" w:lineRule="auto"/>
        <w:rPr>
          <w:rFonts w:ascii="宋体" w:hAnsi="宋体" w:eastAsia="宋体"/>
          <w:color w:val="000000"/>
          <w:szCs w:val="21"/>
        </w:rPr>
      </w:pPr>
      <w:r>
        <w:rPr>
          <w:rFonts w:hint="eastAsia" w:ascii="宋体" w:hAnsi="宋体" w:eastAsia="宋体"/>
          <w:szCs w:val="21"/>
        </w:rPr>
        <w:br w:type="page"/>
      </w:r>
      <w:r>
        <w:rPr>
          <w:rFonts w:hint="eastAsia" w:ascii="宋体" w:hAnsi="宋体" w:eastAsia="宋体"/>
          <w:szCs w:val="21"/>
        </w:rPr>
        <w:t>商</w:t>
      </w:r>
      <w:r>
        <w:rPr>
          <w:rFonts w:ascii="宋体" w:hAnsi="宋体" w:eastAsia="宋体"/>
          <w:szCs w:val="21"/>
        </w:rPr>
        <w:t>务标附</w:t>
      </w:r>
      <w:r>
        <w:rPr>
          <w:rFonts w:hint="eastAsia" w:ascii="宋体" w:hAnsi="宋体" w:eastAsia="宋体"/>
          <w:szCs w:val="21"/>
        </w:rPr>
        <w:t>表</w:t>
      </w:r>
      <w:r>
        <w:rPr>
          <w:rFonts w:ascii="宋体" w:hAnsi="宋体" w:eastAsia="宋体"/>
          <w:szCs w:val="21"/>
        </w:rPr>
        <w:t>6</w:t>
      </w:r>
      <w:r>
        <w:rPr>
          <w:rFonts w:hint="eastAsia" w:ascii="宋体" w:hAnsi="宋体" w:eastAsia="宋体"/>
          <w:color w:val="000000"/>
          <w:szCs w:val="21"/>
        </w:rPr>
        <w:t>：</w:t>
      </w:r>
    </w:p>
    <w:p>
      <w:pPr>
        <w:spacing w:line="360" w:lineRule="auto"/>
        <w:ind w:firstLine="420" w:firstLineChars="200"/>
        <w:jc w:val="center"/>
        <w:rPr>
          <w:rFonts w:ascii="宋体" w:hAnsi="宋体" w:eastAsia="宋体"/>
          <w:szCs w:val="21"/>
        </w:rPr>
      </w:pPr>
      <w:r>
        <w:rPr>
          <w:rFonts w:hint="eastAsia" w:ascii="宋体" w:hAnsi="宋体" w:eastAsia="宋体"/>
          <w:szCs w:val="21"/>
        </w:rPr>
        <w:t>探漏仪器设备一览表</w:t>
      </w:r>
    </w:p>
    <w:p>
      <w:pPr>
        <w:tabs>
          <w:tab w:val="left" w:pos="7560"/>
        </w:tabs>
        <w:spacing w:line="360" w:lineRule="auto"/>
        <w:jc w:val="center"/>
        <w:rPr>
          <w:rFonts w:ascii="宋体" w:hAnsi="宋体" w:eastAsia="宋体"/>
          <w:szCs w:val="21"/>
        </w:rPr>
      </w:pP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投标人（盖章）：</w:t>
      </w:r>
      <w:r>
        <w:rPr>
          <w:rFonts w:hint="eastAsia" w:ascii="宋体" w:hAnsi="宋体" w:eastAsia="宋体"/>
          <w:color w:val="000000"/>
          <w:szCs w:val="21"/>
          <w:u w:val="single"/>
        </w:rPr>
        <w:t xml:space="preserve">                                </w:t>
      </w:r>
    </w:p>
    <w:tbl>
      <w:tblPr>
        <w:tblStyle w:val="40"/>
        <w:tblW w:w="0" w:type="auto"/>
        <w:tblInd w:w="108" w:type="dxa"/>
        <w:tblLayout w:type="fixed"/>
        <w:tblCellMar>
          <w:top w:w="0" w:type="dxa"/>
          <w:left w:w="54" w:type="dxa"/>
          <w:bottom w:w="0" w:type="dxa"/>
          <w:right w:w="54" w:type="dxa"/>
        </w:tblCellMar>
      </w:tblPr>
      <w:tblGrid>
        <w:gridCol w:w="448"/>
        <w:gridCol w:w="1034"/>
        <w:gridCol w:w="1038"/>
        <w:gridCol w:w="2700"/>
        <w:gridCol w:w="1080"/>
        <w:gridCol w:w="1260"/>
        <w:gridCol w:w="1440"/>
      </w:tblGrid>
      <w:tr>
        <w:tblPrEx>
          <w:tblCellMar>
            <w:top w:w="0" w:type="dxa"/>
            <w:left w:w="54" w:type="dxa"/>
            <w:bottom w:w="0" w:type="dxa"/>
            <w:right w:w="54" w:type="dxa"/>
          </w:tblCellMar>
        </w:tblPrEx>
        <w:trPr>
          <w:trHeight w:val="402" w:hRule="atLeast"/>
        </w:trPr>
        <w:tc>
          <w:tcPr>
            <w:tcW w:w="44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0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项  目</w:t>
            </w: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型  号</w:t>
            </w: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产    地</w:t>
            </w: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数  量</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性能状况</w:t>
            </w: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购买时间</w:t>
            </w:r>
          </w:p>
        </w:tc>
      </w:tr>
      <w:tr>
        <w:tblPrEx>
          <w:tblCellMar>
            <w:top w:w="0" w:type="dxa"/>
            <w:left w:w="54" w:type="dxa"/>
            <w:bottom w:w="0" w:type="dxa"/>
            <w:right w:w="54" w:type="dxa"/>
          </w:tblCellMar>
        </w:tblPrEx>
        <w:trPr>
          <w:cantSplit/>
          <w:trHeight w:val="320" w:hRule="exact"/>
        </w:trPr>
        <w:tc>
          <w:tcPr>
            <w:tcW w:w="448" w:type="dxa"/>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034" w:type="dxa"/>
            <w:vMerge w:val="restart"/>
            <w:tcBorders>
              <w:top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常用</w:t>
            </w: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034" w:type="dxa"/>
            <w:vMerge w:val="restart"/>
            <w:tcBorders>
              <w:top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基本设备</w:t>
            </w: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034" w:type="dxa"/>
            <w:vMerge w:val="restart"/>
            <w:tcBorders>
              <w:top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w:t>
            </w: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restart"/>
            <w:tcBorders>
              <w:top w:val="single" w:color="auto" w:sz="6" w:space="0"/>
              <w:left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1034" w:type="dxa"/>
            <w:vMerge w:val="restart"/>
            <w:tcBorders>
              <w:top w:val="single" w:color="auto" w:sz="6" w:space="0"/>
              <w:right w:val="single" w:color="auto" w:sz="6"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w:t>
            </w: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r>
        <w:tblPrEx>
          <w:tblCellMar>
            <w:top w:w="0" w:type="dxa"/>
            <w:left w:w="54" w:type="dxa"/>
            <w:bottom w:w="0" w:type="dxa"/>
            <w:right w:w="54" w:type="dxa"/>
          </w:tblCellMar>
        </w:tblPrEx>
        <w:trPr>
          <w:cantSplit/>
          <w:trHeight w:val="320" w:hRule="exact"/>
        </w:trPr>
        <w:tc>
          <w:tcPr>
            <w:tcW w:w="448" w:type="dxa"/>
            <w:vMerge w:val="continue"/>
            <w:tcBorders>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4" w:type="dxa"/>
            <w:vMerge w:val="continue"/>
            <w:tcBorders>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27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Cs w:val="21"/>
              </w:rPr>
            </w:pPr>
          </w:p>
        </w:tc>
      </w:tr>
    </w:tbl>
    <w:p>
      <w:pPr>
        <w:tabs>
          <w:tab w:val="left" w:pos="7560"/>
        </w:tabs>
        <w:spacing w:line="360" w:lineRule="auto"/>
        <w:rPr>
          <w:rFonts w:ascii="宋体" w:hAnsi="宋体" w:eastAsia="宋体"/>
          <w:b/>
        </w:rPr>
      </w:pPr>
    </w:p>
    <w:p>
      <w:pPr>
        <w:tabs>
          <w:tab w:val="left" w:pos="7560"/>
        </w:tabs>
        <w:spacing w:line="360" w:lineRule="auto"/>
        <w:rPr>
          <w:rFonts w:ascii="宋体" w:hAnsi="宋体" w:eastAsia="宋体"/>
          <w:bCs/>
        </w:rPr>
      </w:pPr>
      <w:r>
        <w:rPr>
          <w:rFonts w:hint="eastAsia" w:ascii="宋体" w:hAnsi="宋体" w:eastAsia="宋体"/>
          <w:bCs/>
        </w:rPr>
        <w:t>注：1、如在同一项目中的设备具有多种型号，须在此项目栏中分开填写。</w:t>
      </w:r>
    </w:p>
    <w:p>
      <w:pPr>
        <w:tabs>
          <w:tab w:val="left" w:pos="7560"/>
        </w:tabs>
        <w:spacing w:line="360" w:lineRule="auto"/>
        <w:rPr>
          <w:rFonts w:ascii="宋体" w:hAnsi="宋体" w:eastAsia="宋体"/>
          <w:color w:val="000000"/>
          <w:szCs w:val="21"/>
        </w:rPr>
      </w:pPr>
      <w:r>
        <w:rPr>
          <w:rFonts w:hint="eastAsia" w:ascii="宋体" w:hAnsi="宋体" w:eastAsia="宋体"/>
          <w:bCs/>
        </w:rPr>
        <w:t>2、</w:t>
      </w:r>
      <w:r>
        <w:rPr>
          <w:rFonts w:hint="eastAsia" w:ascii="宋体" w:hAnsi="宋体" w:eastAsia="宋体" w:cs="宋体"/>
          <w:bCs/>
          <w:kern w:val="0"/>
          <w:szCs w:val="21"/>
        </w:rPr>
        <w:t>提供相应发票或合同复印件加盖公章，原件备查。</w:t>
      </w:r>
      <w:r>
        <w:rPr>
          <w:rFonts w:hint="eastAsia" w:ascii="宋体" w:hAnsi="宋体" w:eastAsia="宋体"/>
          <w:color w:val="000000"/>
          <w:szCs w:val="21"/>
          <w:u w:val="single"/>
        </w:rPr>
        <w:br w:type="textWrapping"/>
      </w:r>
      <w:r>
        <w:rPr>
          <w:rFonts w:ascii="宋体" w:hAnsi="宋体" w:eastAsia="宋体"/>
          <w:color w:val="000000"/>
          <w:szCs w:val="21"/>
          <w:u w:val="single"/>
        </w:rPr>
        <w:br w:type="page"/>
      </w:r>
      <w:r>
        <w:rPr>
          <w:rFonts w:hint="eastAsia" w:ascii="宋体" w:hAnsi="宋体" w:eastAsia="宋体"/>
          <w:szCs w:val="21"/>
        </w:rPr>
        <w:t>商</w:t>
      </w:r>
      <w:r>
        <w:rPr>
          <w:rFonts w:ascii="宋体" w:hAnsi="宋体" w:eastAsia="宋体"/>
          <w:szCs w:val="21"/>
        </w:rPr>
        <w:t>务</w:t>
      </w:r>
      <w:r>
        <w:rPr>
          <w:rFonts w:hint="eastAsia" w:ascii="宋体" w:hAnsi="宋体" w:eastAsia="宋体"/>
          <w:color w:val="000000"/>
          <w:szCs w:val="21"/>
        </w:rPr>
        <w:t>标附表</w:t>
      </w:r>
      <w:r>
        <w:rPr>
          <w:rFonts w:ascii="宋体" w:hAnsi="宋体" w:eastAsia="宋体"/>
          <w:color w:val="000000"/>
          <w:szCs w:val="21"/>
        </w:rPr>
        <w:t>7</w:t>
      </w:r>
      <w:r>
        <w:rPr>
          <w:rFonts w:hint="eastAsia" w:ascii="宋体" w:hAnsi="宋体" w:eastAsia="宋体"/>
          <w:color w:val="000000"/>
          <w:szCs w:val="21"/>
        </w:rPr>
        <w:t>：</w:t>
      </w:r>
    </w:p>
    <w:p>
      <w:pPr>
        <w:tabs>
          <w:tab w:val="left" w:pos="7560"/>
        </w:tabs>
        <w:spacing w:line="360" w:lineRule="auto"/>
        <w:jc w:val="center"/>
        <w:rPr>
          <w:rFonts w:ascii="宋体" w:hAnsi="宋体" w:eastAsia="宋体"/>
          <w:color w:val="000000"/>
          <w:szCs w:val="21"/>
        </w:rPr>
      </w:pPr>
      <w:r>
        <w:rPr>
          <w:rFonts w:hint="eastAsia" w:ascii="宋体" w:hAnsi="宋体" w:eastAsia="宋体"/>
          <w:szCs w:val="21"/>
        </w:rPr>
        <w:t>商</w:t>
      </w:r>
      <w:r>
        <w:rPr>
          <w:rFonts w:ascii="宋体" w:hAnsi="宋体" w:eastAsia="宋体"/>
          <w:szCs w:val="21"/>
        </w:rPr>
        <w:t>务</w:t>
      </w:r>
      <w:r>
        <w:rPr>
          <w:rFonts w:hint="eastAsia" w:ascii="宋体" w:hAnsi="宋体" w:eastAsia="宋体"/>
          <w:color w:val="000000"/>
          <w:szCs w:val="21"/>
        </w:rPr>
        <w:t>条款响应偏离表</w:t>
      </w:r>
    </w:p>
    <w:p>
      <w:pPr>
        <w:tabs>
          <w:tab w:val="left" w:pos="7560"/>
        </w:tabs>
        <w:spacing w:line="360" w:lineRule="auto"/>
        <w:rPr>
          <w:rFonts w:ascii="宋体" w:hAnsi="宋体" w:eastAsia="宋体"/>
          <w:color w:val="000000"/>
          <w:szCs w:val="21"/>
        </w:rPr>
      </w:pP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投标人（盖章）：</w:t>
      </w:r>
      <w:r>
        <w:rPr>
          <w:rFonts w:hint="eastAsia" w:ascii="宋体" w:hAnsi="宋体" w:eastAsia="宋体"/>
          <w:color w:val="000000"/>
          <w:szCs w:val="21"/>
          <w:u w:val="single"/>
        </w:rPr>
        <w:t xml:space="preserve">                                </w:t>
      </w:r>
    </w:p>
    <w:tbl>
      <w:tblPr>
        <w:tblStyle w:val="40"/>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470"/>
        <w:gridCol w:w="1470"/>
        <w:gridCol w:w="147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trPr>
        <w:tc>
          <w:tcPr>
            <w:tcW w:w="63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序号</w:t>
            </w:r>
          </w:p>
        </w:tc>
        <w:tc>
          <w:tcPr>
            <w:tcW w:w="147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招标文件    条目号</w:t>
            </w:r>
          </w:p>
        </w:tc>
        <w:tc>
          <w:tcPr>
            <w:tcW w:w="147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招标文件的</w:t>
            </w:r>
          </w:p>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规格或条款</w:t>
            </w:r>
          </w:p>
        </w:tc>
        <w:tc>
          <w:tcPr>
            <w:tcW w:w="147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投标文件的</w:t>
            </w:r>
          </w:p>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规格或条款</w:t>
            </w:r>
          </w:p>
        </w:tc>
        <w:tc>
          <w:tcPr>
            <w:tcW w:w="396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bl>
    <w:p>
      <w:pPr>
        <w:tabs>
          <w:tab w:val="left" w:pos="7560"/>
        </w:tabs>
        <w:spacing w:line="360" w:lineRule="auto"/>
        <w:rPr>
          <w:rFonts w:ascii="宋体" w:hAnsi="宋体" w:eastAsia="宋体"/>
          <w:color w:val="000000"/>
          <w:szCs w:val="21"/>
        </w:rPr>
      </w:pPr>
    </w:p>
    <w:p>
      <w:pPr>
        <w:tabs>
          <w:tab w:val="left" w:pos="7560"/>
        </w:tabs>
        <w:spacing w:line="360" w:lineRule="auto"/>
        <w:rPr>
          <w:rFonts w:ascii="宋体" w:hAnsi="宋体" w:eastAsia="宋体"/>
          <w:color w:val="000000"/>
          <w:szCs w:val="21"/>
          <w:u w:val="single"/>
        </w:rPr>
        <w:sectPr>
          <w:pgSz w:w="11906" w:h="16838"/>
          <w:pgMar w:top="1418" w:right="1418" w:bottom="1361" w:left="1418" w:header="851" w:footer="992" w:gutter="0"/>
          <w:pgNumType w:fmt="numberInDash"/>
          <w:cols w:space="720" w:num="1"/>
          <w:docGrid w:linePitch="312" w:charSpace="0"/>
        </w:sectPr>
      </w:pPr>
      <w:r>
        <w:rPr>
          <w:rFonts w:hint="eastAsia" w:ascii="宋体" w:hAnsi="宋体" w:eastAsia="宋体"/>
          <w:color w:val="000000"/>
          <w:szCs w:val="21"/>
        </w:rPr>
        <w:t>说明：投标人须根据招标文件要求，根据商务要求逐项列明</w:t>
      </w:r>
      <w:r>
        <w:rPr>
          <w:rFonts w:hint="eastAsia"/>
        </w:rPr>
        <w:t>。</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商务标附表</w:t>
      </w:r>
      <w:r>
        <w:rPr>
          <w:rFonts w:ascii="宋体" w:hAnsi="宋体" w:eastAsia="宋体"/>
          <w:color w:val="000000"/>
          <w:szCs w:val="21"/>
        </w:rPr>
        <w:t>8</w:t>
      </w:r>
      <w:r>
        <w:rPr>
          <w:rFonts w:hint="eastAsia" w:ascii="宋体" w:hAnsi="宋体" w:eastAsia="宋体"/>
          <w:color w:val="000000"/>
          <w:szCs w:val="21"/>
        </w:rPr>
        <w:t>：</w:t>
      </w:r>
    </w:p>
    <w:p>
      <w:pPr>
        <w:spacing w:line="360" w:lineRule="auto"/>
        <w:ind w:firstLine="420" w:firstLineChars="200"/>
        <w:jc w:val="center"/>
        <w:rPr>
          <w:rFonts w:ascii="宋体" w:hAnsi="宋体" w:eastAsia="宋体"/>
          <w:szCs w:val="21"/>
        </w:rPr>
      </w:pPr>
      <w:r>
        <w:rPr>
          <w:rFonts w:hint="eastAsia" w:ascii="宋体" w:hAnsi="宋体" w:eastAsia="宋体"/>
          <w:szCs w:val="21"/>
        </w:rPr>
        <w:t>项</w:t>
      </w:r>
      <w:r>
        <w:rPr>
          <w:rFonts w:ascii="宋体" w:hAnsi="宋体" w:eastAsia="宋体"/>
          <w:szCs w:val="21"/>
        </w:rPr>
        <w:t>目实施</w:t>
      </w:r>
      <w:r>
        <w:rPr>
          <w:rFonts w:hint="eastAsia" w:ascii="宋体" w:hAnsi="宋体" w:eastAsia="宋体"/>
          <w:szCs w:val="21"/>
        </w:rPr>
        <w:t>人员及其技术资格一览表</w:t>
      </w:r>
    </w:p>
    <w:p>
      <w:pPr>
        <w:tabs>
          <w:tab w:val="left" w:pos="7560"/>
        </w:tabs>
        <w:spacing w:line="360" w:lineRule="auto"/>
        <w:rPr>
          <w:rFonts w:ascii="宋体" w:hAnsi="宋体" w:eastAsia="宋体"/>
          <w:color w:val="000000"/>
          <w:szCs w:val="21"/>
        </w:rPr>
      </w:pP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投标人（盖章）：</w:t>
      </w:r>
      <w:r>
        <w:rPr>
          <w:rFonts w:hint="eastAsia" w:ascii="宋体" w:hAnsi="宋体" w:eastAsia="宋体"/>
          <w:color w:val="000000"/>
          <w:szCs w:val="21"/>
          <w:u w:val="single"/>
        </w:rPr>
        <w:t xml:space="preserve">                                </w:t>
      </w:r>
    </w:p>
    <w:tbl>
      <w:tblPr>
        <w:tblStyle w:val="40"/>
        <w:tblW w:w="8679" w:type="dxa"/>
        <w:jc w:val="center"/>
        <w:tblLayout w:type="fixed"/>
        <w:tblCellMar>
          <w:top w:w="0" w:type="dxa"/>
          <w:left w:w="108" w:type="dxa"/>
          <w:bottom w:w="0" w:type="dxa"/>
          <w:right w:w="108" w:type="dxa"/>
        </w:tblCellMar>
      </w:tblPr>
      <w:tblGrid>
        <w:gridCol w:w="950"/>
        <w:gridCol w:w="949"/>
        <w:gridCol w:w="949"/>
        <w:gridCol w:w="949"/>
        <w:gridCol w:w="949"/>
        <w:gridCol w:w="1415"/>
        <w:gridCol w:w="1126"/>
        <w:gridCol w:w="1392"/>
      </w:tblGrid>
      <w:tr>
        <w:tblPrEx>
          <w:tblCellMar>
            <w:top w:w="0" w:type="dxa"/>
            <w:left w:w="108" w:type="dxa"/>
            <w:bottom w:w="0" w:type="dxa"/>
            <w:right w:w="108" w:type="dxa"/>
          </w:tblCellMar>
        </w:tblPrEx>
        <w:trPr>
          <w:trHeight w:val="540"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姓名</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职位</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学历</w:t>
            </w:r>
          </w:p>
        </w:tc>
        <w:tc>
          <w:tcPr>
            <w:tcW w:w="1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持何种上岗资格证件</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发证时间</w:t>
            </w: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从事本工作时间</w:t>
            </w: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9</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0</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1</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2</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3</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4</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5</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6</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7</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9" w:hRule="atLeast"/>
          <w:jc w:val="center"/>
        </w:trPr>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8</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94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4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1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Cs w:val="21"/>
              </w:rPr>
            </w:pPr>
          </w:p>
        </w:tc>
        <w:tc>
          <w:tcPr>
            <w:tcW w:w="1392"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bl>
    <w:p>
      <w:pPr>
        <w:spacing w:line="360" w:lineRule="auto"/>
        <w:ind w:left="210"/>
        <w:rPr>
          <w:rFonts w:ascii="宋体" w:hAnsi="宋体" w:eastAsia="宋体"/>
        </w:rPr>
      </w:pPr>
    </w:p>
    <w:p>
      <w:pPr>
        <w:spacing w:line="360" w:lineRule="auto"/>
        <w:rPr>
          <w:rFonts w:ascii="宋体" w:hAnsi="宋体" w:eastAsia="宋体"/>
          <w:b/>
        </w:rPr>
      </w:pPr>
      <w:r>
        <w:rPr>
          <w:rFonts w:hint="eastAsia" w:ascii="宋体" w:hAnsi="宋体" w:eastAsia="宋体"/>
          <w:b/>
        </w:rPr>
        <w:t>注：</w:t>
      </w:r>
    </w:p>
    <w:p>
      <w:pPr>
        <w:tabs>
          <w:tab w:val="left" w:pos="7560"/>
        </w:tabs>
        <w:spacing w:line="360" w:lineRule="auto"/>
        <w:rPr>
          <w:rFonts w:ascii="宋体" w:hAnsi="宋体" w:eastAsia="宋体"/>
          <w:color w:val="000000"/>
          <w:szCs w:val="21"/>
        </w:rPr>
      </w:pPr>
      <w:r>
        <w:rPr>
          <w:rFonts w:hint="eastAsia" w:ascii="宋体" w:hAnsi="宋体" w:eastAsia="宋体" w:cs="宋体"/>
          <w:szCs w:val="21"/>
        </w:rPr>
        <w:t>1、提供本项</w:t>
      </w:r>
      <w:r>
        <w:rPr>
          <w:rFonts w:ascii="宋体" w:hAnsi="宋体" w:eastAsia="宋体" w:cs="宋体"/>
          <w:szCs w:val="21"/>
        </w:rPr>
        <w:t>目</w:t>
      </w:r>
      <w:r>
        <w:rPr>
          <w:rFonts w:ascii="宋体" w:hAnsi="宋体" w:eastAsia="宋体"/>
          <w:szCs w:val="21"/>
        </w:rPr>
        <w:t>实施</w:t>
      </w:r>
      <w:r>
        <w:rPr>
          <w:rFonts w:hint="eastAsia" w:ascii="宋体" w:hAnsi="宋体" w:eastAsia="宋体"/>
          <w:szCs w:val="21"/>
        </w:rPr>
        <w:t>人员</w:t>
      </w:r>
      <w:r>
        <w:rPr>
          <w:rFonts w:hint="eastAsia" w:ascii="宋体" w:hAnsi="宋体" w:eastAsia="宋体" w:cs="仿宋"/>
          <w:szCs w:val="21"/>
        </w:rPr>
        <w:t>社保局出具的近3个月的社保证明、证书、聘用合同、学历证书和其他证明材料</w:t>
      </w:r>
      <w:r>
        <w:rPr>
          <w:rFonts w:hint="eastAsia" w:ascii="宋体" w:hAnsi="宋体" w:eastAsia="宋体" w:cs="宋体"/>
          <w:szCs w:val="21"/>
        </w:rPr>
        <w:t>的</w:t>
      </w:r>
      <w:r>
        <w:rPr>
          <w:rFonts w:hint="eastAsia" w:ascii="宋体" w:hAnsi="宋体" w:eastAsia="宋体" w:cs="宋体"/>
          <w:color w:val="000000"/>
          <w:lang w:val="zh-CN"/>
        </w:rPr>
        <w:t>复印件</w:t>
      </w:r>
      <w:r>
        <w:rPr>
          <w:rFonts w:hint="eastAsia" w:ascii="宋体" w:hAnsi="宋体" w:eastAsia="宋体" w:cs="宋体"/>
          <w:color w:val="000000"/>
        </w:rPr>
        <w:t>加盖公章</w:t>
      </w:r>
      <w:r>
        <w:rPr>
          <w:rFonts w:hint="eastAsia" w:ascii="宋体" w:hAnsi="宋体" w:eastAsia="宋体"/>
        </w:rPr>
        <w:t>。</w:t>
      </w:r>
      <w:r>
        <w:rPr>
          <w:rFonts w:hint="eastAsia" w:ascii="宋体" w:hAnsi="宋体" w:eastAsia="宋体"/>
        </w:rPr>
        <w:br w:type="textWrapping"/>
      </w:r>
      <w:r>
        <w:rPr>
          <w:rFonts w:hint="eastAsia" w:ascii="宋体" w:hAnsi="宋体" w:eastAsia="宋体"/>
        </w:rPr>
        <w:t>2、具体评审标准详见第三章项目评分表。</w:t>
      </w:r>
    </w:p>
    <w:p>
      <w:pPr>
        <w:tabs>
          <w:tab w:val="left" w:pos="7560"/>
        </w:tabs>
        <w:spacing w:line="360" w:lineRule="auto"/>
        <w:rPr>
          <w:rFonts w:ascii="宋体" w:hAnsi="宋体" w:eastAsia="宋体"/>
          <w:color w:val="000000"/>
          <w:szCs w:val="21"/>
        </w:rPr>
      </w:pPr>
    </w:p>
    <w:p>
      <w:pPr>
        <w:pStyle w:val="3"/>
        <w:jc w:val="center"/>
        <w:rPr>
          <w:rFonts w:ascii="宋体" w:hAnsi="宋体"/>
          <w:color w:val="000000"/>
          <w:szCs w:val="21"/>
        </w:rPr>
      </w:pPr>
      <w:r>
        <w:rPr>
          <w:rFonts w:hint="eastAsia" w:ascii="宋体" w:hAnsi="宋体"/>
          <w:color w:val="000000"/>
          <w:szCs w:val="21"/>
        </w:rPr>
        <w:br w:type="page"/>
      </w:r>
      <w:r>
        <w:rPr>
          <w:rFonts w:hint="eastAsia" w:cs="宋体" w:asciiTheme="minorEastAsia" w:hAnsiTheme="minorEastAsia" w:eastAsiaTheme="minorEastAsia"/>
          <w:color w:val="000000" w:themeColor="text1"/>
          <w:sz w:val="21"/>
          <w:szCs w:val="21"/>
          <w14:textFill>
            <w14:solidFill>
              <w14:schemeClr w14:val="tx1"/>
            </w14:solidFill>
          </w14:textFill>
        </w:rPr>
        <w:t>四、技术标</w:t>
      </w:r>
    </w:p>
    <w:p>
      <w:pPr>
        <w:tabs>
          <w:tab w:val="left" w:pos="7560"/>
        </w:tabs>
        <w:spacing w:line="360" w:lineRule="auto"/>
        <w:jc w:val="center"/>
        <w:rPr>
          <w:rFonts w:ascii="宋体" w:hAnsi="宋体" w:eastAsia="宋体"/>
          <w:color w:val="000000"/>
          <w:szCs w:val="21"/>
        </w:rPr>
      </w:pPr>
    </w:p>
    <w:p>
      <w:pPr>
        <w:tabs>
          <w:tab w:val="left" w:pos="7560"/>
        </w:tabs>
        <w:spacing w:line="360" w:lineRule="auto"/>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、针对供水管网探漏的实施方案及针对本项目探漏作业计划的安排（格式自拟）。</w:t>
      </w:r>
    </w:p>
    <w:p>
      <w:pPr>
        <w:tabs>
          <w:tab w:val="left" w:pos="7560"/>
        </w:tabs>
        <w:spacing w:line="360" w:lineRule="auto"/>
        <w:rPr>
          <w:rFonts w:ascii="宋体" w:hAnsi="宋体" w:eastAsia="宋体"/>
          <w:color w:val="000000"/>
          <w:szCs w:val="21"/>
        </w:rPr>
      </w:pPr>
      <w:r>
        <w:rPr>
          <w:rFonts w:ascii="宋体" w:hAnsi="宋体" w:eastAsia="宋体"/>
          <w:color w:val="000000"/>
          <w:szCs w:val="21"/>
        </w:rPr>
        <w:t>2</w:t>
      </w:r>
      <w:r>
        <w:rPr>
          <w:rFonts w:hint="eastAsia" w:ascii="宋体" w:hAnsi="宋体" w:eastAsia="宋体"/>
          <w:color w:val="000000"/>
          <w:szCs w:val="21"/>
        </w:rPr>
        <w:t>、对投标服</w:t>
      </w:r>
      <w:r>
        <w:rPr>
          <w:rFonts w:ascii="宋体" w:hAnsi="宋体" w:eastAsia="宋体"/>
          <w:color w:val="000000"/>
          <w:szCs w:val="21"/>
        </w:rPr>
        <w:t>务</w:t>
      </w:r>
      <w:r>
        <w:rPr>
          <w:rFonts w:hint="eastAsia" w:ascii="宋体" w:hAnsi="宋体" w:eastAsia="宋体"/>
          <w:color w:val="000000"/>
          <w:szCs w:val="21"/>
        </w:rPr>
        <w:t>项</w:t>
      </w:r>
      <w:r>
        <w:rPr>
          <w:rFonts w:ascii="宋体" w:hAnsi="宋体" w:eastAsia="宋体"/>
          <w:color w:val="000000"/>
          <w:szCs w:val="21"/>
        </w:rPr>
        <w:t>目</w:t>
      </w:r>
      <w:r>
        <w:rPr>
          <w:rFonts w:hint="eastAsia" w:ascii="宋体" w:hAnsi="宋体" w:eastAsia="宋体"/>
          <w:color w:val="000000"/>
          <w:szCs w:val="21"/>
        </w:rPr>
        <w:t>技术要求符合性的详细说明，并提供相关材料（格式自拟）。</w:t>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3、质控措施与服务方案，包括投标人的质控措施、工作方法、工作手段、工作流程、服务方案等（格式自拟）。</w:t>
      </w:r>
    </w:p>
    <w:p>
      <w:pPr>
        <w:tabs>
          <w:tab w:val="left" w:pos="7560"/>
        </w:tabs>
        <w:spacing w:line="360" w:lineRule="auto"/>
        <w:rPr>
          <w:rFonts w:ascii="宋体" w:hAnsi="宋体" w:eastAsia="宋体"/>
          <w:color w:val="000000"/>
          <w:szCs w:val="21"/>
        </w:rPr>
      </w:pPr>
      <w:r>
        <w:rPr>
          <w:rFonts w:ascii="宋体" w:hAnsi="宋体" w:eastAsia="宋体"/>
          <w:color w:val="000000"/>
          <w:szCs w:val="21"/>
        </w:rPr>
        <w:t>4、项目重点难点分析、应对措施及相关的合理化建议</w:t>
      </w:r>
      <w:r>
        <w:rPr>
          <w:rFonts w:hint="eastAsia" w:ascii="宋体" w:hAnsi="宋体" w:eastAsia="宋体"/>
          <w:color w:val="000000"/>
          <w:szCs w:val="21"/>
        </w:rPr>
        <w:t>，包括对项目重点难点分析、应对措施及相关的合理化建议等（格式自拟）。</w:t>
      </w:r>
    </w:p>
    <w:p>
      <w:pPr>
        <w:tabs>
          <w:tab w:val="left" w:pos="7560"/>
        </w:tabs>
        <w:spacing w:line="360" w:lineRule="auto"/>
        <w:rPr>
          <w:rFonts w:ascii="宋体" w:hAnsi="宋体" w:eastAsia="宋体"/>
          <w:color w:val="000000"/>
          <w:szCs w:val="21"/>
        </w:rPr>
      </w:pPr>
      <w:r>
        <w:rPr>
          <w:rFonts w:ascii="宋体" w:hAnsi="宋体" w:eastAsia="宋体"/>
          <w:color w:val="000000"/>
          <w:szCs w:val="21"/>
        </w:rPr>
        <w:t>5</w:t>
      </w:r>
      <w:r>
        <w:rPr>
          <w:rFonts w:hint="eastAsia" w:ascii="宋体" w:hAnsi="宋体" w:eastAsia="宋体"/>
          <w:color w:val="000000"/>
          <w:szCs w:val="21"/>
        </w:rPr>
        <w:t>、</w:t>
      </w:r>
      <w:r>
        <w:rPr>
          <w:rFonts w:ascii="宋体" w:hAnsi="宋体" w:eastAsia="宋体"/>
          <w:color w:val="000000"/>
          <w:szCs w:val="21"/>
        </w:rPr>
        <w:t>质量（完成时间、安全、环保）保障措施及方案</w:t>
      </w:r>
      <w:r>
        <w:rPr>
          <w:rFonts w:hint="eastAsia" w:ascii="宋体" w:hAnsi="宋体" w:eastAsia="宋体"/>
          <w:color w:val="000000"/>
          <w:szCs w:val="21"/>
        </w:rPr>
        <w:t>（格式自拟）。</w:t>
      </w:r>
    </w:p>
    <w:p>
      <w:pPr>
        <w:tabs>
          <w:tab w:val="left" w:pos="7560"/>
        </w:tabs>
        <w:spacing w:line="360" w:lineRule="auto"/>
        <w:rPr>
          <w:rFonts w:ascii="宋体" w:hAnsi="宋体" w:eastAsia="宋体"/>
          <w:color w:val="000000"/>
          <w:szCs w:val="21"/>
        </w:rPr>
      </w:pPr>
      <w:r>
        <w:rPr>
          <w:rFonts w:ascii="宋体" w:hAnsi="宋体" w:eastAsia="宋体"/>
          <w:color w:val="000000"/>
          <w:szCs w:val="21"/>
        </w:rPr>
        <w:t>6</w:t>
      </w:r>
      <w:r>
        <w:rPr>
          <w:rFonts w:hint="eastAsia" w:ascii="宋体" w:hAnsi="宋体" w:eastAsia="宋体"/>
          <w:color w:val="000000"/>
          <w:szCs w:val="21"/>
        </w:rPr>
        <w:t>、提供探漏漏点确认照片（开挖前定位照片与开挖后照片）、漏水点清单（包含详细位置、材质、管径、漏水原因、埋深、漏量等信息）、探漏分析总结报告。（提供探漏工作完成后的总结分析报告）。</w:t>
      </w:r>
    </w:p>
    <w:p>
      <w:pPr>
        <w:tabs>
          <w:tab w:val="left" w:pos="7560"/>
        </w:tabs>
        <w:spacing w:line="360" w:lineRule="auto"/>
        <w:rPr>
          <w:rFonts w:ascii="宋体" w:hAnsi="宋体" w:eastAsia="宋体"/>
          <w:color w:val="000000"/>
          <w:szCs w:val="21"/>
        </w:rPr>
      </w:pPr>
      <w:r>
        <w:rPr>
          <w:rFonts w:ascii="宋体" w:hAnsi="宋体" w:eastAsia="宋体"/>
          <w:color w:val="000000"/>
          <w:szCs w:val="21"/>
        </w:rPr>
        <w:t>7</w:t>
      </w:r>
      <w:r>
        <w:rPr>
          <w:rFonts w:hint="eastAsia" w:ascii="宋体" w:hAnsi="宋体" w:eastAsia="宋体"/>
          <w:color w:val="000000"/>
          <w:szCs w:val="21"/>
        </w:rPr>
        <w:t>、技术条款响应偏离表（见技术标附表</w:t>
      </w:r>
      <w:r>
        <w:rPr>
          <w:rFonts w:ascii="宋体" w:hAnsi="宋体" w:eastAsia="宋体"/>
          <w:color w:val="000000"/>
          <w:szCs w:val="21"/>
        </w:rPr>
        <w:t>1</w:t>
      </w:r>
      <w:r>
        <w:rPr>
          <w:rFonts w:hint="eastAsia" w:ascii="宋体" w:hAnsi="宋体" w:eastAsia="宋体"/>
          <w:color w:val="000000"/>
          <w:szCs w:val="21"/>
        </w:rPr>
        <w:t>）。</w:t>
      </w:r>
    </w:p>
    <w:p>
      <w:pPr>
        <w:tabs>
          <w:tab w:val="left" w:pos="7560"/>
        </w:tabs>
        <w:spacing w:line="360" w:lineRule="auto"/>
        <w:rPr>
          <w:rFonts w:ascii="宋体" w:hAnsi="宋体" w:eastAsia="宋体"/>
          <w:color w:val="000000"/>
          <w:szCs w:val="21"/>
        </w:rPr>
      </w:pPr>
      <w:r>
        <w:rPr>
          <w:rFonts w:ascii="宋体" w:hAnsi="宋体" w:eastAsia="宋体"/>
          <w:color w:val="000000"/>
          <w:szCs w:val="21"/>
        </w:rPr>
        <w:t>8</w:t>
      </w:r>
      <w:r>
        <w:rPr>
          <w:rFonts w:hint="eastAsia" w:ascii="宋体" w:hAnsi="宋体" w:eastAsia="宋体"/>
          <w:color w:val="000000"/>
          <w:szCs w:val="21"/>
        </w:rPr>
        <w:t>、</w:t>
      </w:r>
      <w:r>
        <w:rPr>
          <w:rFonts w:hint="eastAsia" w:ascii="宋体" w:hAnsi="宋体" w:eastAsia="宋体"/>
          <w:szCs w:val="21"/>
        </w:rPr>
        <w:t>招标文件要求提供的其他文件</w:t>
      </w:r>
      <w:r>
        <w:rPr>
          <w:rFonts w:hint="eastAsia" w:ascii="宋体" w:hAnsi="宋体" w:eastAsia="宋体"/>
          <w:color w:val="000000"/>
          <w:szCs w:val="21"/>
        </w:rPr>
        <w:t>。</w:t>
      </w:r>
    </w:p>
    <w:p>
      <w:pPr>
        <w:tabs>
          <w:tab w:val="left" w:pos="7560"/>
        </w:tabs>
        <w:spacing w:line="360" w:lineRule="auto"/>
        <w:rPr>
          <w:rFonts w:ascii="宋体" w:hAnsi="宋体" w:eastAsia="宋体"/>
          <w:color w:val="000000"/>
          <w:szCs w:val="21"/>
        </w:rPr>
      </w:pP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br w:type="page"/>
      </w: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技术标附表</w:t>
      </w:r>
      <w:r>
        <w:rPr>
          <w:rFonts w:ascii="宋体" w:hAnsi="宋体" w:eastAsia="宋体"/>
          <w:color w:val="000000"/>
          <w:szCs w:val="21"/>
        </w:rPr>
        <w:t>1</w:t>
      </w:r>
      <w:r>
        <w:rPr>
          <w:rFonts w:hint="eastAsia" w:ascii="宋体" w:hAnsi="宋体" w:eastAsia="宋体"/>
          <w:color w:val="000000"/>
          <w:szCs w:val="21"/>
        </w:rPr>
        <w:t>：</w:t>
      </w:r>
    </w:p>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技术条款响应偏离表</w:t>
      </w:r>
    </w:p>
    <w:p>
      <w:pPr>
        <w:tabs>
          <w:tab w:val="left" w:pos="7560"/>
        </w:tabs>
        <w:spacing w:line="360" w:lineRule="auto"/>
        <w:rPr>
          <w:rFonts w:ascii="宋体" w:hAnsi="宋体" w:eastAsia="宋体"/>
          <w:color w:val="000000"/>
          <w:szCs w:val="21"/>
        </w:rPr>
      </w:pPr>
    </w:p>
    <w:p>
      <w:pPr>
        <w:tabs>
          <w:tab w:val="left" w:pos="7560"/>
        </w:tabs>
        <w:spacing w:line="360" w:lineRule="auto"/>
        <w:rPr>
          <w:rFonts w:ascii="宋体" w:hAnsi="宋体" w:eastAsia="宋体"/>
          <w:color w:val="000000"/>
          <w:szCs w:val="21"/>
        </w:rPr>
      </w:pPr>
      <w:r>
        <w:rPr>
          <w:rFonts w:hint="eastAsia" w:ascii="宋体" w:hAnsi="宋体" w:eastAsia="宋体"/>
          <w:color w:val="000000"/>
          <w:szCs w:val="21"/>
        </w:rPr>
        <w:t>投标人（盖章）：</w:t>
      </w:r>
      <w:r>
        <w:rPr>
          <w:rFonts w:hint="eastAsia" w:ascii="宋体" w:hAnsi="宋体" w:eastAsia="宋体"/>
          <w:color w:val="000000"/>
          <w:szCs w:val="21"/>
          <w:u w:val="single"/>
        </w:rPr>
        <w:t xml:space="preserve">                                </w:t>
      </w:r>
    </w:p>
    <w:tbl>
      <w:tblPr>
        <w:tblStyle w:val="4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470"/>
        <w:gridCol w:w="1470"/>
        <w:gridCol w:w="147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3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序号</w:t>
            </w:r>
          </w:p>
        </w:tc>
        <w:tc>
          <w:tcPr>
            <w:tcW w:w="147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招标文件    条目号</w:t>
            </w:r>
          </w:p>
        </w:tc>
        <w:tc>
          <w:tcPr>
            <w:tcW w:w="147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招标文件的</w:t>
            </w:r>
          </w:p>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规格或条款</w:t>
            </w:r>
          </w:p>
        </w:tc>
        <w:tc>
          <w:tcPr>
            <w:tcW w:w="147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投标文件的</w:t>
            </w:r>
          </w:p>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规格或条款</w:t>
            </w:r>
          </w:p>
        </w:tc>
        <w:tc>
          <w:tcPr>
            <w:tcW w:w="3960" w:type="dxa"/>
            <w:vAlign w:val="center"/>
          </w:tcPr>
          <w:p>
            <w:pPr>
              <w:tabs>
                <w:tab w:val="left" w:pos="7560"/>
              </w:tabs>
              <w:spacing w:line="360" w:lineRule="auto"/>
              <w:jc w:val="center"/>
              <w:rPr>
                <w:rFonts w:ascii="宋体" w:hAnsi="宋体" w:eastAsia="宋体"/>
                <w:color w:val="000000"/>
                <w:szCs w:val="21"/>
              </w:rPr>
            </w:pPr>
            <w:r>
              <w:rPr>
                <w:rFonts w:hint="eastAsia" w:ascii="宋体" w:hAnsi="宋体" w:eastAsia="宋体"/>
                <w:color w:val="000000"/>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3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1470" w:type="dxa"/>
          </w:tcPr>
          <w:p>
            <w:pPr>
              <w:tabs>
                <w:tab w:val="left" w:pos="7560"/>
              </w:tabs>
              <w:spacing w:line="360" w:lineRule="auto"/>
              <w:ind w:firstLine="420" w:firstLineChars="200"/>
              <w:rPr>
                <w:rFonts w:ascii="宋体" w:hAnsi="宋体" w:eastAsia="宋体"/>
                <w:color w:val="000000"/>
                <w:szCs w:val="21"/>
              </w:rPr>
            </w:pPr>
          </w:p>
        </w:tc>
        <w:tc>
          <w:tcPr>
            <w:tcW w:w="3960" w:type="dxa"/>
          </w:tcPr>
          <w:p>
            <w:pPr>
              <w:tabs>
                <w:tab w:val="left" w:pos="7560"/>
              </w:tabs>
              <w:spacing w:line="360" w:lineRule="auto"/>
              <w:ind w:firstLine="420" w:firstLineChars="200"/>
              <w:rPr>
                <w:rFonts w:ascii="宋体" w:hAnsi="宋体" w:eastAsia="宋体"/>
                <w:color w:val="000000"/>
                <w:szCs w:val="21"/>
              </w:rPr>
            </w:pPr>
          </w:p>
        </w:tc>
      </w:tr>
    </w:tbl>
    <w:p>
      <w:pPr>
        <w:tabs>
          <w:tab w:val="left" w:pos="7560"/>
        </w:tabs>
        <w:spacing w:line="360" w:lineRule="auto"/>
        <w:rPr>
          <w:rFonts w:ascii="宋体" w:hAnsi="宋体" w:eastAsia="宋体"/>
          <w:color w:val="000000"/>
          <w:szCs w:val="21"/>
        </w:rPr>
      </w:pPr>
    </w:p>
    <w:p>
      <w:pPr>
        <w:tabs>
          <w:tab w:val="left" w:pos="7560"/>
        </w:tabs>
        <w:spacing w:line="360" w:lineRule="auto"/>
        <w:rPr>
          <w:rFonts w:ascii="宋体" w:hAnsi="宋体"/>
          <w:color w:val="000000" w:themeColor="text1"/>
          <w:szCs w:val="21"/>
          <w14:textFill>
            <w14:solidFill>
              <w14:schemeClr w14:val="tx1"/>
            </w14:solidFill>
          </w14:textFill>
        </w:rPr>
      </w:pPr>
      <w:r>
        <w:rPr>
          <w:rFonts w:hint="eastAsia" w:ascii="宋体" w:hAnsi="宋体" w:eastAsia="宋体"/>
          <w:color w:val="000000"/>
          <w:szCs w:val="21"/>
        </w:rPr>
        <w:t>说明：投标人须根据招标文件要求，根据技术要求逐项列明</w:t>
      </w:r>
      <w:r>
        <w:rPr>
          <w:rFonts w:hint="eastAsia"/>
        </w:rPr>
        <w:t>。</w:t>
      </w:r>
    </w:p>
    <w:p>
      <w:pPr>
        <w:adjustRightInd w:val="0"/>
        <w:snapToGrid w:val="0"/>
        <w:spacing w:line="360" w:lineRule="auto"/>
        <w:jc w:val="left"/>
        <w:rPr>
          <w:color w:val="000000" w:themeColor="text1"/>
          <w14:textFill>
            <w14:solidFill>
              <w14:schemeClr w14:val="tx1"/>
            </w14:solidFill>
          </w14:textFill>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- 17 -</w:t>
                          </w:r>
                          <w:r>
                            <w:fldChar w:fldCharType="end"/>
                          </w: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1lhN8QBAACQAwAADgAAAGRycy9lMm9Eb2MueG1srVPBbtswDL0P6D8I&#10;ujdychgy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1lhN8QBAACQAwAADgAAAAAAAAABACAAAAAeAQAAZHJzL2Uyb0RvYy54bWxQ&#10;SwUGAAAAAAYABgBZAQAAVA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- 17 -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B9231"/>
    <w:multiLevelType w:val="singleLevel"/>
    <w:tmpl w:val="C27B9231"/>
    <w:lvl w:ilvl="0" w:tentative="0">
      <w:start w:val="1"/>
      <w:numFmt w:val="decimal"/>
      <w:suff w:val="nothing"/>
      <w:lvlText w:val="%1、"/>
      <w:lvlJc w:val="left"/>
      <w:pPr>
        <w:ind w:left="0" w:firstLine="0"/>
      </w:pPr>
    </w:lvl>
  </w:abstractNum>
  <w:abstractNum w:abstractNumId="1">
    <w:nsid w:val="046C62D8"/>
    <w:multiLevelType w:val="multilevel"/>
    <w:tmpl w:val="046C62D8"/>
    <w:lvl w:ilvl="0" w:tentative="0">
      <w:start w:val="1"/>
      <w:numFmt w:val="lowerLetter"/>
      <w:pStyle w:val="112"/>
      <w:lvlText w:val="%1）"/>
      <w:lvlJc w:val="left"/>
      <w:pPr>
        <w:tabs>
          <w:tab w:val="left" w:pos="840"/>
        </w:tabs>
        <w:ind w:left="84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82D4EA2"/>
    <w:multiLevelType w:val="multilevel"/>
    <w:tmpl w:val="082D4EA2"/>
    <w:lvl w:ilvl="0" w:tentative="0">
      <w:start w:val="1"/>
      <w:numFmt w:val="decimal"/>
      <w:pStyle w:val="145"/>
      <w:suff w:val="space"/>
      <w:lvlText w:val="%1"/>
      <w:lvlJc w:val="left"/>
      <w:pPr>
        <w:ind w:left="0" w:firstLine="0"/>
      </w:pPr>
      <w:rPr>
        <w:rFonts w:hint="eastAsia"/>
      </w:rPr>
    </w:lvl>
    <w:lvl w:ilvl="1" w:tentative="0">
      <w:start w:val="1"/>
      <w:numFmt w:val="decimal"/>
      <w:suff w:val="space"/>
      <w:lvlText w:val="%1.%2"/>
      <w:lvlJc w:val="left"/>
      <w:pPr>
        <w:ind w:left="992" w:hanging="992"/>
      </w:pPr>
      <w:rPr>
        <w:rFonts w:hint="eastAsia"/>
      </w:rPr>
    </w:lvl>
    <w:lvl w:ilvl="2" w:tentative="0">
      <w:start w:val="1"/>
      <w:numFmt w:val="decimal"/>
      <w:suff w:val="space"/>
      <w:lvlText w:val="%1.%2.%3"/>
      <w:lvlJc w:val="left"/>
      <w:pPr>
        <w:ind w:left="0" w:firstLine="0"/>
      </w:pPr>
      <w:rPr>
        <w:rFonts w:hint="eastAsia"/>
      </w:rPr>
    </w:lvl>
    <w:lvl w:ilvl="3" w:tentative="0">
      <w:start w:val="1"/>
      <w:numFmt w:val="decimal"/>
      <w:pStyle w:val="146"/>
      <w:suff w:val="space"/>
      <w:lvlText w:val="%1.%2.%3.%4"/>
      <w:lvlJc w:val="left"/>
      <w:pPr>
        <w:ind w:left="1984" w:hanging="1984"/>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112D1CE4"/>
    <w:multiLevelType w:val="multilevel"/>
    <w:tmpl w:val="112D1CE4"/>
    <w:lvl w:ilvl="0" w:tentative="0">
      <w:start w:val="1"/>
      <w:numFmt w:val="decimal"/>
      <w:pStyle w:val="68"/>
      <w:lvlText w:val="%1、"/>
      <w:lvlJc w:val="left"/>
      <w:pPr>
        <w:ind w:left="1280" w:hanging="720"/>
      </w:pPr>
      <w:rPr>
        <w:rFonts w:hint="default"/>
        <w:u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115E081A"/>
    <w:multiLevelType w:val="multilevel"/>
    <w:tmpl w:val="115E081A"/>
    <w:lvl w:ilvl="0" w:tentative="0">
      <w:start w:val="1"/>
      <w:numFmt w:val="decimal"/>
      <w:pStyle w:val="102"/>
      <w:suff w:val="nothing"/>
      <w:lvlText w:val="%1  "/>
      <w:lvlJc w:val="left"/>
      <w:pPr>
        <w:ind w:left="0" w:firstLine="0"/>
      </w:pPr>
      <w:rPr>
        <w:rFonts w:hint="eastAsia" w:ascii="黑体" w:eastAsia="黑体"/>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1" w:tentative="0">
      <w:start w:val="1"/>
      <w:numFmt w:val="decimal"/>
      <w:suff w:val="nothing"/>
      <w:lvlText w:val="%1.%2  "/>
      <w:lvlJc w:val="left"/>
      <w:pPr>
        <w:ind w:left="0" w:firstLine="0"/>
      </w:pPr>
      <w:rPr>
        <w:rFonts w:hint="eastAsia" w:ascii="黑体" w:eastAsia="黑体"/>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eastAsia="黑体"/>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3" w:tentative="0">
      <w:start w:val="1"/>
      <w:numFmt w:val="decimal"/>
      <w:suff w:val="nothing"/>
      <w:lvlText w:val="%1.%2.%3.%4  "/>
      <w:lvlJc w:val="left"/>
      <w:pPr>
        <w:ind w:left="0" w:firstLine="0"/>
      </w:pPr>
      <w:rPr>
        <w:rFonts w:hint="eastAsia" w:ascii="黑体" w:eastAsia="黑体"/>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4" w:tentative="0">
      <w:start w:val="1"/>
      <w:numFmt w:val="decimal"/>
      <w:suff w:val="nothing"/>
      <w:lvlText w:val="%1.%2.%3.%4.%5  "/>
      <w:lvlJc w:val="left"/>
      <w:pPr>
        <w:ind w:left="0" w:firstLine="0"/>
      </w:pPr>
      <w:rPr>
        <w:rFonts w:hint="eastAsia" w:ascii="黑体" w:eastAsia="黑体"/>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5" w:tentative="0">
      <w:start w:val="1"/>
      <w:numFmt w:val="decimal"/>
      <w:suff w:val="nothing"/>
      <w:lvlText w:val="%1.%2.%3.%4.%5.%6  "/>
      <w:lvlJc w:val="left"/>
      <w:pPr>
        <w:ind w:left="0" w:firstLine="0"/>
      </w:pPr>
      <w:rPr>
        <w:rFonts w:hint="eastAsia" w:ascii="黑体" w:eastAsia="黑体"/>
        <w:b w:val="0"/>
        <w:i w:val="0"/>
        <w:caps w:val="0"/>
        <w:smallCaps w:val="0"/>
        <w:strike w:val="0"/>
        <w:dstrike w:val="0"/>
        <w:vanish w:val="0"/>
        <w:color w:val="auto"/>
        <w:spacing w:val="0"/>
        <w:w w:val="100"/>
        <w:kern w:val="21"/>
        <w:position w:val="0"/>
        <w:sz w:val="21"/>
        <w:u w:val="none"/>
        <w:vertAlign w:val="baseline"/>
        <w14:shadow w14:blurRad="0" w14:dist="0" w14:dir="0" w14:sx="0" w14:sy="0" w14:kx="0" w14:ky="0" w14:algn="none">
          <w14:srgbClr w14:val="000000"/>
        </w14:shadow>
      </w:r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5">
    <w:nsid w:val="21F7B8AE"/>
    <w:multiLevelType w:val="singleLevel"/>
    <w:tmpl w:val="21F7B8AE"/>
    <w:lvl w:ilvl="0" w:tentative="0">
      <w:start w:val="5"/>
      <w:numFmt w:val="chineseCounting"/>
      <w:suff w:val="nothing"/>
      <w:lvlText w:val="（%1）"/>
      <w:lvlJc w:val="left"/>
      <w:rPr>
        <w:rFonts w:hint="eastAsia"/>
      </w:rPr>
    </w:lvl>
  </w:abstractNum>
  <w:abstractNum w:abstractNumId="6">
    <w:nsid w:val="2C5917C3"/>
    <w:multiLevelType w:val="multilevel"/>
    <w:tmpl w:val="2C5917C3"/>
    <w:lvl w:ilvl="0" w:tentative="0">
      <w:start w:val="1"/>
      <w:numFmt w:val="none"/>
      <w:pStyle w:val="78"/>
      <w:suff w:val="nothing"/>
      <w:lvlText w:val="%1——"/>
      <w:lvlJc w:val="left"/>
      <w:pPr>
        <w:ind w:left="833" w:hanging="408"/>
      </w:pPr>
      <w:rPr>
        <w:rFonts w:hint="eastAsia"/>
      </w:rPr>
    </w:lvl>
    <w:lvl w:ilvl="1" w:tentative="0">
      <w:start w:val="1"/>
      <w:numFmt w:val="bullet"/>
      <w:pStyle w:val="99"/>
      <w:lvlText w:val=""/>
      <w:lvlJc w:val="left"/>
      <w:pPr>
        <w:tabs>
          <w:tab w:val="left" w:pos="760"/>
        </w:tabs>
        <w:ind w:left="1264" w:hanging="413"/>
      </w:pPr>
      <w:rPr>
        <w:rFonts w:hint="default" w:ascii="Symbol" w:hAnsi="Symbol"/>
        <w:color w:val="auto"/>
      </w:rPr>
    </w:lvl>
    <w:lvl w:ilvl="2" w:tentative="0">
      <w:start w:val="1"/>
      <w:numFmt w:val="bullet"/>
      <w:pStyle w:val="12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467D1094"/>
    <w:multiLevelType w:val="singleLevel"/>
    <w:tmpl w:val="467D1094"/>
    <w:lvl w:ilvl="0" w:tentative="0">
      <w:start w:val="7"/>
      <w:numFmt w:val="decimal"/>
      <w:suff w:val="space"/>
      <w:lvlText w:val="%1."/>
      <w:lvlJc w:val="left"/>
    </w:lvl>
  </w:abstractNum>
  <w:abstractNum w:abstractNumId="8">
    <w:nsid w:val="496E4D7B"/>
    <w:multiLevelType w:val="multilevel"/>
    <w:tmpl w:val="496E4D7B"/>
    <w:lvl w:ilvl="0" w:tentative="0">
      <w:start w:val="1"/>
      <w:numFmt w:val="none"/>
      <w:pStyle w:val="13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F302902"/>
    <w:multiLevelType w:val="multilevel"/>
    <w:tmpl w:val="4F302902"/>
    <w:lvl w:ilvl="0" w:tentative="0">
      <w:start w:val="1"/>
      <w:numFmt w:val="none"/>
      <w:pStyle w:val="9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14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DBF04F4"/>
    <w:multiLevelType w:val="multilevel"/>
    <w:tmpl w:val="6DBF04F4"/>
    <w:lvl w:ilvl="0" w:tentative="0">
      <w:start w:val="1"/>
      <w:numFmt w:val="none"/>
      <w:pStyle w:val="12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pStyle w:val="81"/>
      <w:lvlText w:val="%2)"/>
      <w:lvlJc w:val="left"/>
      <w:pPr>
        <w:tabs>
          <w:tab w:val="left" w:pos="840"/>
        </w:tabs>
        <w:ind w:left="840" w:hanging="420"/>
      </w:pPr>
    </w:lvl>
    <w:lvl w:ilvl="2" w:tentative="0">
      <w:start w:val="1"/>
      <w:numFmt w:val="lowerRoman"/>
      <w:pStyle w:val="119"/>
      <w:lvlText w:val="%3."/>
      <w:lvlJc w:val="right"/>
      <w:pPr>
        <w:tabs>
          <w:tab w:val="left" w:pos="1260"/>
        </w:tabs>
        <w:ind w:left="1260" w:hanging="420"/>
      </w:pPr>
    </w:lvl>
    <w:lvl w:ilvl="3" w:tentative="0">
      <w:start w:val="1"/>
      <w:numFmt w:val="decimal"/>
      <w:pStyle w:val="67"/>
      <w:lvlText w:val="%4."/>
      <w:lvlJc w:val="left"/>
      <w:pPr>
        <w:tabs>
          <w:tab w:val="left" w:pos="1680"/>
        </w:tabs>
        <w:ind w:left="1680" w:hanging="420"/>
      </w:pPr>
    </w:lvl>
    <w:lvl w:ilvl="4" w:tentative="0">
      <w:start w:val="1"/>
      <w:numFmt w:val="lowerLetter"/>
      <w:pStyle w:val="63"/>
      <w:lvlText w:val="%5)"/>
      <w:lvlJc w:val="left"/>
      <w:pPr>
        <w:tabs>
          <w:tab w:val="left" w:pos="2100"/>
        </w:tabs>
        <w:ind w:left="2100" w:hanging="420"/>
      </w:pPr>
    </w:lvl>
    <w:lvl w:ilvl="5" w:tentative="0">
      <w:start w:val="1"/>
      <w:numFmt w:val="lowerRoman"/>
      <w:pStyle w:val="71"/>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01700EB"/>
    <w:multiLevelType w:val="multilevel"/>
    <w:tmpl w:val="701700EB"/>
    <w:lvl w:ilvl="0" w:tentative="0">
      <w:start w:val="1"/>
      <w:numFmt w:val="lowerLetter"/>
      <w:pStyle w:val="132"/>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76933334"/>
    <w:multiLevelType w:val="multilevel"/>
    <w:tmpl w:val="76933334"/>
    <w:lvl w:ilvl="0" w:tentative="0">
      <w:start w:val="1"/>
      <w:numFmt w:val="none"/>
      <w:pStyle w:val="11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3"/>
  </w:num>
  <w:num w:numId="3">
    <w:abstractNumId w:val="6"/>
  </w:num>
  <w:num w:numId="4">
    <w:abstractNumId w:val="9"/>
  </w:num>
  <w:num w:numId="5">
    <w:abstractNumId w:val="4"/>
  </w:num>
  <w:num w:numId="6">
    <w:abstractNumId w:val="1"/>
  </w:num>
  <w:num w:numId="7">
    <w:abstractNumId w:val="13"/>
  </w:num>
  <w:num w:numId="8">
    <w:abstractNumId w:val="8"/>
  </w:num>
  <w:num w:numId="9">
    <w:abstractNumId w:val="12"/>
  </w:num>
  <w:num w:numId="10">
    <w:abstractNumId w:val="10"/>
  </w:num>
  <w:num w:numId="11">
    <w:abstractNumId w:val="2"/>
  </w:num>
  <w:num w:numId="12">
    <w:abstractNumId w:val="5"/>
  </w:num>
  <w:num w:numId="13">
    <w:abstractNumId w:val="7"/>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5MWYzZDAzMjViNWRkNThhN2Y0ODA5MjQ3N2UzMjQifQ=="/>
    <w:docVar w:name="KGWebUrl" w:val="http://10.200.20.71/weaver/weaver.file.FileDownload?type=document&amp;fileid=486735"/>
  </w:docVars>
  <w:rsids>
    <w:rsidRoot w:val="000D57B5"/>
    <w:rsid w:val="00001D9D"/>
    <w:rsid w:val="0000263E"/>
    <w:rsid w:val="00003CCD"/>
    <w:rsid w:val="00004A19"/>
    <w:rsid w:val="000073ED"/>
    <w:rsid w:val="000074AE"/>
    <w:rsid w:val="000077F3"/>
    <w:rsid w:val="00010476"/>
    <w:rsid w:val="00011302"/>
    <w:rsid w:val="00012434"/>
    <w:rsid w:val="00013463"/>
    <w:rsid w:val="00014916"/>
    <w:rsid w:val="000154DE"/>
    <w:rsid w:val="0001551E"/>
    <w:rsid w:val="0001623F"/>
    <w:rsid w:val="0001645A"/>
    <w:rsid w:val="00016775"/>
    <w:rsid w:val="000168D8"/>
    <w:rsid w:val="00016F32"/>
    <w:rsid w:val="000203E5"/>
    <w:rsid w:val="000210C3"/>
    <w:rsid w:val="00022151"/>
    <w:rsid w:val="00022808"/>
    <w:rsid w:val="00022B1A"/>
    <w:rsid w:val="00022C81"/>
    <w:rsid w:val="00022D84"/>
    <w:rsid w:val="00023CBB"/>
    <w:rsid w:val="000243D9"/>
    <w:rsid w:val="000248DC"/>
    <w:rsid w:val="0002569A"/>
    <w:rsid w:val="000262F8"/>
    <w:rsid w:val="00027964"/>
    <w:rsid w:val="00030469"/>
    <w:rsid w:val="00030662"/>
    <w:rsid w:val="00030E41"/>
    <w:rsid w:val="000313FD"/>
    <w:rsid w:val="000314E1"/>
    <w:rsid w:val="00031926"/>
    <w:rsid w:val="00032AD4"/>
    <w:rsid w:val="0003346C"/>
    <w:rsid w:val="00033A6F"/>
    <w:rsid w:val="00033C14"/>
    <w:rsid w:val="000346FC"/>
    <w:rsid w:val="00037996"/>
    <w:rsid w:val="000401C6"/>
    <w:rsid w:val="000408CB"/>
    <w:rsid w:val="0004098F"/>
    <w:rsid w:val="00040A4A"/>
    <w:rsid w:val="00040D62"/>
    <w:rsid w:val="0004184C"/>
    <w:rsid w:val="00041A50"/>
    <w:rsid w:val="00042A67"/>
    <w:rsid w:val="00042B41"/>
    <w:rsid w:val="00043952"/>
    <w:rsid w:val="00043F46"/>
    <w:rsid w:val="00045859"/>
    <w:rsid w:val="000458D9"/>
    <w:rsid w:val="000469AD"/>
    <w:rsid w:val="000472D4"/>
    <w:rsid w:val="00047BEC"/>
    <w:rsid w:val="00047C60"/>
    <w:rsid w:val="000508A7"/>
    <w:rsid w:val="00051262"/>
    <w:rsid w:val="000513FF"/>
    <w:rsid w:val="0005185F"/>
    <w:rsid w:val="00051B5B"/>
    <w:rsid w:val="000523EC"/>
    <w:rsid w:val="00052726"/>
    <w:rsid w:val="00052A92"/>
    <w:rsid w:val="00052AFD"/>
    <w:rsid w:val="00052DE1"/>
    <w:rsid w:val="00052EC8"/>
    <w:rsid w:val="00054467"/>
    <w:rsid w:val="000544AC"/>
    <w:rsid w:val="000549F2"/>
    <w:rsid w:val="00054EE1"/>
    <w:rsid w:val="0005517A"/>
    <w:rsid w:val="00057E7E"/>
    <w:rsid w:val="00060A08"/>
    <w:rsid w:val="00061297"/>
    <w:rsid w:val="00061F76"/>
    <w:rsid w:val="0006249D"/>
    <w:rsid w:val="000631C3"/>
    <w:rsid w:val="000643E0"/>
    <w:rsid w:val="00064847"/>
    <w:rsid w:val="0006596B"/>
    <w:rsid w:val="00065DA0"/>
    <w:rsid w:val="00067957"/>
    <w:rsid w:val="00067D10"/>
    <w:rsid w:val="00070568"/>
    <w:rsid w:val="00070F29"/>
    <w:rsid w:val="0007218D"/>
    <w:rsid w:val="00072D02"/>
    <w:rsid w:val="0007498A"/>
    <w:rsid w:val="00075612"/>
    <w:rsid w:val="00077009"/>
    <w:rsid w:val="000775BB"/>
    <w:rsid w:val="00081563"/>
    <w:rsid w:val="00081BC7"/>
    <w:rsid w:val="00082376"/>
    <w:rsid w:val="0008393E"/>
    <w:rsid w:val="00083D8B"/>
    <w:rsid w:val="00083F3D"/>
    <w:rsid w:val="00083FBB"/>
    <w:rsid w:val="00084230"/>
    <w:rsid w:val="0008540B"/>
    <w:rsid w:val="0008549A"/>
    <w:rsid w:val="00085EC8"/>
    <w:rsid w:val="0008610C"/>
    <w:rsid w:val="000864B5"/>
    <w:rsid w:val="0008659D"/>
    <w:rsid w:val="00086600"/>
    <w:rsid w:val="0008729E"/>
    <w:rsid w:val="00090DE0"/>
    <w:rsid w:val="00095A91"/>
    <w:rsid w:val="00095B6C"/>
    <w:rsid w:val="00096BCD"/>
    <w:rsid w:val="000979BD"/>
    <w:rsid w:val="00097E87"/>
    <w:rsid w:val="000A02A6"/>
    <w:rsid w:val="000A059E"/>
    <w:rsid w:val="000A1149"/>
    <w:rsid w:val="000A1619"/>
    <w:rsid w:val="000A1D52"/>
    <w:rsid w:val="000A1E52"/>
    <w:rsid w:val="000A2560"/>
    <w:rsid w:val="000A273F"/>
    <w:rsid w:val="000A2DE7"/>
    <w:rsid w:val="000A3080"/>
    <w:rsid w:val="000A5E46"/>
    <w:rsid w:val="000A6070"/>
    <w:rsid w:val="000A6133"/>
    <w:rsid w:val="000A646C"/>
    <w:rsid w:val="000A694E"/>
    <w:rsid w:val="000A754E"/>
    <w:rsid w:val="000B0345"/>
    <w:rsid w:val="000B0A85"/>
    <w:rsid w:val="000B0B5C"/>
    <w:rsid w:val="000B0CD3"/>
    <w:rsid w:val="000B1288"/>
    <w:rsid w:val="000B26A9"/>
    <w:rsid w:val="000B288C"/>
    <w:rsid w:val="000B28CD"/>
    <w:rsid w:val="000B2CA5"/>
    <w:rsid w:val="000B2F48"/>
    <w:rsid w:val="000B314B"/>
    <w:rsid w:val="000B4052"/>
    <w:rsid w:val="000B4CEF"/>
    <w:rsid w:val="000B55B3"/>
    <w:rsid w:val="000B59AA"/>
    <w:rsid w:val="000B5E2A"/>
    <w:rsid w:val="000B5E73"/>
    <w:rsid w:val="000B764E"/>
    <w:rsid w:val="000B7709"/>
    <w:rsid w:val="000B7A7D"/>
    <w:rsid w:val="000C104E"/>
    <w:rsid w:val="000C2090"/>
    <w:rsid w:val="000C4CAB"/>
    <w:rsid w:val="000C674A"/>
    <w:rsid w:val="000C7C8E"/>
    <w:rsid w:val="000C7D9C"/>
    <w:rsid w:val="000D014A"/>
    <w:rsid w:val="000D0213"/>
    <w:rsid w:val="000D18BD"/>
    <w:rsid w:val="000D1D2B"/>
    <w:rsid w:val="000D2543"/>
    <w:rsid w:val="000D28A7"/>
    <w:rsid w:val="000D44D1"/>
    <w:rsid w:val="000D4E31"/>
    <w:rsid w:val="000D5483"/>
    <w:rsid w:val="000D57B5"/>
    <w:rsid w:val="000D59BB"/>
    <w:rsid w:val="000D6CCE"/>
    <w:rsid w:val="000D72D4"/>
    <w:rsid w:val="000D7782"/>
    <w:rsid w:val="000D79D7"/>
    <w:rsid w:val="000D7C8E"/>
    <w:rsid w:val="000E10A1"/>
    <w:rsid w:val="000E1726"/>
    <w:rsid w:val="000E232C"/>
    <w:rsid w:val="000E2443"/>
    <w:rsid w:val="000E2878"/>
    <w:rsid w:val="000E2DF4"/>
    <w:rsid w:val="000E341C"/>
    <w:rsid w:val="000E3930"/>
    <w:rsid w:val="000E3EC2"/>
    <w:rsid w:val="000E4090"/>
    <w:rsid w:val="000E4F73"/>
    <w:rsid w:val="000E6613"/>
    <w:rsid w:val="000E7B18"/>
    <w:rsid w:val="000E7E40"/>
    <w:rsid w:val="000F097F"/>
    <w:rsid w:val="000F13A7"/>
    <w:rsid w:val="000F173F"/>
    <w:rsid w:val="000F1820"/>
    <w:rsid w:val="000F1A7D"/>
    <w:rsid w:val="000F1AF0"/>
    <w:rsid w:val="000F1CDA"/>
    <w:rsid w:val="000F4605"/>
    <w:rsid w:val="000F4D0D"/>
    <w:rsid w:val="000F526A"/>
    <w:rsid w:val="000F6712"/>
    <w:rsid w:val="000F686A"/>
    <w:rsid w:val="00100B97"/>
    <w:rsid w:val="00102590"/>
    <w:rsid w:val="00103ED6"/>
    <w:rsid w:val="00104A32"/>
    <w:rsid w:val="00104FE4"/>
    <w:rsid w:val="001053EC"/>
    <w:rsid w:val="0010574A"/>
    <w:rsid w:val="00107057"/>
    <w:rsid w:val="001070E4"/>
    <w:rsid w:val="00107560"/>
    <w:rsid w:val="00107864"/>
    <w:rsid w:val="00110BA4"/>
    <w:rsid w:val="00111A7C"/>
    <w:rsid w:val="00112AD7"/>
    <w:rsid w:val="001135D7"/>
    <w:rsid w:val="00113B80"/>
    <w:rsid w:val="00115DA3"/>
    <w:rsid w:val="00116178"/>
    <w:rsid w:val="0011671F"/>
    <w:rsid w:val="00117C08"/>
    <w:rsid w:val="00117E7E"/>
    <w:rsid w:val="00117FE4"/>
    <w:rsid w:val="001201E7"/>
    <w:rsid w:val="00120846"/>
    <w:rsid w:val="00121E02"/>
    <w:rsid w:val="001223A3"/>
    <w:rsid w:val="001227BB"/>
    <w:rsid w:val="00123293"/>
    <w:rsid w:val="001239B6"/>
    <w:rsid w:val="00124D10"/>
    <w:rsid w:val="0012509F"/>
    <w:rsid w:val="0012561E"/>
    <w:rsid w:val="00125BF3"/>
    <w:rsid w:val="001263F4"/>
    <w:rsid w:val="00126DC4"/>
    <w:rsid w:val="001271C0"/>
    <w:rsid w:val="00127453"/>
    <w:rsid w:val="00127E0D"/>
    <w:rsid w:val="00127E74"/>
    <w:rsid w:val="001308D8"/>
    <w:rsid w:val="0013150C"/>
    <w:rsid w:val="00131A85"/>
    <w:rsid w:val="00132C66"/>
    <w:rsid w:val="00133334"/>
    <w:rsid w:val="00133B37"/>
    <w:rsid w:val="0013631A"/>
    <w:rsid w:val="00137367"/>
    <w:rsid w:val="001377A7"/>
    <w:rsid w:val="001419B0"/>
    <w:rsid w:val="00141DBA"/>
    <w:rsid w:val="00141EB5"/>
    <w:rsid w:val="001422DB"/>
    <w:rsid w:val="00143C1B"/>
    <w:rsid w:val="001444C2"/>
    <w:rsid w:val="001453EA"/>
    <w:rsid w:val="00145755"/>
    <w:rsid w:val="00146244"/>
    <w:rsid w:val="001463B4"/>
    <w:rsid w:val="00146BE2"/>
    <w:rsid w:val="00146D7C"/>
    <w:rsid w:val="00147541"/>
    <w:rsid w:val="00147A78"/>
    <w:rsid w:val="00147C99"/>
    <w:rsid w:val="0015064A"/>
    <w:rsid w:val="00150801"/>
    <w:rsid w:val="00150AFA"/>
    <w:rsid w:val="001514B8"/>
    <w:rsid w:val="001518F9"/>
    <w:rsid w:val="00151B73"/>
    <w:rsid w:val="001520D8"/>
    <w:rsid w:val="0015246A"/>
    <w:rsid w:val="00153585"/>
    <w:rsid w:val="00153651"/>
    <w:rsid w:val="001541BF"/>
    <w:rsid w:val="00155222"/>
    <w:rsid w:val="00155B86"/>
    <w:rsid w:val="001575EF"/>
    <w:rsid w:val="00157B02"/>
    <w:rsid w:val="00161486"/>
    <w:rsid w:val="001615AE"/>
    <w:rsid w:val="00161902"/>
    <w:rsid w:val="001620AA"/>
    <w:rsid w:val="001625B4"/>
    <w:rsid w:val="001649C4"/>
    <w:rsid w:val="00164FDA"/>
    <w:rsid w:val="00165DA0"/>
    <w:rsid w:val="00166C83"/>
    <w:rsid w:val="00167219"/>
    <w:rsid w:val="0017007D"/>
    <w:rsid w:val="00170AB8"/>
    <w:rsid w:val="0017198D"/>
    <w:rsid w:val="00172BDC"/>
    <w:rsid w:val="00172F44"/>
    <w:rsid w:val="00173059"/>
    <w:rsid w:val="00174CFC"/>
    <w:rsid w:val="00175241"/>
    <w:rsid w:val="00176055"/>
    <w:rsid w:val="00176D47"/>
    <w:rsid w:val="001776AB"/>
    <w:rsid w:val="00177975"/>
    <w:rsid w:val="001818A7"/>
    <w:rsid w:val="00181F02"/>
    <w:rsid w:val="00182707"/>
    <w:rsid w:val="001836C2"/>
    <w:rsid w:val="00183D84"/>
    <w:rsid w:val="0018446A"/>
    <w:rsid w:val="0018497D"/>
    <w:rsid w:val="00185271"/>
    <w:rsid w:val="0018559A"/>
    <w:rsid w:val="00185EFE"/>
    <w:rsid w:val="00186A0F"/>
    <w:rsid w:val="00186C83"/>
    <w:rsid w:val="00190593"/>
    <w:rsid w:val="00190FB4"/>
    <w:rsid w:val="001915B4"/>
    <w:rsid w:val="00191FE9"/>
    <w:rsid w:val="00192212"/>
    <w:rsid w:val="0019230F"/>
    <w:rsid w:val="001923D7"/>
    <w:rsid w:val="0019288E"/>
    <w:rsid w:val="00192ACE"/>
    <w:rsid w:val="00192C35"/>
    <w:rsid w:val="00193272"/>
    <w:rsid w:val="00193A66"/>
    <w:rsid w:val="00193CA8"/>
    <w:rsid w:val="00193D43"/>
    <w:rsid w:val="0019614F"/>
    <w:rsid w:val="001964DE"/>
    <w:rsid w:val="00196547"/>
    <w:rsid w:val="001972E3"/>
    <w:rsid w:val="00197C83"/>
    <w:rsid w:val="001A14A7"/>
    <w:rsid w:val="001A1AA1"/>
    <w:rsid w:val="001A2B44"/>
    <w:rsid w:val="001A31FE"/>
    <w:rsid w:val="001A5CF1"/>
    <w:rsid w:val="001A700B"/>
    <w:rsid w:val="001B03D6"/>
    <w:rsid w:val="001B0694"/>
    <w:rsid w:val="001B0BCC"/>
    <w:rsid w:val="001B20EA"/>
    <w:rsid w:val="001B2134"/>
    <w:rsid w:val="001B3F87"/>
    <w:rsid w:val="001B4CC4"/>
    <w:rsid w:val="001B6AD8"/>
    <w:rsid w:val="001B6E4B"/>
    <w:rsid w:val="001B73B6"/>
    <w:rsid w:val="001B787A"/>
    <w:rsid w:val="001C0765"/>
    <w:rsid w:val="001C2B29"/>
    <w:rsid w:val="001C2DF9"/>
    <w:rsid w:val="001C2F38"/>
    <w:rsid w:val="001C3A2A"/>
    <w:rsid w:val="001C4B29"/>
    <w:rsid w:val="001C64A3"/>
    <w:rsid w:val="001C65AB"/>
    <w:rsid w:val="001C70B2"/>
    <w:rsid w:val="001C740F"/>
    <w:rsid w:val="001D04C2"/>
    <w:rsid w:val="001D0955"/>
    <w:rsid w:val="001D11A9"/>
    <w:rsid w:val="001D17DE"/>
    <w:rsid w:val="001D1EB0"/>
    <w:rsid w:val="001D213B"/>
    <w:rsid w:val="001D2528"/>
    <w:rsid w:val="001D2C19"/>
    <w:rsid w:val="001D65D1"/>
    <w:rsid w:val="001D6CE6"/>
    <w:rsid w:val="001D6EF3"/>
    <w:rsid w:val="001D74FE"/>
    <w:rsid w:val="001D7F6D"/>
    <w:rsid w:val="001E136A"/>
    <w:rsid w:val="001E1F12"/>
    <w:rsid w:val="001E200F"/>
    <w:rsid w:val="001E2443"/>
    <w:rsid w:val="001E35C5"/>
    <w:rsid w:val="001E479D"/>
    <w:rsid w:val="001E5189"/>
    <w:rsid w:val="001E5A73"/>
    <w:rsid w:val="001E5DB6"/>
    <w:rsid w:val="001E606B"/>
    <w:rsid w:val="001E6B89"/>
    <w:rsid w:val="001E72B2"/>
    <w:rsid w:val="001E749D"/>
    <w:rsid w:val="001E7B1C"/>
    <w:rsid w:val="001F08B1"/>
    <w:rsid w:val="001F0B94"/>
    <w:rsid w:val="001F0FDF"/>
    <w:rsid w:val="001F1222"/>
    <w:rsid w:val="001F1B18"/>
    <w:rsid w:val="001F1C6D"/>
    <w:rsid w:val="001F30B5"/>
    <w:rsid w:val="001F3EA3"/>
    <w:rsid w:val="001F4405"/>
    <w:rsid w:val="001F4ACF"/>
    <w:rsid w:val="001F508C"/>
    <w:rsid w:val="001F5A0B"/>
    <w:rsid w:val="001F5CCE"/>
    <w:rsid w:val="001F672D"/>
    <w:rsid w:val="001F6858"/>
    <w:rsid w:val="001F6A9D"/>
    <w:rsid w:val="001F6B22"/>
    <w:rsid w:val="0020014F"/>
    <w:rsid w:val="00200384"/>
    <w:rsid w:val="00201266"/>
    <w:rsid w:val="00201AA9"/>
    <w:rsid w:val="00204587"/>
    <w:rsid w:val="00204DDF"/>
    <w:rsid w:val="00206830"/>
    <w:rsid w:val="00206A97"/>
    <w:rsid w:val="00207254"/>
    <w:rsid w:val="002075C1"/>
    <w:rsid w:val="00207E39"/>
    <w:rsid w:val="0021067C"/>
    <w:rsid w:val="0021168C"/>
    <w:rsid w:val="00213354"/>
    <w:rsid w:val="00213C57"/>
    <w:rsid w:val="002140A4"/>
    <w:rsid w:val="00214A92"/>
    <w:rsid w:val="002158B5"/>
    <w:rsid w:val="00215D6E"/>
    <w:rsid w:val="0022268B"/>
    <w:rsid w:val="00222D1B"/>
    <w:rsid w:val="00224185"/>
    <w:rsid w:val="002249B4"/>
    <w:rsid w:val="00224B9A"/>
    <w:rsid w:val="00224FDC"/>
    <w:rsid w:val="00225BF1"/>
    <w:rsid w:val="00225DE8"/>
    <w:rsid w:val="002267C1"/>
    <w:rsid w:val="00230271"/>
    <w:rsid w:val="0023134E"/>
    <w:rsid w:val="0023257D"/>
    <w:rsid w:val="0023527C"/>
    <w:rsid w:val="0023556A"/>
    <w:rsid w:val="0023692E"/>
    <w:rsid w:val="00237901"/>
    <w:rsid w:val="00237B7F"/>
    <w:rsid w:val="00240BD9"/>
    <w:rsid w:val="00241D18"/>
    <w:rsid w:val="0024215E"/>
    <w:rsid w:val="002437FD"/>
    <w:rsid w:val="00244518"/>
    <w:rsid w:val="0024453E"/>
    <w:rsid w:val="002507C2"/>
    <w:rsid w:val="00250D19"/>
    <w:rsid w:val="0025109C"/>
    <w:rsid w:val="00251681"/>
    <w:rsid w:val="002516EC"/>
    <w:rsid w:val="00251C16"/>
    <w:rsid w:val="00251F3E"/>
    <w:rsid w:val="00252818"/>
    <w:rsid w:val="00252BDA"/>
    <w:rsid w:val="00253F1D"/>
    <w:rsid w:val="0025405F"/>
    <w:rsid w:val="00254979"/>
    <w:rsid w:val="00255027"/>
    <w:rsid w:val="002568F8"/>
    <w:rsid w:val="00256B3C"/>
    <w:rsid w:val="002603AF"/>
    <w:rsid w:val="0026087E"/>
    <w:rsid w:val="00261207"/>
    <w:rsid w:val="0026121D"/>
    <w:rsid w:val="00262A97"/>
    <w:rsid w:val="00263712"/>
    <w:rsid w:val="0026391D"/>
    <w:rsid w:val="00265A0A"/>
    <w:rsid w:val="00265FE9"/>
    <w:rsid w:val="0026605B"/>
    <w:rsid w:val="00266329"/>
    <w:rsid w:val="0026662A"/>
    <w:rsid w:val="00267862"/>
    <w:rsid w:val="00267947"/>
    <w:rsid w:val="00267A66"/>
    <w:rsid w:val="00270093"/>
    <w:rsid w:val="00271F80"/>
    <w:rsid w:val="002722ED"/>
    <w:rsid w:val="00272BC8"/>
    <w:rsid w:val="0027305D"/>
    <w:rsid w:val="002730DD"/>
    <w:rsid w:val="002733BC"/>
    <w:rsid w:val="0027663B"/>
    <w:rsid w:val="00276CD0"/>
    <w:rsid w:val="00280EFC"/>
    <w:rsid w:val="002813CE"/>
    <w:rsid w:val="00281C2D"/>
    <w:rsid w:val="002829F5"/>
    <w:rsid w:val="002844BF"/>
    <w:rsid w:val="002849A0"/>
    <w:rsid w:val="002853B5"/>
    <w:rsid w:val="00286AF8"/>
    <w:rsid w:val="00286FA2"/>
    <w:rsid w:val="002876D3"/>
    <w:rsid w:val="00287AE7"/>
    <w:rsid w:val="00294507"/>
    <w:rsid w:val="00294748"/>
    <w:rsid w:val="00294D7A"/>
    <w:rsid w:val="00295A6F"/>
    <w:rsid w:val="00295DCF"/>
    <w:rsid w:val="0029664F"/>
    <w:rsid w:val="00297E36"/>
    <w:rsid w:val="002A06C4"/>
    <w:rsid w:val="002A0AE4"/>
    <w:rsid w:val="002A0CC2"/>
    <w:rsid w:val="002A0FEC"/>
    <w:rsid w:val="002A159D"/>
    <w:rsid w:val="002A311C"/>
    <w:rsid w:val="002A3149"/>
    <w:rsid w:val="002A3484"/>
    <w:rsid w:val="002A3532"/>
    <w:rsid w:val="002A37D4"/>
    <w:rsid w:val="002A43D5"/>
    <w:rsid w:val="002A47CA"/>
    <w:rsid w:val="002A59FB"/>
    <w:rsid w:val="002A63FA"/>
    <w:rsid w:val="002A6D98"/>
    <w:rsid w:val="002A6FD9"/>
    <w:rsid w:val="002A74B5"/>
    <w:rsid w:val="002A7AD3"/>
    <w:rsid w:val="002A7E00"/>
    <w:rsid w:val="002B0634"/>
    <w:rsid w:val="002B0ED2"/>
    <w:rsid w:val="002B14B3"/>
    <w:rsid w:val="002B34B7"/>
    <w:rsid w:val="002B4434"/>
    <w:rsid w:val="002B489D"/>
    <w:rsid w:val="002B5163"/>
    <w:rsid w:val="002B5775"/>
    <w:rsid w:val="002B5CED"/>
    <w:rsid w:val="002B67D1"/>
    <w:rsid w:val="002B68CF"/>
    <w:rsid w:val="002B6D42"/>
    <w:rsid w:val="002B75EC"/>
    <w:rsid w:val="002B762D"/>
    <w:rsid w:val="002C181A"/>
    <w:rsid w:val="002C21F0"/>
    <w:rsid w:val="002C272F"/>
    <w:rsid w:val="002C315D"/>
    <w:rsid w:val="002C32C4"/>
    <w:rsid w:val="002C408A"/>
    <w:rsid w:val="002C4E20"/>
    <w:rsid w:val="002C5551"/>
    <w:rsid w:val="002C5936"/>
    <w:rsid w:val="002C61E2"/>
    <w:rsid w:val="002C6F71"/>
    <w:rsid w:val="002C7228"/>
    <w:rsid w:val="002D061F"/>
    <w:rsid w:val="002D07F7"/>
    <w:rsid w:val="002D12D8"/>
    <w:rsid w:val="002D1321"/>
    <w:rsid w:val="002D2925"/>
    <w:rsid w:val="002D2E6E"/>
    <w:rsid w:val="002D3AC4"/>
    <w:rsid w:val="002D4209"/>
    <w:rsid w:val="002D48F2"/>
    <w:rsid w:val="002D56CC"/>
    <w:rsid w:val="002D5979"/>
    <w:rsid w:val="002D5AAC"/>
    <w:rsid w:val="002D66B1"/>
    <w:rsid w:val="002E00A3"/>
    <w:rsid w:val="002E059E"/>
    <w:rsid w:val="002E20B8"/>
    <w:rsid w:val="002E2E6B"/>
    <w:rsid w:val="002E3841"/>
    <w:rsid w:val="002E6DD6"/>
    <w:rsid w:val="002E7497"/>
    <w:rsid w:val="002E7B06"/>
    <w:rsid w:val="002E7ED0"/>
    <w:rsid w:val="002F0525"/>
    <w:rsid w:val="002F0B97"/>
    <w:rsid w:val="002F11A3"/>
    <w:rsid w:val="002F1463"/>
    <w:rsid w:val="002F200A"/>
    <w:rsid w:val="002F282A"/>
    <w:rsid w:val="002F314E"/>
    <w:rsid w:val="002F34E8"/>
    <w:rsid w:val="002F41F2"/>
    <w:rsid w:val="002F5E2F"/>
    <w:rsid w:val="002F7C65"/>
    <w:rsid w:val="00300062"/>
    <w:rsid w:val="00300D62"/>
    <w:rsid w:val="0030282B"/>
    <w:rsid w:val="00302C8C"/>
    <w:rsid w:val="00302E9F"/>
    <w:rsid w:val="0030388C"/>
    <w:rsid w:val="00303BEA"/>
    <w:rsid w:val="00303D41"/>
    <w:rsid w:val="00303EF3"/>
    <w:rsid w:val="003047CC"/>
    <w:rsid w:val="00304AF4"/>
    <w:rsid w:val="00304BAE"/>
    <w:rsid w:val="0030523B"/>
    <w:rsid w:val="00305330"/>
    <w:rsid w:val="00305B57"/>
    <w:rsid w:val="003060A6"/>
    <w:rsid w:val="00306F36"/>
    <w:rsid w:val="00307149"/>
    <w:rsid w:val="00310C6D"/>
    <w:rsid w:val="00311BA2"/>
    <w:rsid w:val="003142A1"/>
    <w:rsid w:val="003148F0"/>
    <w:rsid w:val="0031505A"/>
    <w:rsid w:val="00315A37"/>
    <w:rsid w:val="003172A6"/>
    <w:rsid w:val="003179C3"/>
    <w:rsid w:val="0032014A"/>
    <w:rsid w:val="00320E17"/>
    <w:rsid w:val="00322888"/>
    <w:rsid w:val="003234B5"/>
    <w:rsid w:val="00323ABE"/>
    <w:rsid w:val="003246B8"/>
    <w:rsid w:val="00325144"/>
    <w:rsid w:val="00325A57"/>
    <w:rsid w:val="00331F65"/>
    <w:rsid w:val="003336E0"/>
    <w:rsid w:val="00333973"/>
    <w:rsid w:val="00334B10"/>
    <w:rsid w:val="00334CC7"/>
    <w:rsid w:val="00334D2D"/>
    <w:rsid w:val="00336342"/>
    <w:rsid w:val="00336775"/>
    <w:rsid w:val="003367A8"/>
    <w:rsid w:val="0034028D"/>
    <w:rsid w:val="0034081B"/>
    <w:rsid w:val="00341185"/>
    <w:rsid w:val="00341A1A"/>
    <w:rsid w:val="00341DF2"/>
    <w:rsid w:val="00341DFF"/>
    <w:rsid w:val="00341E4C"/>
    <w:rsid w:val="0034279B"/>
    <w:rsid w:val="003433C3"/>
    <w:rsid w:val="003433F9"/>
    <w:rsid w:val="00343BE7"/>
    <w:rsid w:val="00343D82"/>
    <w:rsid w:val="00343FEE"/>
    <w:rsid w:val="003441A6"/>
    <w:rsid w:val="003454E9"/>
    <w:rsid w:val="00345721"/>
    <w:rsid w:val="00345B45"/>
    <w:rsid w:val="00345EF4"/>
    <w:rsid w:val="003462FA"/>
    <w:rsid w:val="003468F9"/>
    <w:rsid w:val="00346EAA"/>
    <w:rsid w:val="003472AF"/>
    <w:rsid w:val="003474A8"/>
    <w:rsid w:val="00347F91"/>
    <w:rsid w:val="00351FE0"/>
    <w:rsid w:val="003523D9"/>
    <w:rsid w:val="00352F7B"/>
    <w:rsid w:val="00353728"/>
    <w:rsid w:val="003538F4"/>
    <w:rsid w:val="003549ED"/>
    <w:rsid w:val="003552AC"/>
    <w:rsid w:val="0035591F"/>
    <w:rsid w:val="00357C20"/>
    <w:rsid w:val="00357D9C"/>
    <w:rsid w:val="00360A70"/>
    <w:rsid w:val="0036138B"/>
    <w:rsid w:val="003615C3"/>
    <w:rsid w:val="003618D0"/>
    <w:rsid w:val="00361FB7"/>
    <w:rsid w:val="003620AC"/>
    <w:rsid w:val="003621CC"/>
    <w:rsid w:val="00362870"/>
    <w:rsid w:val="00363A3A"/>
    <w:rsid w:val="00365FD4"/>
    <w:rsid w:val="00366068"/>
    <w:rsid w:val="00366737"/>
    <w:rsid w:val="00366CE6"/>
    <w:rsid w:val="0037122D"/>
    <w:rsid w:val="003713D9"/>
    <w:rsid w:val="003715B0"/>
    <w:rsid w:val="0037309A"/>
    <w:rsid w:val="00373627"/>
    <w:rsid w:val="00373E4B"/>
    <w:rsid w:val="00374131"/>
    <w:rsid w:val="00374CB7"/>
    <w:rsid w:val="00375F71"/>
    <w:rsid w:val="003768DD"/>
    <w:rsid w:val="00377899"/>
    <w:rsid w:val="00380130"/>
    <w:rsid w:val="0038041A"/>
    <w:rsid w:val="00381739"/>
    <w:rsid w:val="00382265"/>
    <w:rsid w:val="00382813"/>
    <w:rsid w:val="003830E0"/>
    <w:rsid w:val="0038325A"/>
    <w:rsid w:val="00383386"/>
    <w:rsid w:val="00383E02"/>
    <w:rsid w:val="00383F14"/>
    <w:rsid w:val="00384313"/>
    <w:rsid w:val="00384760"/>
    <w:rsid w:val="00384D5C"/>
    <w:rsid w:val="003851EB"/>
    <w:rsid w:val="003863DD"/>
    <w:rsid w:val="0038773C"/>
    <w:rsid w:val="00387F9F"/>
    <w:rsid w:val="00390CBE"/>
    <w:rsid w:val="00390F29"/>
    <w:rsid w:val="00393650"/>
    <w:rsid w:val="00393673"/>
    <w:rsid w:val="0039411B"/>
    <w:rsid w:val="003957F2"/>
    <w:rsid w:val="00395CD5"/>
    <w:rsid w:val="003963C4"/>
    <w:rsid w:val="0039673F"/>
    <w:rsid w:val="003A1B34"/>
    <w:rsid w:val="003A5F7B"/>
    <w:rsid w:val="003A650B"/>
    <w:rsid w:val="003A6CEB"/>
    <w:rsid w:val="003A6EAB"/>
    <w:rsid w:val="003A7AD1"/>
    <w:rsid w:val="003B1785"/>
    <w:rsid w:val="003B1A1A"/>
    <w:rsid w:val="003B1D54"/>
    <w:rsid w:val="003B2040"/>
    <w:rsid w:val="003B21C1"/>
    <w:rsid w:val="003B28CC"/>
    <w:rsid w:val="003B45AA"/>
    <w:rsid w:val="003B4812"/>
    <w:rsid w:val="003B4C56"/>
    <w:rsid w:val="003B55FA"/>
    <w:rsid w:val="003B6A6F"/>
    <w:rsid w:val="003B6D71"/>
    <w:rsid w:val="003B7206"/>
    <w:rsid w:val="003B7DE9"/>
    <w:rsid w:val="003B7F4F"/>
    <w:rsid w:val="003C02CA"/>
    <w:rsid w:val="003C175A"/>
    <w:rsid w:val="003C2287"/>
    <w:rsid w:val="003C2CAD"/>
    <w:rsid w:val="003C3757"/>
    <w:rsid w:val="003C3F72"/>
    <w:rsid w:val="003C53F0"/>
    <w:rsid w:val="003C6737"/>
    <w:rsid w:val="003C68DE"/>
    <w:rsid w:val="003C702A"/>
    <w:rsid w:val="003C7F14"/>
    <w:rsid w:val="003D217C"/>
    <w:rsid w:val="003D226D"/>
    <w:rsid w:val="003D2A76"/>
    <w:rsid w:val="003D312C"/>
    <w:rsid w:val="003D33C3"/>
    <w:rsid w:val="003D391B"/>
    <w:rsid w:val="003D3D49"/>
    <w:rsid w:val="003D4193"/>
    <w:rsid w:val="003D4723"/>
    <w:rsid w:val="003D4CA5"/>
    <w:rsid w:val="003D4FE1"/>
    <w:rsid w:val="003D6056"/>
    <w:rsid w:val="003D61B3"/>
    <w:rsid w:val="003D6228"/>
    <w:rsid w:val="003D7A6B"/>
    <w:rsid w:val="003D7D5F"/>
    <w:rsid w:val="003D7E9A"/>
    <w:rsid w:val="003E05A2"/>
    <w:rsid w:val="003E1426"/>
    <w:rsid w:val="003E2D7F"/>
    <w:rsid w:val="003E3DBB"/>
    <w:rsid w:val="003E4B91"/>
    <w:rsid w:val="003E5A95"/>
    <w:rsid w:val="003E68BE"/>
    <w:rsid w:val="003E6904"/>
    <w:rsid w:val="003E72F9"/>
    <w:rsid w:val="003E7500"/>
    <w:rsid w:val="003E7FB2"/>
    <w:rsid w:val="003F0695"/>
    <w:rsid w:val="003F1530"/>
    <w:rsid w:val="003F1FCB"/>
    <w:rsid w:val="003F2499"/>
    <w:rsid w:val="003F25E7"/>
    <w:rsid w:val="003F29F5"/>
    <w:rsid w:val="003F2CB2"/>
    <w:rsid w:val="003F2E4D"/>
    <w:rsid w:val="003F2F29"/>
    <w:rsid w:val="003F317E"/>
    <w:rsid w:val="003F3772"/>
    <w:rsid w:val="003F3F02"/>
    <w:rsid w:val="003F407D"/>
    <w:rsid w:val="003F4A63"/>
    <w:rsid w:val="003F4AEE"/>
    <w:rsid w:val="003F5D3D"/>
    <w:rsid w:val="003F5F1F"/>
    <w:rsid w:val="003F619E"/>
    <w:rsid w:val="003F6649"/>
    <w:rsid w:val="003F6810"/>
    <w:rsid w:val="003F735E"/>
    <w:rsid w:val="003F7DE3"/>
    <w:rsid w:val="0040001E"/>
    <w:rsid w:val="00400A67"/>
    <w:rsid w:val="0040199F"/>
    <w:rsid w:val="00402AD6"/>
    <w:rsid w:val="00402B1F"/>
    <w:rsid w:val="00403D48"/>
    <w:rsid w:val="004042BF"/>
    <w:rsid w:val="00404756"/>
    <w:rsid w:val="00405D0C"/>
    <w:rsid w:val="00405F71"/>
    <w:rsid w:val="00406047"/>
    <w:rsid w:val="0040668E"/>
    <w:rsid w:val="004073CB"/>
    <w:rsid w:val="004076A3"/>
    <w:rsid w:val="0041013D"/>
    <w:rsid w:val="0041038A"/>
    <w:rsid w:val="00411CD0"/>
    <w:rsid w:val="004121D3"/>
    <w:rsid w:val="0041410D"/>
    <w:rsid w:val="0041462B"/>
    <w:rsid w:val="0041466E"/>
    <w:rsid w:val="004155C3"/>
    <w:rsid w:val="00415905"/>
    <w:rsid w:val="00420042"/>
    <w:rsid w:val="00420A2B"/>
    <w:rsid w:val="00420D26"/>
    <w:rsid w:val="00422DBB"/>
    <w:rsid w:val="004234B2"/>
    <w:rsid w:val="004237D6"/>
    <w:rsid w:val="004237FF"/>
    <w:rsid w:val="00423B18"/>
    <w:rsid w:val="00423DED"/>
    <w:rsid w:val="004265BD"/>
    <w:rsid w:val="004269FC"/>
    <w:rsid w:val="00431025"/>
    <w:rsid w:val="00431131"/>
    <w:rsid w:val="00431EA0"/>
    <w:rsid w:val="00432DEE"/>
    <w:rsid w:val="004339BC"/>
    <w:rsid w:val="00435139"/>
    <w:rsid w:val="00435311"/>
    <w:rsid w:val="004359FD"/>
    <w:rsid w:val="00435E9A"/>
    <w:rsid w:val="0043750D"/>
    <w:rsid w:val="0044096D"/>
    <w:rsid w:val="0044114E"/>
    <w:rsid w:val="00442074"/>
    <w:rsid w:val="00442BFF"/>
    <w:rsid w:val="00443597"/>
    <w:rsid w:val="004443E8"/>
    <w:rsid w:val="00444F03"/>
    <w:rsid w:val="00445528"/>
    <w:rsid w:val="0044555D"/>
    <w:rsid w:val="004464B7"/>
    <w:rsid w:val="00446737"/>
    <w:rsid w:val="004469E3"/>
    <w:rsid w:val="00447DF3"/>
    <w:rsid w:val="00447E57"/>
    <w:rsid w:val="00450339"/>
    <w:rsid w:val="00451365"/>
    <w:rsid w:val="004513C5"/>
    <w:rsid w:val="00451C9A"/>
    <w:rsid w:val="0045321D"/>
    <w:rsid w:val="00453468"/>
    <w:rsid w:val="0045388C"/>
    <w:rsid w:val="00453F5B"/>
    <w:rsid w:val="00454785"/>
    <w:rsid w:val="00455787"/>
    <w:rsid w:val="004558DA"/>
    <w:rsid w:val="00455F69"/>
    <w:rsid w:val="00456AE7"/>
    <w:rsid w:val="004570B9"/>
    <w:rsid w:val="00457277"/>
    <w:rsid w:val="004629FD"/>
    <w:rsid w:val="00463CE1"/>
    <w:rsid w:val="004659B4"/>
    <w:rsid w:val="00465F0B"/>
    <w:rsid w:val="00466965"/>
    <w:rsid w:val="00467131"/>
    <w:rsid w:val="00467B69"/>
    <w:rsid w:val="00467EDA"/>
    <w:rsid w:val="00467F19"/>
    <w:rsid w:val="004716B1"/>
    <w:rsid w:val="00471C1B"/>
    <w:rsid w:val="00473548"/>
    <w:rsid w:val="0047390E"/>
    <w:rsid w:val="00474489"/>
    <w:rsid w:val="0047467E"/>
    <w:rsid w:val="00474EEE"/>
    <w:rsid w:val="00475263"/>
    <w:rsid w:val="00475863"/>
    <w:rsid w:val="00476191"/>
    <w:rsid w:val="00476695"/>
    <w:rsid w:val="00476CFF"/>
    <w:rsid w:val="00476E3D"/>
    <w:rsid w:val="0048151A"/>
    <w:rsid w:val="004816CA"/>
    <w:rsid w:val="00481BF6"/>
    <w:rsid w:val="004822EE"/>
    <w:rsid w:val="004831C5"/>
    <w:rsid w:val="00484524"/>
    <w:rsid w:val="00485203"/>
    <w:rsid w:val="004858D7"/>
    <w:rsid w:val="00487BCD"/>
    <w:rsid w:val="00487DDC"/>
    <w:rsid w:val="004903E6"/>
    <w:rsid w:val="00492653"/>
    <w:rsid w:val="00493238"/>
    <w:rsid w:val="00493358"/>
    <w:rsid w:val="0049455C"/>
    <w:rsid w:val="00494A13"/>
    <w:rsid w:val="004956E3"/>
    <w:rsid w:val="00495DCC"/>
    <w:rsid w:val="00497D21"/>
    <w:rsid w:val="00497FD6"/>
    <w:rsid w:val="004A00DB"/>
    <w:rsid w:val="004A1136"/>
    <w:rsid w:val="004A1175"/>
    <w:rsid w:val="004A16AC"/>
    <w:rsid w:val="004A285D"/>
    <w:rsid w:val="004A3AD9"/>
    <w:rsid w:val="004A4484"/>
    <w:rsid w:val="004A4C58"/>
    <w:rsid w:val="004A6CE1"/>
    <w:rsid w:val="004A6E28"/>
    <w:rsid w:val="004A6E62"/>
    <w:rsid w:val="004B0322"/>
    <w:rsid w:val="004B04E0"/>
    <w:rsid w:val="004B1518"/>
    <w:rsid w:val="004B168E"/>
    <w:rsid w:val="004B320A"/>
    <w:rsid w:val="004B37F9"/>
    <w:rsid w:val="004B3D5C"/>
    <w:rsid w:val="004B4041"/>
    <w:rsid w:val="004B459D"/>
    <w:rsid w:val="004B56E9"/>
    <w:rsid w:val="004B6FDF"/>
    <w:rsid w:val="004B757F"/>
    <w:rsid w:val="004B7DF6"/>
    <w:rsid w:val="004C1056"/>
    <w:rsid w:val="004C149F"/>
    <w:rsid w:val="004C150B"/>
    <w:rsid w:val="004C3B37"/>
    <w:rsid w:val="004C4116"/>
    <w:rsid w:val="004C4681"/>
    <w:rsid w:val="004C517C"/>
    <w:rsid w:val="004C5289"/>
    <w:rsid w:val="004C5BA9"/>
    <w:rsid w:val="004C67ED"/>
    <w:rsid w:val="004C7438"/>
    <w:rsid w:val="004C7CA7"/>
    <w:rsid w:val="004C7ED6"/>
    <w:rsid w:val="004D0969"/>
    <w:rsid w:val="004D0D9D"/>
    <w:rsid w:val="004D1408"/>
    <w:rsid w:val="004D2B8D"/>
    <w:rsid w:val="004D2C0D"/>
    <w:rsid w:val="004D34C9"/>
    <w:rsid w:val="004D4B5D"/>
    <w:rsid w:val="004D56A2"/>
    <w:rsid w:val="004D5A27"/>
    <w:rsid w:val="004D7EAA"/>
    <w:rsid w:val="004E2130"/>
    <w:rsid w:val="004E2CEE"/>
    <w:rsid w:val="004E3D2D"/>
    <w:rsid w:val="004E45F6"/>
    <w:rsid w:val="004E5ABE"/>
    <w:rsid w:val="004E703C"/>
    <w:rsid w:val="004F0BE2"/>
    <w:rsid w:val="004F14A7"/>
    <w:rsid w:val="004F1986"/>
    <w:rsid w:val="004F19A3"/>
    <w:rsid w:val="004F2285"/>
    <w:rsid w:val="004F28A6"/>
    <w:rsid w:val="004F498D"/>
    <w:rsid w:val="004F50D1"/>
    <w:rsid w:val="004F5E0A"/>
    <w:rsid w:val="00501AE3"/>
    <w:rsid w:val="00501EB9"/>
    <w:rsid w:val="00501F94"/>
    <w:rsid w:val="0050351F"/>
    <w:rsid w:val="005036C0"/>
    <w:rsid w:val="005037B3"/>
    <w:rsid w:val="00505BFB"/>
    <w:rsid w:val="005063F1"/>
    <w:rsid w:val="00506638"/>
    <w:rsid w:val="00507AE5"/>
    <w:rsid w:val="00507D64"/>
    <w:rsid w:val="00507EB6"/>
    <w:rsid w:val="005108AA"/>
    <w:rsid w:val="005113DD"/>
    <w:rsid w:val="0051274F"/>
    <w:rsid w:val="00513307"/>
    <w:rsid w:val="00514B32"/>
    <w:rsid w:val="0051619C"/>
    <w:rsid w:val="005163BC"/>
    <w:rsid w:val="00516DDB"/>
    <w:rsid w:val="00517709"/>
    <w:rsid w:val="00517A6A"/>
    <w:rsid w:val="005201D5"/>
    <w:rsid w:val="005223CF"/>
    <w:rsid w:val="005244F1"/>
    <w:rsid w:val="00524BBC"/>
    <w:rsid w:val="0052542D"/>
    <w:rsid w:val="005265BD"/>
    <w:rsid w:val="00527F32"/>
    <w:rsid w:val="0053060A"/>
    <w:rsid w:val="0053239B"/>
    <w:rsid w:val="00532A62"/>
    <w:rsid w:val="00532BD2"/>
    <w:rsid w:val="00532BE8"/>
    <w:rsid w:val="00533CD3"/>
    <w:rsid w:val="00535337"/>
    <w:rsid w:val="00535694"/>
    <w:rsid w:val="00535759"/>
    <w:rsid w:val="00535F4E"/>
    <w:rsid w:val="00536898"/>
    <w:rsid w:val="00540828"/>
    <w:rsid w:val="00540F24"/>
    <w:rsid w:val="00541819"/>
    <w:rsid w:val="00542CB5"/>
    <w:rsid w:val="00543CC2"/>
    <w:rsid w:val="0054422A"/>
    <w:rsid w:val="005471E4"/>
    <w:rsid w:val="005475F6"/>
    <w:rsid w:val="00547F84"/>
    <w:rsid w:val="00551291"/>
    <w:rsid w:val="0055153A"/>
    <w:rsid w:val="00551B85"/>
    <w:rsid w:val="00552145"/>
    <w:rsid w:val="005524A5"/>
    <w:rsid w:val="00553BCD"/>
    <w:rsid w:val="00553E7F"/>
    <w:rsid w:val="005544E4"/>
    <w:rsid w:val="005546CD"/>
    <w:rsid w:val="00554BA7"/>
    <w:rsid w:val="00554EB1"/>
    <w:rsid w:val="005551E3"/>
    <w:rsid w:val="0055548A"/>
    <w:rsid w:val="00555FAA"/>
    <w:rsid w:val="00555FB1"/>
    <w:rsid w:val="00556770"/>
    <w:rsid w:val="00557098"/>
    <w:rsid w:val="00557A17"/>
    <w:rsid w:val="00557CD9"/>
    <w:rsid w:val="00560BC7"/>
    <w:rsid w:val="0056280E"/>
    <w:rsid w:val="00562A1E"/>
    <w:rsid w:val="005635F2"/>
    <w:rsid w:val="00566EFA"/>
    <w:rsid w:val="005671E9"/>
    <w:rsid w:val="005726F2"/>
    <w:rsid w:val="005726F8"/>
    <w:rsid w:val="005737CD"/>
    <w:rsid w:val="00575BB0"/>
    <w:rsid w:val="00575CCD"/>
    <w:rsid w:val="00575D20"/>
    <w:rsid w:val="00576A25"/>
    <w:rsid w:val="00580926"/>
    <w:rsid w:val="00581BB0"/>
    <w:rsid w:val="00582202"/>
    <w:rsid w:val="00583206"/>
    <w:rsid w:val="00583581"/>
    <w:rsid w:val="00583D3E"/>
    <w:rsid w:val="005840A5"/>
    <w:rsid w:val="00584462"/>
    <w:rsid w:val="005844BC"/>
    <w:rsid w:val="00584840"/>
    <w:rsid w:val="00587B73"/>
    <w:rsid w:val="00590B19"/>
    <w:rsid w:val="00590D1C"/>
    <w:rsid w:val="005910CE"/>
    <w:rsid w:val="005925FB"/>
    <w:rsid w:val="005929D8"/>
    <w:rsid w:val="00596A5C"/>
    <w:rsid w:val="00596FE8"/>
    <w:rsid w:val="005A0004"/>
    <w:rsid w:val="005A1154"/>
    <w:rsid w:val="005A1199"/>
    <w:rsid w:val="005A14B3"/>
    <w:rsid w:val="005A2151"/>
    <w:rsid w:val="005A28F4"/>
    <w:rsid w:val="005A2D61"/>
    <w:rsid w:val="005A2DF5"/>
    <w:rsid w:val="005A3066"/>
    <w:rsid w:val="005A3409"/>
    <w:rsid w:val="005A4361"/>
    <w:rsid w:val="005A5630"/>
    <w:rsid w:val="005A605C"/>
    <w:rsid w:val="005A6073"/>
    <w:rsid w:val="005A6C90"/>
    <w:rsid w:val="005A72FC"/>
    <w:rsid w:val="005A7B0A"/>
    <w:rsid w:val="005B093A"/>
    <w:rsid w:val="005B0996"/>
    <w:rsid w:val="005B1B45"/>
    <w:rsid w:val="005B1ECA"/>
    <w:rsid w:val="005B1F19"/>
    <w:rsid w:val="005B46FB"/>
    <w:rsid w:val="005B4D4F"/>
    <w:rsid w:val="005B58E0"/>
    <w:rsid w:val="005B62C2"/>
    <w:rsid w:val="005B7D4C"/>
    <w:rsid w:val="005C0B65"/>
    <w:rsid w:val="005C0C3D"/>
    <w:rsid w:val="005C111D"/>
    <w:rsid w:val="005C13EB"/>
    <w:rsid w:val="005C263E"/>
    <w:rsid w:val="005C3800"/>
    <w:rsid w:val="005C3B24"/>
    <w:rsid w:val="005C4189"/>
    <w:rsid w:val="005C4312"/>
    <w:rsid w:val="005C4990"/>
    <w:rsid w:val="005C5422"/>
    <w:rsid w:val="005C5899"/>
    <w:rsid w:val="005C683C"/>
    <w:rsid w:val="005C7F41"/>
    <w:rsid w:val="005D0690"/>
    <w:rsid w:val="005D142A"/>
    <w:rsid w:val="005D1CC3"/>
    <w:rsid w:val="005D1E57"/>
    <w:rsid w:val="005D4247"/>
    <w:rsid w:val="005D4EFD"/>
    <w:rsid w:val="005D5B96"/>
    <w:rsid w:val="005D7C9E"/>
    <w:rsid w:val="005E04F2"/>
    <w:rsid w:val="005E0566"/>
    <w:rsid w:val="005E0893"/>
    <w:rsid w:val="005E1203"/>
    <w:rsid w:val="005E5665"/>
    <w:rsid w:val="005E5776"/>
    <w:rsid w:val="005E7AE4"/>
    <w:rsid w:val="005F0179"/>
    <w:rsid w:val="005F1963"/>
    <w:rsid w:val="005F24BF"/>
    <w:rsid w:val="005F281A"/>
    <w:rsid w:val="005F2DDA"/>
    <w:rsid w:val="005F2E7E"/>
    <w:rsid w:val="005F3690"/>
    <w:rsid w:val="005F3EDF"/>
    <w:rsid w:val="005F4234"/>
    <w:rsid w:val="005F4D95"/>
    <w:rsid w:val="005F4F85"/>
    <w:rsid w:val="005F5499"/>
    <w:rsid w:val="005F6C63"/>
    <w:rsid w:val="00600FF9"/>
    <w:rsid w:val="006016EA"/>
    <w:rsid w:val="00602317"/>
    <w:rsid w:val="006042E3"/>
    <w:rsid w:val="00605878"/>
    <w:rsid w:val="00605C86"/>
    <w:rsid w:val="006067F8"/>
    <w:rsid w:val="0060727B"/>
    <w:rsid w:val="0060765A"/>
    <w:rsid w:val="00610EF8"/>
    <w:rsid w:val="006116A1"/>
    <w:rsid w:val="0061208F"/>
    <w:rsid w:val="0061247E"/>
    <w:rsid w:val="00612806"/>
    <w:rsid w:val="00613379"/>
    <w:rsid w:val="0061340A"/>
    <w:rsid w:val="00613C19"/>
    <w:rsid w:val="00614278"/>
    <w:rsid w:val="006146B5"/>
    <w:rsid w:val="00615259"/>
    <w:rsid w:val="00615B31"/>
    <w:rsid w:val="006162F9"/>
    <w:rsid w:val="00616491"/>
    <w:rsid w:val="00616852"/>
    <w:rsid w:val="00616E6F"/>
    <w:rsid w:val="00617100"/>
    <w:rsid w:val="00617E8E"/>
    <w:rsid w:val="0062010F"/>
    <w:rsid w:val="006204DC"/>
    <w:rsid w:val="0062084B"/>
    <w:rsid w:val="006211EC"/>
    <w:rsid w:val="00621667"/>
    <w:rsid w:val="00621699"/>
    <w:rsid w:val="0062172B"/>
    <w:rsid w:val="006217D9"/>
    <w:rsid w:val="00623340"/>
    <w:rsid w:val="00624C83"/>
    <w:rsid w:val="00624D16"/>
    <w:rsid w:val="00624FFD"/>
    <w:rsid w:val="00626746"/>
    <w:rsid w:val="00631FBF"/>
    <w:rsid w:val="0063292B"/>
    <w:rsid w:val="006329EE"/>
    <w:rsid w:val="006339E3"/>
    <w:rsid w:val="00633EEE"/>
    <w:rsid w:val="00634375"/>
    <w:rsid w:val="00636FD0"/>
    <w:rsid w:val="00637B23"/>
    <w:rsid w:val="00637E1E"/>
    <w:rsid w:val="006402ED"/>
    <w:rsid w:val="0064104B"/>
    <w:rsid w:val="00641092"/>
    <w:rsid w:val="006412D1"/>
    <w:rsid w:val="00641951"/>
    <w:rsid w:val="0064234C"/>
    <w:rsid w:val="00642663"/>
    <w:rsid w:val="00642F49"/>
    <w:rsid w:val="0064313A"/>
    <w:rsid w:val="0064316B"/>
    <w:rsid w:val="00644EE3"/>
    <w:rsid w:val="00645B49"/>
    <w:rsid w:val="00645F23"/>
    <w:rsid w:val="00646C09"/>
    <w:rsid w:val="0065024F"/>
    <w:rsid w:val="006518A1"/>
    <w:rsid w:val="00651EF8"/>
    <w:rsid w:val="0065204F"/>
    <w:rsid w:val="0065209F"/>
    <w:rsid w:val="0065224D"/>
    <w:rsid w:val="00652CEA"/>
    <w:rsid w:val="00653E26"/>
    <w:rsid w:val="006542E1"/>
    <w:rsid w:val="0065589D"/>
    <w:rsid w:val="00656115"/>
    <w:rsid w:val="006574FE"/>
    <w:rsid w:val="00657B04"/>
    <w:rsid w:val="0066194E"/>
    <w:rsid w:val="0066195A"/>
    <w:rsid w:val="00661D2A"/>
    <w:rsid w:val="00661DD7"/>
    <w:rsid w:val="0066219E"/>
    <w:rsid w:val="00662814"/>
    <w:rsid w:val="006633FB"/>
    <w:rsid w:val="006642DA"/>
    <w:rsid w:val="006644FB"/>
    <w:rsid w:val="00664C28"/>
    <w:rsid w:val="006661BD"/>
    <w:rsid w:val="006678D2"/>
    <w:rsid w:val="006702D9"/>
    <w:rsid w:val="006710E0"/>
    <w:rsid w:val="00671C77"/>
    <w:rsid w:val="00672406"/>
    <w:rsid w:val="0067261B"/>
    <w:rsid w:val="00672795"/>
    <w:rsid w:val="00673F49"/>
    <w:rsid w:val="00674949"/>
    <w:rsid w:val="00675111"/>
    <w:rsid w:val="0067659B"/>
    <w:rsid w:val="00676EFB"/>
    <w:rsid w:val="006773A3"/>
    <w:rsid w:val="00677934"/>
    <w:rsid w:val="00677DAE"/>
    <w:rsid w:val="00680BF7"/>
    <w:rsid w:val="006811B4"/>
    <w:rsid w:val="00681E9B"/>
    <w:rsid w:val="00682B69"/>
    <w:rsid w:val="00682C3B"/>
    <w:rsid w:val="006835E6"/>
    <w:rsid w:val="00684429"/>
    <w:rsid w:val="0068460C"/>
    <w:rsid w:val="00685B9E"/>
    <w:rsid w:val="00686852"/>
    <w:rsid w:val="00686913"/>
    <w:rsid w:val="0068778E"/>
    <w:rsid w:val="006877F4"/>
    <w:rsid w:val="006878B4"/>
    <w:rsid w:val="0069061C"/>
    <w:rsid w:val="006906C2"/>
    <w:rsid w:val="006908C8"/>
    <w:rsid w:val="0069132B"/>
    <w:rsid w:val="00692C4A"/>
    <w:rsid w:val="00693030"/>
    <w:rsid w:val="006942DA"/>
    <w:rsid w:val="00695090"/>
    <w:rsid w:val="00695172"/>
    <w:rsid w:val="00695627"/>
    <w:rsid w:val="00695709"/>
    <w:rsid w:val="00695DF9"/>
    <w:rsid w:val="006962E0"/>
    <w:rsid w:val="00696631"/>
    <w:rsid w:val="00696F6B"/>
    <w:rsid w:val="0069739C"/>
    <w:rsid w:val="0069769B"/>
    <w:rsid w:val="006A3511"/>
    <w:rsid w:val="006A376C"/>
    <w:rsid w:val="006A4FE8"/>
    <w:rsid w:val="006A557A"/>
    <w:rsid w:val="006A64ED"/>
    <w:rsid w:val="006B1DB6"/>
    <w:rsid w:val="006B28B3"/>
    <w:rsid w:val="006B2BAD"/>
    <w:rsid w:val="006B2C8A"/>
    <w:rsid w:val="006B31DC"/>
    <w:rsid w:val="006B33C1"/>
    <w:rsid w:val="006B34DC"/>
    <w:rsid w:val="006B36D5"/>
    <w:rsid w:val="006B40B4"/>
    <w:rsid w:val="006B4518"/>
    <w:rsid w:val="006B5587"/>
    <w:rsid w:val="006B613C"/>
    <w:rsid w:val="006B654E"/>
    <w:rsid w:val="006B6EB0"/>
    <w:rsid w:val="006B7B1B"/>
    <w:rsid w:val="006B7D19"/>
    <w:rsid w:val="006C0EFC"/>
    <w:rsid w:val="006C0FC6"/>
    <w:rsid w:val="006C18EE"/>
    <w:rsid w:val="006C1AD1"/>
    <w:rsid w:val="006C21BB"/>
    <w:rsid w:val="006C2E5C"/>
    <w:rsid w:val="006C3790"/>
    <w:rsid w:val="006C401B"/>
    <w:rsid w:val="006C4BB2"/>
    <w:rsid w:val="006C5C90"/>
    <w:rsid w:val="006C5E4F"/>
    <w:rsid w:val="006C6200"/>
    <w:rsid w:val="006C67F3"/>
    <w:rsid w:val="006C6C9B"/>
    <w:rsid w:val="006C6E56"/>
    <w:rsid w:val="006C6EA5"/>
    <w:rsid w:val="006C7304"/>
    <w:rsid w:val="006C76BF"/>
    <w:rsid w:val="006C7810"/>
    <w:rsid w:val="006D06DF"/>
    <w:rsid w:val="006D0BD9"/>
    <w:rsid w:val="006D1596"/>
    <w:rsid w:val="006D201D"/>
    <w:rsid w:val="006D23C7"/>
    <w:rsid w:val="006D28C8"/>
    <w:rsid w:val="006D3999"/>
    <w:rsid w:val="006D3E18"/>
    <w:rsid w:val="006D48E5"/>
    <w:rsid w:val="006D57BB"/>
    <w:rsid w:val="006D73F1"/>
    <w:rsid w:val="006D7473"/>
    <w:rsid w:val="006E0F99"/>
    <w:rsid w:val="006E111C"/>
    <w:rsid w:val="006E1284"/>
    <w:rsid w:val="006E1EC8"/>
    <w:rsid w:val="006E3A09"/>
    <w:rsid w:val="006E4419"/>
    <w:rsid w:val="006E4571"/>
    <w:rsid w:val="006E54DA"/>
    <w:rsid w:val="006E5924"/>
    <w:rsid w:val="006E5EA8"/>
    <w:rsid w:val="006E5FAE"/>
    <w:rsid w:val="006E604F"/>
    <w:rsid w:val="006E6223"/>
    <w:rsid w:val="006E6C31"/>
    <w:rsid w:val="006E7153"/>
    <w:rsid w:val="006E76BB"/>
    <w:rsid w:val="006E78B3"/>
    <w:rsid w:val="006F29A9"/>
    <w:rsid w:val="006F3271"/>
    <w:rsid w:val="006F3BDE"/>
    <w:rsid w:val="006F3D93"/>
    <w:rsid w:val="006F42CF"/>
    <w:rsid w:val="006F4954"/>
    <w:rsid w:val="006F4C22"/>
    <w:rsid w:val="006F7BF2"/>
    <w:rsid w:val="007005CD"/>
    <w:rsid w:val="0070276A"/>
    <w:rsid w:val="00702884"/>
    <w:rsid w:val="00703E88"/>
    <w:rsid w:val="00704B34"/>
    <w:rsid w:val="007060A5"/>
    <w:rsid w:val="007062AC"/>
    <w:rsid w:val="0070661D"/>
    <w:rsid w:val="00706661"/>
    <w:rsid w:val="00707123"/>
    <w:rsid w:val="0070726D"/>
    <w:rsid w:val="00707AE6"/>
    <w:rsid w:val="0071026C"/>
    <w:rsid w:val="00710292"/>
    <w:rsid w:val="007106B1"/>
    <w:rsid w:val="007113BB"/>
    <w:rsid w:val="007125C1"/>
    <w:rsid w:val="00712B7B"/>
    <w:rsid w:val="00713BBE"/>
    <w:rsid w:val="00714232"/>
    <w:rsid w:val="0071463B"/>
    <w:rsid w:val="00714851"/>
    <w:rsid w:val="007151E0"/>
    <w:rsid w:val="00715A1A"/>
    <w:rsid w:val="00715E0F"/>
    <w:rsid w:val="007163AE"/>
    <w:rsid w:val="0071720D"/>
    <w:rsid w:val="0071749B"/>
    <w:rsid w:val="00720959"/>
    <w:rsid w:val="00720E57"/>
    <w:rsid w:val="0072106E"/>
    <w:rsid w:val="0072192E"/>
    <w:rsid w:val="00721B93"/>
    <w:rsid w:val="00722631"/>
    <w:rsid w:val="00722C78"/>
    <w:rsid w:val="00723AE0"/>
    <w:rsid w:val="00724277"/>
    <w:rsid w:val="00724598"/>
    <w:rsid w:val="0072477B"/>
    <w:rsid w:val="00724AF9"/>
    <w:rsid w:val="007271F9"/>
    <w:rsid w:val="00731F90"/>
    <w:rsid w:val="007333C2"/>
    <w:rsid w:val="007333D2"/>
    <w:rsid w:val="00733DDE"/>
    <w:rsid w:val="0073458B"/>
    <w:rsid w:val="00734719"/>
    <w:rsid w:val="00734D4A"/>
    <w:rsid w:val="0073518E"/>
    <w:rsid w:val="00735970"/>
    <w:rsid w:val="0073618C"/>
    <w:rsid w:val="007366C7"/>
    <w:rsid w:val="00736CE2"/>
    <w:rsid w:val="007376EC"/>
    <w:rsid w:val="00740A29"/>
    <w:rsid w:val="00743C03"/>
    <w:rsid w:val="00743CDE"/>
    <w:rsid w:val="007442FE"/>
    <w:rsid w:val="00744E11"/>
    <w:rsid w:val="00744EEE"/>
    <w:rsid w:val="0074523A"/>
    <w:rsid w:val="007457D1"/>
    <w:rsid w:val="007464D4"/>
    <w:rsid w:val="00746BAA"/>
    <w:rsid w:val="00747A35"/>
    <w:rsid w:val="00750943"/>
    <w:rsid w:val="00750E8D"/>
    <w:rsid w:val="0075308B"/>
    <w:rsid w:val="00754D01"/>
    <w:rsid w:val="0075552B"/>
    <w:rsid w:val="00755A4F"/>
    <w:rsid w:val="00756F96"/>
    <w:rsid w:val="007577EC"/>
    <w:rsid w:val="00757C09"/>
    <w:rsid w:val="00757EA0"/>
    <w:rsid w:val="0076069A"/>
    <w:rsid w:val="0076154C"/>
    <w:rsid w:val="00761C1F"/>
    <w:rsid w:val="00762AD6"/>
    <w:rsid w:val="0076301F"/>
    <w:rsid w:val="00763CDC"/>
    <w:rsid w:val="0076423E"/>
    <w:rsid w:val="0076472E"/>
    <w:rsid w:val="00764D2B"/>
    <w:rsid w:val="00764E47"/>
    <w:rsid w:val="00765A07"/>
    <w:rsid w:val="007666D1"/>
    <w:rsid w:val="00766EE3"/>
    <w:rsid w:val="00770112"/>
    <w:rsid w:val="00770786"/>
    <w:rsid w:val="007714A4"/>
    <w:rsid w:val="0077161C"/>
    <w:rsid w:val="00771AB2"/>
    <w:rsid w:val="00772323"/>
    <w:rsid w:val="0077260E"/>
    <w:rsid w:val="0077424C"/>
    <w:rsid w:val="00774749"/>
    <w:rsid w:val="00774E06"/>
    <w:rsid w:val="007754AB"/>
    <w:rsid w:val="007754E3"/>
    <w:rsid w:val="00776180"/>
    <w:rsid w:val="00776B3E"/>
    <w:rsid w:val="00776D4B"/>
    <w:rsid w:val="00777764"/>
    <w:rsid w:val="007778C1"/>
    <w:rsid w:val="00777BC5"/>
    <w:rsid w:val="00783318"/>
    <w:rsid w:val="0078635C"/>
    <w:rsid w:val="00787C68"/>
    <w:rsid w:val="007901AE"/>
    <w:rsid w:val="007905A0"/>
    <w:rsid w:val="007940D9"/>
    <w:rsid w:val="007945C8"/>
    <w:rsid w:val="00794ACA"/>
    <w:rsid w:val="00795EAB"/>
    <w:rsid w:val="00796463"/>
    <w:rsid w:val="0079652E"/>
    <w:rsid w:val="00796852"/>
    <w:rsid w:val="00796ED3"/>
    <w:rsid w:val="00797655"/>
    <w:rsid w:val="007A0023"/>
    <w:rsid w:val="007A13E8"/>
    <w:rsid w:val="007A2A1B"/>
    <w:rsid w:val="007A346B"/>
    <w:rsid w:val="007A3A46"/>
    <w:rsid w:val="007A4206"/>
    <w:rsid w:val="007A4A0A"/>
    <w:rsid w:val="007A4AB3"/>
    <w:rsid w:val="007A53B2"/>
    <w:rsid w:val="007A551C"/>
    <w:rsid w:val="007A5662"/>
    <w:rsid w:val="007A5A48"/>
    <w:rsid w:val="007A61F7"/>
    <w:rsid w:val="007A6538"/>
    <w:rsid w:val="007A71C5"/>
    <w:rsid w:val="007A7BF4"/>
    <w:rsid w:val="007A7F29"/>
    <w:rsid w:val="007B0749"/>
    <w:rsid w:val="007B0C0C"/>
    <w:rsid w:val="007B0D35"/>
    <w:rsid w:val="007B0DDA"/>
    <w:rsid w:val="007B119F"/>
    <w:rsid w:val="007B11E7"/>
    <w:rsid w:val="007B1E05"/>
    <w:rsid w:val="007B1EFC"/>
    <w:rsid w:val="007B22F3"/>
    <w:rsid w:val="007B23C5"/>
    <w:rsid w:val="007B3202"/>
    <w:rsid w:val="007B6EDF"/>
    <w:rsid w:val="007C0490"/>
    <w:rsid w:val="007C05C2"/>
    <w:rsid w:val="007C08B8"/>
    <w:rsid w:val="007C0EF5"/>
    <w:rsid w:val="007C2519"/>
    <w:rsid w:val="007C2E6C"/>
    <w:rsid w:val="007C40A8"/>
    <w:rsid w:val="007C46B4"/>
    <w:rsid w:val="007C7017"/>
    <w:rsid w:val="007C70F8"/>
    <w:rsid w:val="007C7EAE"/>
    <w:rsid w:val="007D0C1E"/>
    <w:rsid w:val="007D1101"/>
    <w:rsid w:val="007D17CA"/>
    <w:rsid w:val="007D2038"/>
    <w:rsid w:val="007D2F64"/>
    <w:rsid w:val="007D34EB"/>
    <w:rsid w:val="007D5AF3"/>
    <w:rsid w:val="007D6146"/>
    <w:rsid w:val="007D77C6"/>
    <w:rsid w:val="007E06A5"/>
    <w:rsid w:val="007E0BAF"/>
    <w:rsid w:val="007E1930"/>
    <w:rsid w:val="007E1A7D"/>
    <w:rsid w:val="007E2120"/>
    <w:rsid w:val="007E2C76"/>
    <w:rsid w:val="007E406F"/>
    <w:rsid w:val="007E415E"/>
    <w:rsid w:val="007E4C37"/>
    <w:rsid w:val="007E582A"/>
    <w:rsid w:val="007E588C"/>
    <w:rsid w:val="007E5FCB"/>
    <w:rsid w:val="007E7006"/>
    <w:rsid w:val="007E7893"/>
    <w:rsid w:val="007E79E8"/>
    <w:rsid w:val="007F1010"/>
    <w:rsid w:val="007F1090"/>
    <w:rsid w:val="007F1706"/>
    <w:rsid w:val="007F1B1E"/>
    <w:rsid w:val="007F2BB0"/>
    <w:rsid w:val="007F331A"/>
    <w:rsid w:val="007F42DA"/>
    <w:rsid w:val="007F4C76"/>
    <w:rsid w:val="007F514E"/>
    <w:rsid w:val="007F546E"/>
    <w:rsid w:val="007F5882"/>
    <w:rsid w:val="007F642F"/>
    <w:rsid w:val="007F718D"/>
    <w:rsid w:val="007F71B3"/>
    <w:rsid w:val="00800627"/>
    <w:rsid w:val="00800707"/>
    <w:rsid w:val="00803FCD"/>
    <w:rsid w:val="00804C89"/>
    <w:rsid w:val="00804DFD"/>
    <w:rsid w:val="00805808"/>
    <w:rsid w:val="00805D61"/>
    <w:rsid w:val="00806B3D"/>
    <w:rsid w:val="00806E40"/>
    <w:rsid w:val="00806F84"/>
    <w:rsid w:val="00810584"/>
    <w:rsid w:val="00810A70"/>
    <w:rsid w:val="0081108F"/>
    <w:rsid w:val="00811B38"/>
    <w:rsid w:val="00811CFD"/>
    <w:rsid w:val="008122AC"/>
    <w:rsid w:val="00812374"/>
    <w:rsid w:val="00813382"/>
    <w:rsid w:val="008141A4"/>
    <w:rsid w:val="008141A7"/>
    <w:rsid w:val="00815CA2"/>
    <w:rsid w:val="0081648E"/>
    <w:rsid w:val="00816714"/>
    <w:rsid w:val="00817E44"/>
    <w:rsid w:val="00821810"/>
    <w:rsid w:val="00821972"/>
    <w:rsid w:val="008221EA"/>
    <w:rsid w:val="0082234D"/>
    <w:rsid w:val="008228C9"/>
    <w:rsid w:val="0082340B"/>
    <w:rsid w:val="00823E58"/>
    <w:rsid w:val="00825BC6"/>
    <w:rsid w:val="008265BC"/>
    <w:rsid w:val="00826B2D"/>
    <w:rsid w:val="00826C88"/>
    <w:rsid w:val="008272C1"/>
    <w:rsid w:val="00830F9F"/>
    <w:rsid w:val="00831982"/>
    <w:rsid w:val="008325D9"/>
    <w:rsid w:val="00832C31"/>
    <w:rsid w:val="00833C6F"/>
    <w:rsid w:val="00833D84"/>
    <w:rsid w:val="00834E33"/>
    <w:rsid w:val="00835216"/>
    <w:rsid w:val="008362B5"/>
    <w:rsid w:val="00836D33"/>
    <w:rsid w:val="00840518"/>
    <w:rsid w:val="0084067F"/>
    <w:rsid w:val="0084068D"/>
    <w:rsid w:val="00840F0C"/>
    <w:rsid w:val="008427E4"/>
    <w:rsid w:val="008441F7"/>
    <w:rsid w:val="00844968"/>
    <w:rsid w:val="00844EF8"/>
    <w:rsid w:val="00845264"/>
    <w:rsid w:val="008458A6"/>
    <w:rsid w:val="00845C54"/>
    <w:rsid w:val="00845CEB"/>
    <w:rsid w:val="00846282"/>
    <w:rsid w:val="0084655C"/>
    <w:rsid w:val="00850A85"/>
    <w:rsid w:val="00851531"/>
    <w:rsid w:val="0085236A"/>
    <w:rsid w:val="0085334B"/>
    <w:rsid w:val="00854004"/>
    <w:rsid w:val="0085422C"/>
    <w:rsid w:val="00854582"/>
    <w:rsid w:val="00855302"/>
    <w:rsid w:val="00855F44"/>
    <w:rsid w:val="00856E93"/>
    <w:rsid w:val="00857455"/>
    <w:rsid w:val="0086106F"/>
    <w:rsid w:val="00862E95"/>
    <w:rsid w:val="00863468"/>
    <w:rsid w:val="0086394B"/>
    <w:rsid w:val="00865579"/>
    <w:rsid w:val="0086594C"/>
    <w:rsid w:val="0086612B"/>
    <w:rsid w:val="00866A2A"/>
    <w:rsid w:val="00867177"/>
    <w:rsid w:val="00867647"/>
    <w:rsid w:val="0087017B"/>
    <w:rsid w:val="008701C1"/>
    <w:rsid w:val="008702B6"/>
    <w:rsid w:val="00872138"/>
    <w:rsid w:val="00872C1A"/>
    <w:rsid w:val="008736EF"/>
    <w:rsid w:val="00873942"/>
    <w:rsid w:val="0087465E"/>
    <w:rsid w:val="00874A01"/>
    <w:rsid w:val="00874DAB"/>
    <w:rsid w:val="00875377"/>
    <w:rsid w:val="00875510"/>
    <w:rsid w:val="00875FB5"/>
    <w:rsid w:val="00876EF5"/>
    <w:rsid w:val="0087742C"/>
    <w:rsid w:val="00877D11"/>
    <w:rsid w:val="00881783"/>
    <w:rsid w:val="00881DD6"/>
    <w:rsid w:val="00882CB3"/>
    <w:rsid w:val="00882CC7"/>
    <w:rsid w:val="0088303C"/>
    <w:rsid w:val="00883888"/>
    <w:rsid w:val="00884DCA"/>
    <w:rsid w:val="00885266"/>
    <w:rsid w:val="00886981"/>
    <w:rsid w:val="00886C94"/>
    <w:rsid w:val="00887828"/>
    <w:rsid w:val="008910E6"/>
    <w:rsid w:val="008925AE"/>
    <w:rsid w:val="00892E7E"/>
    <w:rsid w:val="00893BA9"/>
    <w:rsid w:val="0089423C"/>
    <w:rsid w:val="0089461D"/>
    <w:rsid w:val="00894911"/>
    <w:rsid w:val="00895437"/>
    <w:rsid w:val="00895C68"/>
    <w:rsid w:val="008960C8"/>
    <w:rsid w:val="0089731F"/>
    <w:rsid w:val="00897708"/>
    <w:rsid w:val="008A05FD"/>
    <w:rsid w:val="008A0853"/>
    <w:rsid w:val="008A1CF1"/>
    <w:rsid w:val="008A1F50"/>
    <w:rsid w:val="008A275E"/>
    <w:rsid w:val="008A2B79"/>
    <w:rsid w:val="008A2E72"/>
    <w:rsid w:val="008A4BCB"/>
    <w:rsid w:val="008A6621"/>
    <w:rsid w:val="008A7F77"/>
    <w:rsid w:val="008B029A"/>
    <w:rsid w:val="008B0300"/>
    <w:rsid w:val="008B0672"/>
    <w:rsid w:val="008B074B"/>
    <w:rsid w:val="008B0B2A"/>
    <w:rsid w:val="008B17CA"/>
    <w:rsid w:val="008B34DC"/>
    <w:rsid w:val="008B4037"/>
    <w:rsid w:val="008B48C2"/>
    <w:rsid w:val="008B50EA"/>
    <w:rsid w:val="008B5290"/>
    <w:rsid w:val="008B5F53"/>
    <w:rsid w:val="008B73E1"/>
    <w:rsid w:val="008C042A"/>
    <w:rsid w:val="008C13CF"/>
    <w:rsid w:val="008C14D0"/>
    <w:rsid w:val="008C1A4B"/>
    <w:rsid w:val="008C1C56"/>
    <w:rsid w:val="008C20CB"/>
    <w:rsid w:val="008C2AC2"/>
    <w:rsid w:val="008C2FDF"/>
    <w:rsid w:val="008C3469"/>
    <w:rsid w:val="008C4A9F"/>
    <w:rsid w:val="008C5545"/>
    <w:rsid w:val="008C6A88"/>
    <w:rsid w:val="008C703C"/>
    <w:rsid w:val="008C7EBA"/>
    <w:rsid w:val="008D0C6A"/>
    <w:rsid w:val="008D0F04"/>
    <w:rsid w:val="008D1D52"/>
    <w:rsid w:val="008D1E61"/>
    <w:rsid w:val="008D1F34"/>
    <w:rsid w:val="008D2617"/>
    <w:rsid w:val="008D284F"/>
    <w:rsid w:val="008D2B32"/>
    <w:rsid w:val="008D2FB6"/>
    <w:rsid w:val="008D31E4"/>
    <w:rsid w:val="008D3857"/>
    <w:rsid w:val="008D3DE4"/>
    <w:rsid w:val="008D5052"/>
    <w:rsid w:val="008D5815"/>
    <w:rsid w:val="008D62DC"/>
    <w:rsid w:val="008D65D3"/>
    <w:rsid w:val="008D683F"/>
    <w:rsid w:val="008D69F0"/>
    <w:rsid w:val="008D6E4F"/>
    <w:rsid w:val="008E0EC0"/>
    <w:rsid w:val="008E18D2"/>
    <w:rsid w:val="008E2772"/>
    <w:rsid w:val="008E3C41"/>
    <w:rsid w:val="008E3CB3"/>
    <w:rsid w:val="008E3D2E"/>
    <w:rsid w:val="008E67B5"/>
    <w:rsid w:val="008E6833"/>
    <w:rsid w:val="008E696D"/>
    <w:rsid w:val="008E6C57"/>
    <w:rsid w:val="008F0B60"/>
    <w:rsid w:val="008F2069"/>
    <w:rsid w:val="008F25F1"/>
    <w:rsid w:val="008F3844"/>
    <w:rsid w:val="008F3C94"/>
    <w:rsid w:val="008F405C"/>
    <w:rsid w:val="008F52FD"/>
    <w:rsid w:val="008F5B5F"/>
    <w:rsid w:val="008F5F3B"/>
    <w:rsid w:val="008F6B45"/>
    <w:rsid w:val="008F6B7A"/>
    <w:rsid w:val="008F7008"/>
    <w:rsid w:val="008F77BF"/>
    <w:rsid w:val="00901F37"/>
    <w:rsid w:val="00902718"/>
    <w:rsid w:val="00902B5A"/>
    <w:rsid w:val="00902D6D"/>
    <w:rsid w:val="009034CB"/>
    <w:rsid w:val="00903ADB"/>
    <w:rsid w:val="0090482B"/>
    <w:rsid w:val="00904A70"/>
    <w:rsid w:val="00904C96"/>
    <w:rsid w:val="00905B99"/>
    <w:rsid w:val="00905BE6"/>
    <w:rsid w:val="00907436"/>
    <w:rsid w:val="00907995"/>
    <w:rsid w:val="009105F0"/>
    <w:rsid w:val="00910B09"/>
    <w:rsid w:val="00910B26"/>
    <w:rsid w:val="00911D40"/>
    <w:rsid w:val="00911E72"/>
    <w:rsid w:val="0091324D"/>
    <w:rsid w:val="00913BA2"/>
    <w:rsid w:val="00915434"/>
    <w:rsid w:val="00915FC3"/>
    <w:rsid w:val="009161DD"/>
    <w:rsid w:val="009165AD"/>
    <w:rsid w:val="00921662"/>
    <w:rsid w:val="0092176E"/>
    <w:rsid w:val="0092242C"/>
    <w:rsid w:val="00924FFD"/>
    <w:rsid w:val="00925805"/>
    <w:rsid w:val="00927155"/>
    <w:rsid w:val="0093049B"/>
    <w:rsid w:val="00930922"/>
    <w:rsid w:val="00930C2A"/>
    <w:rsid w:val="009313C9"/>
    <w:rsid w:val="00932591"/>
    <w:rsid w:val="00932817"/>
    <w:rsid w:val="00933E33"/>
    <w:rsid w:val="00940451"/>
    <w:rsid w:val="00941361"/>
    <w:rsid w:val="00941483"/>
    <w:rsid w:val="0094150B"/>
    <w:rsid w:val="009415A6"/>
    <w:rsid w:val="0094218C"/>
    <w:rsid w:val="00942742"/>
    <w:rsid w:val="00943328"/>
    <w:rsid w:val="00943844"/>
    <w:rsid w:val="00943FBE"/>
    <w:rsid w:val="0094432C"/>
    <w:rsid w:val="009464E5"/>
    <w:rsid w:val="009470F0"/>
    <w:rsid w:val="009473F0"/>
    <w:rsid w:val="00947FD4"/>
    <w:rsid w:val="00950363"/>
    <w:rsid w:val="00950BAF"/>
    <w:rsid w:val="00950F9C"/>
    <w:rsid w:val="0095139A"/>
    <w:rsid w:val="0095177C"/>
    <w:rsid w:val="00951ECA"/>
    <w:rsid w:val="00952857"/>
    <w:rsid w:val="00952CD4"/>
    <w:rsid w:val="00954341"/>
    <w:rsid w:val="009544FE"/>
    <w:rsid w:val="00955042"/>
    <w:rsid w:val="00956055"/>
    <w:rsid w:val="00956224"/>
    <w:rsid w:val="00956C7A"/>
    <w:rsid w:val="009576A0"/>
    <w:rsid w:val="009576BB"/>
    <w:rsid w:val="00957938"/>
    <w:rsid w:val="00957A26"/>
    <w:rsid w:val="00957DCC"/>
    <w:rsid w:val="00962480"/>
    <w:rsid w:val="00963195"/>
    <w:rsid w:val="0096336D"/>
    <w:rsid w:val="00963AB8"/>
    <w:rsid w:val="009647FB"/>
    <w:rsid w:val="00964ECC"/>
    <w:rsid w:val="009652A3"/>
    <w:rsid w:val="009671EA"/>
    <w:rsid w:val="0096773F"/>
    <w:rsid w:val="00970E88"/>
    <w:rsid w:val="0097157F"/>
    <w:rsid w:val="00971E1A"/>
    <w:rsid w:val="00971F67"/>
    <w:rsid w:val="009724A3"/>
    <w:rsid w:val="0097342A"/>
    <w:rsid w:val="009739BB"/>
    <w:rsid w:val="00973DF3"/>
    <w:rsid w:val="00975B73"/>
    <w:rsid w:val="00975BBE"/>
    <w:rsid w:val="00975E81"/>
    <w:rsid w:val="00977128"/>
    <w:rsid w:val="009803FA"/>
    <w:rsid w:val="00980F8C"/>
    <w:rsid w:val="0098155E"/>
    <w:rsid w:val="00981F06"/>
    <w:rsid w:val="0098246C"/>
    <w:rsid w:val="00983075"/>
    <w:rsid w:val="00983122"/>
    <w:rsid w:val="0098367C"/>
    <w:rsid w:val="00983A8B"/>
    <w:rsid w:val="00984927"/>
    <w:rsid w:val="009858E7"/>
    <w:rsid w:val="00986290"/>
    <w:rsid w:val="00986813"/>
    <w:rsid w:val="00986E7A"/>
    <w:rsid w:val="00987B88"/>
    <w:rsid w:val="00990802"/>
    <w:rsid w:val="00990C03"/>
    <w:rsid w:val="00991026"/>
    <w:rsid w:val="00991E94"/>
    <w:rsid w:val="00992641"/>
    <w:rsid w:val="009928F4"/>
    <w:rsid w:val="00992A53"/>
    <w:rsid w:val="00992ADE"/>
    <w:rsid w:val="00992CE4"/>
    <w:rsid w:val="00993472"/>
    <w:rsid w:val="00993671"/>
    <w:rsid w:val="00994773"/>
    <w:rsid w:val="009949E7"/>
    <w:rsid w:val="00994EAA"/>
    <w:rsid w:val="00995744"/>
    <w:rsid w:val="00995FB3"/>
    <w:rsid w:val="009960B0"/>
    <w:rsid w:val="009968D3"/>
    <w:rsid w:val="00996BC1"/>
    <w:rsid w:val="00997446"/>
    <w:rsid w:val="0099763E"/>
    <w:rsid w:val="009A1435"/>
    <w:rsid w:val="009A16B5"/>
    <w:rsid w:val="009A18A9"/>
    <w:rsid w:val="009A237D"/>
    <w:rsid w:val="009A266A"/>
    <w:rsid w:val="009A38C5"/>
    <w:rsid w:val="009A3A5A"/>
    <w:rsid w:val="009A3BD9"/>
    <w:rsid w:val="009A3DDF"/>
    <w:rsid w:val="009A418B"/>
    <w:rsid w:val="009A458B"/>
    <w:rsid w:val="009A4899"/>
    <w:rsid w:val="009A7DFF"/>
    <w:rsid w:val="009B085C"/>
    <w:rsid w:val="009B0B0F"/>
    <w:rsid w:val="009B164C"/>
    <w:rsid w:val="009B165F"/>
    <w:rsid w:val="009B3237"/>
    <w:rsid w:val="009B35AA"/>
    <w:rsid w:val="009B373A"/>
    <w:rsid w:val="009B4899"/>
    <w:rsid w:val="009B4BEA"/>
    <w:rsid w:val="009B4D06"/>
    <w:rsid w:val="009B6CAD"/>
    <w:rsid w:val="009B713F"/>
    <w:rsid w:val="009C0F0D"/>
    <w:rsid w:val="009C1798"/>
    <w:rsid w:val="009C1BA2"/>
    <w:rsid w:val="009C1F88"/>
    <w:rsid w:val="009C25C2"/>
    <w:rsid w:val="009C29B2"/>
    <w:rsid w:val="009C2B7E"/>
    <w:rsid w:val="009C2DB8"/>
    <w:rsid w:val="009C322C"/>
    <w:rsid w:val="009C3572"/>
    <w:rsid w:val="009C3A02"/>
    <w:rsid w:val="009C49A6"/>
    <w:rsid w:val="009C4B8B"/>
    <w:rsid w:val="009C6DF8"/>
    <w:rsid w:val="009C6E71"/>
    <w:rsid w:val="009D0009"/>
    <w:rsid w:val="009D01E6"/>
    <w:rsid w:val="009D0C15"/>
    <w:rsid w:val="009D1279"/>
    <w:rsid w:val="009D1732"/>
    <w:rsid w:val="009D2495"/>
    <w:rsid w:val="009D394F"/>
    <w:rsid w:val="009D56D3"/>
    <w:rsid w:val="009D64BB"/>
    <w:rsid w:val="009E1424"/>
    <w:rsid w:val="009E26A9"/>
    <w:rsid w:val="009E2A50"/>
    <w:rsid w:val="009E572D"/>
    <w:rsid w:val="009E581C"/>
    <w:rsid w:val="009E643B"/>
    <w:rsid w:val="009E70FA"/>
    <w:rsid w:val="009E7726"/>
    <w:rsid w:val="009E7898"/>
    <w:rsid w:val="009F032A"/>
    <w:rsid w:val="009F15D4"/>
    <w:rsid w:val="009F25DC"/>
    <w:rsid w:val="009F29FF"/>
    <w:rsid w:val="009F2C7C"/>
    <w:rsid w:val="009F2D26"/>
    <w:rsid w:val="009F4D08"/>
    <w:rsid w:val="009F59D3"/>
    <w:rsid w:val="009F63B2"/>
    <w:rsid w:val="00A000B0"/>
    <w:rsid w:val="00A009EE"/>
    <w:rsid w:val="00A00AE9"/>
    <w:rsid w:val="00A00B99"/>
    <w:rsid w:val="00A01A98"/>
    <w:rsid w:val="00A0331C"/>
    <w:rsid w:val="00A036AE"/>
    <w:rsid w:val="00A057BF"/>
    <w:rsid w:val="00A0589D"/>
    <w:rsid w:val="00A05EA2"/>
    <w:rsid w:val="00A0611D"/>
    <w:rsid w:val="00A063D9"/>
    <w:rsid w:val="00A066F8"/>
    <w:rsid w:val="00A07214"/>
    <w:rsid w:val="00A072A3"/>
    <w:rsid w:val="00A07749"/>
    <w:rsid w:val="00A0797E"/>
    <w:rsid w:val="00A10071"/>
    <w:rsid w:val="00A10955"/>
    <w:rsid w:val="00A10E51"/>
    <w:rsid w:val="00A11B24"/>
    <w:rsid w:val="00A12FDD"/>
    <w:rsid w:val="00A13460"/>
    <w:rsid w:val="00A140FA"/>
    <w:rsid w:val="00A21047"/>
    <w:rsid w:val="00A211E9"/>
    <w:rsid w:val="00A21559"/>
    <w:rsid w:val="00A21B4B"/>
    <w:rsid w:val="00A22110"/>
    <w:rsid w:val="00A2256F"/>
    <w:rsid w:val="00A2274C"/>
    <w:rsid w:val="00A23204"/>
    <w:rsid w:val="00A26080"/>
    <w:rsid w:val="00A26538"/>
    <w:rsid w:val="00A275A8"/>
    <w:rsid w:val="00A27BF8"/>
    <w:rsid w:val="00A3018A"/>
    <w:rsid w:val="00A30F0F"/>
    <w:rsid w:val="00A3128E"/>
    <w:rsid w:val="00A31484"/>
    <w:rsid w:val="00A315AE"/>
    <w:rsid w:val="00A325C9"/>
    <w:rsid w:val="00A3286A"/>
    <w:rsid w:val="00A32DE4"/>
    <w:rsid w:val="00A32E9A"/>
    <w:rsid w:val="00A32E9E"/>
    <w:rsid w:val="00A335AB"/>
    <w:rsid w:val="00A3388A"/>
    <w:rsid w:val="00A3389B"/>
    <w:rsid w:val="00A339F7"/>
    <w:rsid w:val="00A3496A"/>
    <w:rsid w:val="00A3506A"/>
    <w:rsid w:val="00A3510A"/>
    <w:rsid w:val="00A3538B"/>
    <w:rsid w:val="00A36197"/>
    <w:rsid w:val="00A37456"/>
    <w:rsid w:val="00A41955"/>
    <w:rsid w:val="00A41E42"/>
    <w:rsid w:val="00A42172"/>
    <w:rsid w:val="00A4367D"/>
    <w:rsid w:val="00A4389E"/>
    <w:rsid w:val="00A43CBC"/>
    <w:rsid w:val="00A44530"/>
    <w:rsid w:val="00A46637"/>
    <w:rsid w:val="00A501BD"/>
    <w:rsid w:val="00A50238"/>
    <w:rsid w:val="00A50A0F"/>
    <w:rsid w:val="00A5112F"/>
    <w:rsid w:val="00A52942"/>
    <w:rsid w:val="00A53560"/>
    <w:rsid w:val="00A543A7"/>
    <w:rsid w:val="00A55785"/>
    <w:rsid w:val="00A5624F"/>
    <w:rsid w:val="00A568B1"/>
    <w:rsid w:val="00A61323"/>
    <w:rsid w:val="00A622C9"/>
    <w:rsid w:val="00A62377"/>
    <w:rsid w:val="00A626EE"/>
    <w:rsid w:val="00A62E76"/>
    <w:rsid w:val="00A6423D"/>
    <w:rsid w:val="00A649A8"/>
    <w:rsid w:val="00A65EE7"/>
    <w:rsid w:val="00A6756E"/>
    <w:rsid w:val="00A70DED"/>
    <w:rsid w:val="00A71C00"/>
    <w:rsid w:val="00A7242B"/>
    <w:rsid w:val="00A72B1D"/>
    <w:rsid w:val="00A73127"/>
    <w:rsid w:val="00A731F6"/>
    <w:rsid w:val="00A74071"/>
    <w:rsid w:val="00A7561D"/>
    <w:rsid w:val="00A77FD0"/>
    <w:rsid w:val="00A800D3"/>
    <w:rsid w:val="00A801BB"/>
    <w:rsid w:val="00A807E8"/>
    <w:rsid w:val="00A81EEB"/>
    <w:rsid w:val="00A8306A"/>
    <w:rsid w:val="00A83443"/>
    <w:rsid w:val="00A838F7"/>
    <w:rsid w:val="00A83D53"/>
    <w:rsid w:val="00A848CB"/>
    <w:rsid w:val="00A85326"/>
    <w:rsid w:val="00A85ACE"/>
    <w:rsid w:val="00A85B99"/>
    <w:rsid w:val="00A85CC0"/>
    <w:rsid w:val="00A87CAA"/>
    <w:rsid w:val="00A91145"/>
    <w:rsid w:val="00A91526"/>
    <w:rsid w:val="00A916DF"/>
    <w:rsid w:val="00A91875"/>
    <w:rsid w:val="00A91979"/>
    <w:rsid w:val="00A91C39"/>
    <w:rsid w:val="00A92CE8"/>
    <w:rsid w:val="00A9330D"/>
    <w:rsid w:val="00A93C6C"/>
    <w:rsid w:val="00A9421D"/>
    <w:rsid w:val="00A943A0"/>
    <w:rsid w:val="00A95011"/>
    <w:rsid w:val="00A95CFA"/>
    <w:rsid w:val="00AA0751"/>
    <w:rsid w:val="00AA1164"/>
    <w:rsid w:val="00AA14F0"/>
    <w:rsid w:val="00AA2049"/>
    <w:rsid w:val="00AA2C20"/>
    <w:rsid w:val="00AA4E17"/>
    <w:rsid w:val="00AA59D6"/>
    <w:rsid w:val="00AA733F"/>
    <w:rsid w:val="00AA7AB7"/>
    <w:rsid w:val="00AA7EE0"/>
    <w:rsid w:val="00AB18B0"/>
    <w:rsid w:val="00AB22FC"/>
    <w:rsid w:val="00AB2C3C"/>
    <w:rsid w:val="00AB3040"/>
    <w:rsid w:val="00AB3F07"/>
    <w:rsid w:val="00AB43C5"/>
    <w:rsid w:val="00AB5523"/>
    <w:rsid w:val="00AB55D6"/>
    <w:rsid w:val="00AB5A4A"/>
    <w:rsid w:val="00AB5BEA"/>
    <w:rsid w:val="00AB6075"/>
    <w:rsid w:val="00AB6115"/>
    <w:rsid w:val="00AB640C"/>
    <w:rsid w:val="00AB7046"/>
    <w:rsid w:val="00AB7198"/>
    <w:rsid w:val="00AB7751"/>
    <w:rsid w:val="00AB79D4"/>
    <w:rsid w:val="00AB7CAC"/>
    <w:rsid w:val="00AB7D7F"/>
    <w:rsid w:val="00AB7E16"/>
    <w:rsid w:val="00AB7EDB"/>
    <w:rsid w:val="00AC0FE4"/>
    <w:rsid w:val="00AC1A53"/>
    <w:rsid w:val="00AC216B"/>
    <w:rsid w:val="00AC2555"/>
    <w:rsid w:val="00AC256B"/>
    <w:rsid w:val="00AC28E6"/>
    <w:rsid w:val="00AC6FF4"/>
    <w:rsid w:val="00AD1DF1"/>
    <w:rsid w:val="00AD239A"/>
    <w:rsid w:val="00AD34FE"/>
    <w:rsid w:val="00AD411E"/>
    <w:rsid w:val="00AD5113"/>
    <w:rsid w:val="00AD6046"/>
    <w:rsid w:val="00AD6F87"/>
    <w:rsid w:val="00AD6FA7"/>
    <w:rsid w:val="00AD7207"/>
    <w:rsid w:val="00AD75FE"/>
    <w:rsid w:val="00AD7DF8"/>
    <w:rsid w:val="00AE05FF"/>
    <w:rsid w:val="00AE07B2"/>
    <w:rsid w:val="00AE1D0A"/>
    <w:rsid w:val="00AE1D73"/>
    <w:rsid w:val="00AE1FE7"/>
    <w:rsid w:val="00AE3718"/>
    <w:rsid w:val="00AE38D3"/>
    <w:rsid w:val="00AE4678"/>
    <w:rsid w:val="00AE4D55"/>
    <w:rsid w:val="00AE4FFA"/>
    <w:rsid w:val="00AE5262"/>
    <w:rsid w:val="00AE53D4"/>
    <w:rsid w:val="00AE5432"/>
    <w:rsid w:val="00AE62E4"/>
    <w:rsid w:val="00AE73B8"/>
    <w:rsid w:val="00AE7E88"/>
    <w:rsid w:val="00AE7F42"/>
    <w:rsid w:val="00AF073C"/>
    <w:rsid w:val="00AF15BB"/>
    <w:rsid w:val="00AF1D06"/>
    <w:rsid w:val="00AF2D66"/>
    <w:rsid w:val="00AF2ED6"/>
    <w:rsid w:val="00AF37B2"/>
    <w:rsid w:val="00AF3F2D"/>
    <w:rsid w:val="00AF442C"/>
    <w:rsid w:val="00AF4A4A"/>
    <w:rsid w:val="00AF558A"/>
    <w:rsid w:val="00AF6185"/>
    <w:rsid w:val="00AF64E9"/>
    <w:rsid w:val="00AF7A53"/>
    <w:rsid w:val="00B00686"/>
    <w:rsid w:val="00B00F5C"/>
    <w:rsid w:val="00B02BE3"/>
    <w:rsid w:val="00B0452D"/>
    <w:rsid w:val="00B0578F"/>
    <w:rsid w:val="00B05866"/>
    <w:rsid w:val="00B05912"/>
    <w:rsid w:val="00B062C8"/>
    <w:rsid w:val="00B06CD6"/>
    <w:rsid w:val="00B10057"/>
    <w:rsid w:val="00B10700"/>
    <w:rsid w:val="00B10872"/>
    <w:rsid w:val="00B10F3D"/>
    <w:rsid w:val="00B118AD"/>
    <w:rsid w:val="00B11C30"/>
    <w:rsid w:val="00B120FA"/>
    <w:rsid w:val="00B138F6"/>
    <w:rsid w:val="00B13AF3"/>
    <w:rsid w:val="00B147BA"/>
    <w:rsid w:val="00B14D36"/>
    <w:rsid w:val="00B16128"/>
    <w:rsid w:val="00B17592"/>
    <w:rsid w:val="00B17A70"/>
    <w:rsid w:val="00B17EBE"/>
    <w:rsid w:val="00B2049B"/>
    <w:rsid w:val="00B206DC"/>
    <w:rsid w:val="00B20A75"/>
    <w:rsid w:val="00B20EB2"/>
    <w:rsid w:val="00B21E7D"/>
    <w:rsid w:val="00B2261F"/>
    <w:rsid w:val="00B237B9"/>
    <w:rsid w:val="00B23F73"/>
    <w:rsid w:val="00B24485"/>
    <w:rsid w:val="00B24D51"/>
    <w:rsid w:val="00B24E79"/>
    <w:rsid w:val="00B253B2"/>
    <w:rsid w:val="00B25F77"/>
    <w:rsid w:val="00B26861"/>
    <w:rsid w:val="00B3151B"/>
    <w:rsid w:val="00B331C4"/>
    <w:rsid w:val="00B33B7E"/>
    <w:rsid w:val="00B33C9B"/>
    <w:rsid w:val="00B33EBA"/>
    <w:rsid w:val="00B34ACA"/>
    <w:rsid w:val="00B36862"/>
    <w:rsid w:val="00B3700A"/>
    <w:rsid w:val="00B377C4"/>
    <w:rsid w:val="00B404BB"/>
    <w:rsid w:val="00B40709"/>
    <w:rsid w:val="00B43107"/>
    <w:rsid w:val="00B432F3"/>
    <w:rsid w:val="00B43982"/>
    <w:rsid w:val="00B439AD"/>
    <w:rsid w:val="00B44B2F"/>
    <w:rsid w:val="00B44CAE"/>
    <w:rsid w:val="00B45EA5"/>
    <w:rsid w:val="00B46743"/>
    <w:rsid w:val="00B46D28"/>
    <w:rsid w:val="00B47BD0"/>
    <w:rsid w:val="00B502A2"/>
    <w:rsid w:val="00B51128"/>
    <w:rsid w:val="00B51505"/>
    <w:rsid w:val="00B54A25"/>
    <w:rsid w:val="00B5587A"/>
    <w:rsid w:val="00B57F9C"/>
    <w:rsid w:val="00B60C09"/>
    <w:rsid w:val="00B62685"/>
    <w:rsid w:val="00B639D9"/>
    <w:rsid w:val="00B64BCE"/>
    <w:rsid w:val="00B64DA9"/>
    <w:rsid w:val="00B64EFA"/>
    <w:rsid w:val="00B64FE8"/>
    <w:rsid w:val="00B6501B"/>
    <w:rsid w:val="00B653E1"/>
    <w:rsid w:val="00B65C8D"/>
    <w:rsid w:val="00B66999"/>
    <w:rsid w:val="00B674C8"/>
    <w:rsid w:val="00B675DC"/>
    <w:rsid w:val="00B71159"/>
    <w:rsid w:val="00B72A15"/>
    <w:rsid w:val="00B72B5F"/>
    <w:rsid w:val="00B72BA9"/>
    <w:rsid w:val="00B73B69"/>
    <w:rsid w:val="00B755DB"/>
    <w:rsid w:val="00B756E3"/>
    <w:rsid w:val="00B75778"/>
    <w:rsid w:val="00B75810"/>
    <w:rsid w:val="00B76072"/>
    <w:rsid w:val="00B7702A"/>
    <w:rsid w:val="00B7760F"/>
    <w:rsid w:val="00B77867"/>
    <w:rsid w:val="00B77FA8"/>
    <w:rsid w:val="00B8039F"/>
    <w:rsid w:val="00B81A44"/>
    <w:rsid w:val="00B81BD1"/>
    <w:rsid w:val="00B81C1D"/>
    <w:rsid w:val="00B81CC2"/>
    <w:rsid w:val="00B83DA7"/>
    <w:rsid w:val="00B8400C"/>
    <w:rsid w:val="00B84BE3"/>
    <w:rsid w:val="00B8689B"/>
    <w:rsid w:val="00B8696C"/>
    <w:rsid w:val="00B900C8"/>
    <w:rsid w:val="00B9031B"/>
    <w:rsid w:val="00B9065A"/>
    <w:rsid w:val="00B9153D"/>
    <w:rsid w:val="00B9256C"/>
    <w:rsid w:val="00B92C37"/>
    <w:rsid w:val="00B933CE"/>
    <w:rsid w:val="00B93D8D"/>
    <w:rsid w:val="00B9410C"/>
    <w:rsid w:val="00B95720"/>
    <w:rsid w:val="00B958CE"/>
    <w:rsid w:val="00B95AAD"/>
    <w:rsid w:val="00BA0519"/>
    <w:rsid w:val="00BA1932"/>
    <w:rsid w:val="00BA1D21"/>
    <w:rsid w:val="00BA2ADA"/>
    <w:rsid w:val="00BA373A"/>
    <w:rsid w:val="00BA4812"/>
    <w:rsid w:val="00BA4BAB"/>
    <w:rsid w:val="00BA4EBA"/>
    <w:rsid w:val="00BA544E"/>
    <w:rsid w:val="00BA691E"/>
    <w:rsid w:val="00BA6E4B"/>
    <w:rsid w:val="00BA7129"/>
    <w:rsid w:val="00BA7E87"/>
    <w:rsid w:val="00BB0032"/>
    <w:rsid w:val="00BB16FE"/>
    <w:rsid w:val="00BB21D2"/>
    <w:rsid w:val="00BB2377"/>
    <w:rsid w:val="00BB35E4"/>
    <w:rsid w:val="00BB452F"/>
    <w:rsid w:val="00BB45C6"/>
    <w:rsid w:val="00BB4C17"/>
    <w:rsid w:val="00BB5822"/>
    <w:rsid w:val="00BB5FD1"/>
    <w:rsid w:val="00BB67AB"/>
    <w:rsid w:val="00BB6AD8"/>
    <w:rsid w:val="00BB794F"/>
    <w:rsid w:val="00BC00FD"/>
    <w:rsid w:val="00BC0436"/>
    <w:rsid w:val="00BC0626"/>
    <w:rsid w:val="00BC13F3"/>
    <w:rsid w:val="00BC156D"/>
    <w:rsid w:val="00BC166F"/>
    <w:rsid w:val="00BC2CD9"/>
    <w:rsid w:val="00BC356F"/>
    <w:rsid w:val="00BC3FAB"/>
    <w:rsid w:val="00BC555C"/>
    <w:rsid w:val="00BC5F9D"/>
    <w:rsid w:val="00BC69C1"/>
    <w:rsid w:val="00BC7BD2"/>
    <w:rsid w:val="00BC7C26"/>
    <w:rsid w:val="00BD0CFE"/>
    <w:rsid w:val="00BD199C"/>
    <w:rsid w:val="00BD1EF2"/>
    <w:rsid w:val="00BD1FAB"/>
    <w:rsid w:val="00BD2142"/>
    <w:rsid w:val="00BD23BF"/>
    <w:rsid w:val="00BD26F5"/>
    <w:rsid w:val="00BD28E3"/>
    <w:rsid w:val="00BD2AD9"/>
    <w:rsid w:val="00BD4095"/>
    <w:rsid w:val="00BD4DB7"/>
    <w:rsid w:val="00BD51A2"/>
    <w:rsid w:val="00BD5949"/>
    <w:rsid w:val="00BD5E9F"/>
    <w:rsid w:val="00BD6D60"/>
    <w:rsid w:val="00BD6E19"/>
    <w:rsid w:val="00BD78AD"/>
    <w:rsid w:val="00BD7CA4"/>
    <w:rsid w:val="00BE019C"/>
    <w:rsid w:val="00BE0622"/>
    <w:rsid w:val="00BE4AEB"/>
    <w:rsid w:val="00BE4D43"/>
    <w:rsid w:val="00BE59C8"/>
    <w:rsid w:val="00BE60AF"/>
    <w:rsid w:val="00BE75A5"/>
    <w:rsid w:val="00BE7C48"/>
    <w:rsid w:val="00BE7F9F"/>
    <w:rsid w:val="00BF08FE"/>
    <w:rsid w:val="00BF0B6B"/>
    <w:rsid w:val="00BF1C87"/>
    <w:rsid w:val="00BF1C9F"/>
    <w:rsid w:val="00BF2A3B"/>
    <w:rsid w:val="00BF3277"/>
    <w:rsid w:val="00BF3306"/>
    <w:rsid w:val="00BF3B18"/>
    <w:rsid w:val="00BF419D"/>
    <w:rsid w:val="00BF5541"/>
    <w:rsid w:val="00BF71E9"/>
    <w:rsid w:val="00BF7858"/>
    <w:rsid w:val="00C00BF3"/>
    <w:rsid w:val="00C011D0"/>
    <w:rsid w:val="00C01539"/>
    <w:rsid w:val="00C03DF4"/>
    <w:rsid w:val="00C04B3B"/>
    <w:rsid w:val="00C0518C"/>
    <w:rsid w:val="00C05DF5"/>
    <w:rsid w:val="00C06941"/>
    <w:rsid w:val="00C06C02"/>
    <w:rsid w:val="00C07774"/>
    <w:rsid w:val="00C07B91"/>
    <w:rsid w:val="00C10017"/>
    <w:rsid w:val="00C1034C"/>
    <w:rsid w:val="00C10C9A"/>
    <w:rsid w:val="00C10E59"/>
    <w:rsid w:val="00C112E6"/>
    <w:rsid w:val="00C11364"/>
    <w:rsid w:val="00C123D9"/>
    <w:rsid w:val="00C125C5"/>
    <w:rsid w:val="00C12824"/>
    <w:rsid w:val="00C148E0"/>
    <w:rsid w:val="00C14B28"/>
    <w:rsid w:val="00C179C9"/>
    <w:rsid w:val="00C17D74"/>
    <w:rsid w:val="00C2188F"/>
    <w:rsid w:val="00C219C0"/>
    <w:rsid w:val="00C21DA5"/>
    <w:rsid w:val="00C22655"/>
    <w:rsid w:val="00C2290D"/>
    <w:rsid w:val="00C235D8"/>
    <w:rsid w:val="00C24145"/>
    <w:rsid w:val="00C24965"/>
    <w:rsid w:val="00C2785E"/>
    <w:rsid w:val="00C27B69"/>
    <w:rsid w:val="00C3153F"/>
    <w:rsid w:val="00C3195A"/>
    <w:rsid w:val="00C31BE7"/>
    <w:rsid w:val="00C320A8"/>
    <w:rsid w:val="00C33041"/>
    <w:rsid w:val="00C3498B"/>
    <w:rsid w:val="00C34BCB"/>
    <w:rsid w:val="00C34C92"/>
    <w:rsid w:val="00C34D9F"/>
    <w:rsid w:val="00C3503A"/>
    <w:rsid w:val="00C3538C"/>
    <w:rsid w:val="00C36739"/>
    <w:rsid w:val="00C36CCB"/>
    <w:rsid w:val="00C37DC7"/>
    <w:rsid w:val="00C37E72"/>
    <w:rsid w:val="00C4066B"/>
    <w:rsid w:val="00C40D27"/>
    <w:rsid w:val="00C4175D"/>
    <w:rsid w:val="00C42E99"/>
    <w:rsid w:val="00C431B4"/>
    <w:rsid w:val="00C44836"/>
    <w:rsid w:val="00C44C06"/>
    <w:rsid w:val="00C45F14"/>
    <w:rsid w:val="00C46167"/>
    <w:rsid w:val="00C462CD"/>
    <w:rsid w:val="00C4639A"/>
    <w:rsid w:val="00C46B14"/>
    <w:rsid w:val="00C471C7"/>
    <w:rsid w:val="00C47816"/>
    <w:rsid w:val="00C47B64"/>
    <w:rsid w:val="00C47C8A"/>
    <w:rsid w:val="00C5220A"/>
    <w:rsid w:val="00C52B16"/>
    <w:rsid w:val="00C53CA1"/>
    <w:rsid w:val="00C540D0"/>
    <w:rsid w:val="00C54A8F"/>
    <w:rsid w:val="00C550AF"/>
    <w:rsid w:val="00C552EE"/>
    <w:rsid w:val="00C558BE"/>
    <w:rsid w:val="00C570DD"/>
    <w:rsid w:val="00C57CE7"/>
    <w:rsid w:val="00C61AC9"/>
    <w:rsid w:val="00C621A3"/>
    <w:rsid w:val="00C63326"/>
    <w:rsid w:val="00C63FB0"/>
    <w:rsid w:val="00C64061"/>
    <w:rsid w:val="00C65534"/>
    <w:rsid w:val="00C65CFB"/>
    <w:rsid w:val="00C708C8"/>
    <w:rsid w:val="00C709CA"/>
    <w:rsid w:val="00C71AC3"/>
    <w:rsid w:val="00C73214"/>
    <w:rsid w:val="00C736BC"/>
    <w:rsid w:val="00C73BDE"/>
    <w:rsid w:val="00C73CB0"/>
    <w:rsid w:val="00C7588E"/>
    <w:rsid w:val="00C77387"/>
    <w:rsid w:val="00C77854"/>
    <w:rsid w:val="00C801CA"/>
    <w:rsid w:val="00C81484"/>
    <w:rsid w:val="00C82330"/>
    <w:rsid w:val="00C82BA1"/>
    <w:rsid w:val="00C831EC"/>
    <w:rsid w:val="00C83935"/>
    <w:rsid w:val="00C842B8"/>
    <w:rsid w:val="00C8585B"/>
    <w:rsid w:val="00C85929"/>
    <w:rsid w:val="00C85B73"/>
    <w:rsid w:val="00C85E1C"/>
    <w:rsid w:val="00C86126"/>
    <w:rsid w:val="00C86C84"/>
    <w:rsid w:val="00C90467"/>
    <w:rsid w:val="00C939CA"/>
    <w:rsid w:val="00C93F07"/>
    <w:rsid w:val="00C941F4"/>
    <w:rsid w:val="00C9621D"/>
    <w:rsid w:val="00C971A5"/>
    <w:rsid w:val="00C97BC0"/>
    <w:rsid w:val="00C97D4D"/>
    <w:rsid w:val="00CA1063"/>
    <w:rsid w:val="00CA1E63"/>
    <w:rsid w:val="00CA4805"/>
    <w:rsid w:val="00CA55F1"/>
    <w:rsid w:val="00CA64B6"/>
    <w:rsid w:val="00CB17F9"/>
    <w:rsid w:val="00CB1C32"/>
    <w:rsid w:val="00CB29B9"/>
    <w:rsid w:val="00CB2AE0"/>
    <w:rsid w:val="00CB2DBF"/>
    <w:rsid w:val="00CB3D27"/>
    <w:rsid w:val="00CB49AE"/>
    <w:rsid w:val="00CB4A26"/>
    <w:rsid w:val="00CB69D0"/>
    <w:rsid w:val="00CB6C32"/>
    <w:rsid w:val="00CB6D10"/>
    <w:rsid w:val="00CB6F84"/>
    <w:rsid w:val="00CB7043"/>
    <w:rsid w:val="00CB74F9"/>
    <w:rsid w:val="00CC0F08"/>
    <w:rsid w:val="00CC1794"/>
    <w:rsid w:val="00CC1C88"/>
    <w:rsid w:val="00CC1E31"/>
    <w:rsid w:val="00CC20F5"/>
    <w:rsid w:val="00CC2834"/>
    <w:rsid w:val="00CC3196"/>
    <w:rsid w:val="00CC3436"/>
    <w:rsid w:val="00CC3D17"/>
    <w:rsid w:val="00CC631D"/>
    <w:rsid w:val="00CC660B"/>
    <w:rsid w:val="00CC6736"/>
    <w:rsid w:val="00CC6AF8"/>
    <w:rsid w:val="00CC6B43"/>
    <w:rsid w:val="00CC6E67"/>
    <w:rsid w:val="00CC78AE"/>
    <w:rsid w:val="00CD0088"/>
    <w:rsid w:val="00CD2CE3"/>
    <w:rsid w:val="00CD3224"/>
    <w:rsid w:val="00CD395B"/>
    <w:rsid w:val="00CD5078"/>
    <w:rsid w:val="00CD5716"/>
    <w:rsid w:val="00CD5FFD"/>
    <w:rsid w:val="00CD6878"/>
    <w:rsid w:val="00CD72D6"/>
    <w:rsid w:val="00CD7607"/>
    <w:rsid w:val="00CD7E14"/>
    <w:rsid w:val="00CD7F4B"/>
    <w:rsid w:val="00CE0CE5"/>
    <w:rsid w:val="00CE1217"/>
    <w:rsid w:val="00CE1434"/>
    <w:rsid w:val="00CE222E"/>
    <w:rsid w:val="00CE2E01"/>
    <w:rsid w:val="00CE35BF"/>
    <w:rsid w:val="00CE3711"/>
    <w:rsid w:val="00CE3F50"/>
    <w:rsid w:val="00CE406D"/>
    <w:rsid w:val="00CE4A86"/>
    <w:rsid w:val="00CE541F"/>
    <w:rsid w:val="00CE5894"/>
    <w:rsid w:val="00CE5EB9"/>
    <w:rsid w:val="00CE724B"/>
    <w:rsid w:val="00CE73C4"/>
    <w:rsid w:val="00CE7FE2"/>
    <w:rsid w:val="00CF216A"/>
    <w:rsid w:val="00CF2725"/>
    <w:rsid w:val="00CF2CA3"/>
    <w:rsid w:val="00CF2F53"/>
    <w:rsid w:val="00CF4290"/>
    <w:rsid w:val="00CF4454"/>
    <w:rsid w:val="00CF4760"/>
    <w:rsid w:val="00CF4CAE"/>
    <w:rsid w:val="00CF5ECA"/>
    <w:rsid w:val="00CF60C7"/>
    <w:rsid w:val="00CF639F"/>
    <w:rsid w:val="00CF6A97"/>
    <w:rsid w:val="00CF6E57"/>
    <w:rsid w:val="00CF7336"/>
    <w:rsid w:val="00CF7FAE"/>
    <w:rsid w:val="00D000EF"/>
    <w:rsid w:val="00D02107"/>
    <w:rsid w:val="00D03640"/>
    <w:rsid w:val="00D0368E"/>
    <w:rsid w:val="00D03864"/>
    <w:rsid w:val="00D046EE"/>
    <w:rsid w:val="00D0555B"/>
    <w:rsid w:val="00D074E6"/>
    <w:rsid w:val="00D07A2D"/>
    <w:rsid w:val="00D104D6"/>
    <w:rsid w:val="00D1053E"/>
    <w:rsid w:val="00D10733"/>
    <w:rsid w:val="00D11595"/>
    <w:rsid w:val="00D11935"/>
    <w:rsid w:val="00D12905"/>
    <w:rsid w:val="00D13BB1"/>
    <w:rsid w:val="00D1548F"/>
    <w:rsid w:val="00D15924"/>
    <w:rsid w:val="00D168F1"/>
    <w:rsid w:val="00D170E3"/>
    <w:rsid w:val="00D1724A"/>
    <w:rsid w:val="00D20AB3"/>
    <w:rsid w:val="00D2198C"/>
    <w:rsid w:val="00D21E97"/>
    <w:rsid w:val="00D23711"/>
    <w:rsid w:val="00D23831"/>
    <w:rsid w:val="00D240F4"/>
    <w:rsid w:val="00D24C13"/>
    <w:rsid w:val="00D2695A"/>
    <w:rsid w:val="00D3008A"/>
    <w:rsid w:val="00D30128"/>
    <w:rsid w:val="00D331B7"/>
    <w:rsid w:val="00D3378B"/>
    <w:rsid w:val="00D345E4"/>
    <w:rsid w:val="00D34A02"/>
    <w:rsid w:val="00D35B90"/>
    <w:rsid w:val="00D366E4"/>
    <w:rsid w:val="00D3686B"/>
    <w:rsid w:val="00D36A20"/>
    <w:rsid w:val="00D36EA9"/>
    <w:rsid w:val="00D3778A"/>
    <w:rsid w:val="00D377C8"/>
    <w:rsid w:val="00D40B5C"/>
    <w:rsid w:val="00D40FF2"/>
    <w:rsid w:val="00D41A22"/>
    <w:rsid w:val="00D41F86"/>
    <w:rsid w:val="00D42272"/>
    <w:rsid w:val="00D4387F"/>
    <w:rsid w:val="00D43945"/>
    <w:rsid w:val="00D43EC9"/>
    <w:rsid w:val="00D43F62"/>
    <w:rsid w:val="00D4411C"/>
    <w:rsid w:val="00D4487D"/>
    <w:rsid w:val="00D44900"/>
    <w:rsid w:val="00D44965"/>
    <w:rsid w:val="00D45049"/>
    <w:rsid w:val="00D455A5"/>
    <w:rsid w:val="00D47222"/>
    <w:rsid w:val="00D4756E"/>
    <w:rsid w:val="00D504FB"/>
    <w:rsid w:val="00D52BE2"/>
    <w:rsid w:val="00D53175"/>
    <w:rsid w:val="00D531B7"/>
    <w:rsid w:val="00D535CA"/>
    <w:rsid w:val="00D53A8F"/>
    <w:rsid w:val="00D55FBF"/>
    <w:rsid w:val="00D56118"/>
    <w:rsid w:val="00D56533"/>
    <w:rsid w:val="00D60958"/>
    <w:rsid w:val="00D60A0E"/>
    <w:rsid w:val="00D610EC"/>
    <w:rsid w:val="00D61487"/>
    <w:rsid w:val="00D615AD"/>
    <w:rsid w:val="00D61B82"/>
    <w:rsid w:val="00D626A6"/>
    <w:rsid w:val="00D63A4C"/>
    <w:rsid w:val="00D64708"/>
    <w:rsid w:val="00D64FA5"/>
    <w:rsid w:val="00D651DE"/>
    <w:rsid w:val="00D65D6B"/>
    <w:rsid w:val="00D66F4E"/>
    <w:rsid w:val="00D6716E"/>
    <w:rsid w:val="00D675BF"/>
    <w:rsid w:val="00D700B2"/>
    <w:rsid w:val="00D70D8F"/>
    <w:rsid w:val="00D715A6"/>
    <w:rsid w:val="00D72062"/>
    <w:rsid w:val="00D72E48"/>
    <w:rsid w:val="00D74801"/>
    <w:rsid w:val="00D74F2D"/>
    <w:rsid w:val="00D75BA0"/>
    <w:rsid w:val="00D75E0A"/>
    <w:rsid w:val="00D804D6"/>
    <w:rsid w:val="00D80F14"/>
    <w:rsid w:val="00D8118B"/>
    <w:rsid w:val="00D828DB"/>
    <w:rsid w:val="00D82BF7"/>
    <w:rsid w:val="00D82FAD"/>
    <w:rsid w:val="00D83223"/>
    <w:rsid w:val="00D83424"/>
    <w:rsid w:val="00D86026"/>
    <w:rsid w:val="00D869F7"/>
    <w:rsid w:val="00D87494"/>
    <w:rsid w:val="00D90D92"/>
    <w:rsid w:val="00D91B45"/>
    <w:rsid w:val="00D92991"/>
    <w:rsid w:val="00D92C73"/>
    <w:rsid w:val="00D930CE"/>
    <w:rsid w:val="00D9334F"/>
    <w:rsid w:val="00D96C62"/>
    <w:rsid w:val="00D96CC8"/>
    <w:rsid w:val="00DA09A2"/>
    <w:rsid w:val="00DA0C31"/>
    <w:rsid w:val="00DA2698"/>
    <w:rsid w:val="00DA354D"/>
    <w:rsid w:val="00DA36DF"/>
    <w:rsid w:val="00DA38B5"/>
    <w:rsid w:val="00DA3B23"/>
    <w:rsid w:val="00DA455E"/>
    <w:rsid w:val="00DA52B6"/>
    <w:rsid w:val="00DA562A"/>
    <w:rsid w:val="00DA5649"/>
    <w:rsid w:val="00DA5C5D"/>
    <w:rsid w:val="00DA5F67"/>
    <w:rsid w:val="00DB2B95"/>
    <w:rsid w:val="00DB2C87"/>
    <w:rsid w:val="00DB38FC"/>
    <w:rsid w:val="00DB4680"/>
    <w:rsid w:val="00DB5EC3"/>
    <w:rsid w:val="00DB63FB"/>
    <w:rsid w:val="00DB6FF1"/>
    <w:rsid w:val="00DB7D07"/>
    <w:rsid w:val="00DC07ED"/>
    <w:rsid w:val="00DC1135"/>
    <w:rsid w:val="00DC28C1"/>
    <w:rsid w:val="00DC3389"/>
    <w:rsid w:val="00DC375B"/>
    <w:rsid w:val="00DC3823"/>
    <w:rsid w:val="00DC436F"/>
    <w:rsid w:val="00DC4A1E"/>
    <w:rsid w:val="00DC51AF"/>
    <w:rsid w:val="00DC52A7"/>
    <w:rsid w:val="00DC5E27"/>
    <w:rsid w:val="00DC6251"/>
    <w:rsid w:val="00DC7FFE"/>
    <w:rsid w:val="00DD0C4A"/>
    <w:rsid w:val="00DD1177"/>
    <w:rsid w:val="00DD239B"/>
    <w:rsid w:val="00DD2E3B"/>
    <w:rsid w:val="00DD2E76"/>
    <w:rsid w:val="00DD3018"/>
    <w:rsid w:val="00DD30B0"/>
    <w:rsid w:val="00DD4E5A"/>
    <w:rsid w:val="00DD5ACA"/>
    <w:rsid w:val="00DD63D6"/>
    <w:rsid w:val="00DE01FC"/>
    <w:rsid w:val="00DE0226"/>
    <w:rsid w:val="00DE20B8"/>
    <w:rsid w:val="00DE21B2"/>
    <w:rsid w:val="00DE28D5"/>
    <w:rsid w:val="00DE2D98"/>
    <w:rsid w:val="00DE3EF3"/>
    <w:rsid w:val="00DE4A14"/>
    <w:rsid w:val="00DE4BF3"/>
    <w:rsid w:val="00DE573F"/>
    <w:rsid w:val="00DE7963"/>
    <w:rsid w:val="00DF02CD"/>
    <w:rsid w:val="00DF0402"/>
    <w:rsid w:val="00DF29B8"/>
    <w:rsid w:val="00DF36F2"/>
    <w:rsid w:val="00DF3BDD"/>
    <w:rsid w:val="00DF3F77"/>
    <w:rsid w:val="00DF40A3"/>
    <w:rsid w:val="00DF40A6"/>
    <w:rsid w:val="00DF44BE"/>
    <w:rsid w:val="00DF561E"/>
    <w:rsid w:val="00DF677B"/>
    <w:rsid w:val="00DF7B7F"/>
    <w:rsid w:val="00DF7F95"/>
    <w:rsid w:val="00E00ADA"/>
    <w:rsid w:val="00E00F84"/>
    <w:rsid w:val="00E017B7"/>
    <w:rsid w:val="00E02DAE"/>
    <w:rsid w:val="00E03754"/>
    <w:rsid w:val="00E04141"/>
    <w:rsid w:val="00E04AD2"/>
    <w:rsid w:val="00E05D62"/>
    <w:rsid w:val="00E05EF9"/>
    <w:rsid w:val="00E10461"/>
    <w:rsid w:val="00E1050D"/>
    <w:rsid w:val="00E105E6"/>
    <w:rsid w:val="00E1243C"/>
    <w:rsid w:val="00E138BC"/>
    <w:rsid w:val="00E13A4C"/>
    <w:rsid w:val="00E13B87"/>
    <w:rsid w:val="00E14B12"/>
    <w:rsid w:val="00E15169"/>
    <w:rsid w:val="00E15B52"/>
    <w:rsid w:val="00E20350"/>
    <w:rsid w:val="00E2136E"/>
    <w:rsid w:val="00E21796"/>
    <w:rsid w:val="00E21BEF"/>
    <w:rsid w:val="00E229B4"/>
    <w:rsid w:val="00E22D5C"/>
    <w:rsid w:val="00E24D5F"/>
    <w:rsid w:val="00E2541F"/>
    <w:rsid w:val="00E2733A"/>
    <w:rsid w:val="00E30FAF"/>
    <w:rsid w:val="00E31189"/>
    <w:rsid w:val="00E31C22"/>
    <w:rsid w:val="00E31DA0"/>
    <w:rsid w:val="00E33157"/>
    <w:rsid w:val="00E34003"/>
    <w:rsid w:val="00E341C7"/>
    <w:rsid w:val="00E34D99"/>
    <w:rsid w:val="00E3540F"/>
    <w:rsid w:val="00E361A0"/>
    <w:rsid w:val="00E37B67"/>
    <w:rsid w:val="00E40171"/>
    <w:rsid w:val="00E402AC"/>
    <w:rsid w:val="00E4049A"/>
    <w:rsid w:val="00E40E60"/>
    <w:rsid w:val="00E421FE"/>
    <w:rsid w:val="00E43B29"/>
    <w:rsid w:val="00E43D84"/>
    <w:rsid w:val="00E43E2C"/>
    <w:rsid w:val="00E45F92"/>
    <w:rsid w:val="00E468D8"/>
    <w:rsid w:val="00E46A13"/>
    <w:rsid w:val="00E4772D"/>
    <w:rsid w:val="00E509CE"/>
    <w:rsid w:val="00E51A6B"/>
    <w:rsid w:val="00E51B5A"/>
    <w:rsid w:val="00E5281D"/>
    <w:rsid w:val="00E53CE6"/>
    <w:rsid w:val="00E53FA1"/>
    <w:rsid w:val="00E542C1"/>
    <w:rsid w:val="00E55F8C"/>
    <w:rsid w:val="00E5684A"/>
    <w:rsid w:val="00E5755D"/>
    <w:rsid w:val="00E60E1D"/>
    <w:rsid w:val="00E61588"/>
    <w:rsid w:val="00E630A5"/>
    <w:rsid w:val="00E636A8"/>
    <w:rsid w:val="00E6385A"/>
    <w:rsid w:val="00E63E69"/>
    <w:rsid w:val="00E63FFF"/>
    <w:rsid w:val="00E64DC4"/>
    <w:rsid w:val="00E65B4F"/>
    <w:rsid w:val="00E6622D"/>
    <w:rsid w:val="00E66523"/>
    <w:rsid w:val="00E66557"/>
    <w:rsid w:val="00E67372"/>
    <w:rsid w:val="00E67D18"/>
    <w:rsid w:val="00E70A6F"/>
    <w:rsid w:val="00E717A7"/>
    <w:rsid w:val="00E71FD7"/>
    <w:rsid w:val="00E720CD"/>
    <w:rsid w:val="00E7262C"/>
    <w:rsid w:val="00E73DC1"/>
    <w:rsid w:val="00E74066"/>
    <w:rsid w:val="00E75BEC"/>
    <w:rsid w:val="00E76BB5"/>
    <w:rsid w:val="00E772F0"/>
    <w:rsid w:val="00E777A2"/>
    <w:rsid w:val="00E802B3"/>
    <w:rsid w:val="00E808C9"/>
    <w:rsid w:val="00E810A7"/>
    <w:rsid w:val="00E811BE"/>
    <w:rsid w:val="00E818E5"/>
    <w:rsid w:val="00E81A9A"/>
    <w:rsid w:val="00E81BFB"/>
    <w:rsid w:val="00E81CB8"/>
    <w:rsid w:val="00E821DC"/>
    <w:rsid w:val="00E830AB"/>
    <w:rsid w:val="00E834D1"/>
    <w:rsid w:val="00E83FFE"/>
    <w:rsid w:val="00E8516A"/>
    <w:rsid w:val="00E852F6"/>
    <w:rsid w:val="00E8643D"/>
    <w:rsid w:val="00E86881"/>
    <w:rsid w:val="00E86A89"/>
    <w:rsid w:val="00E86C81"/>
    <w:rsid w:val="00E874EC"/>
    <w:rsid w:val="00E87E4F"/>
    <w:rsid w:val="00E90548"/>
    <w:rsid w:val="00E90A4E"/>
    <w:rsid w:val="00E9179F"/>
    <w:rsid w:val="00E91A92"/>
    <w:rsid w:val="00E9249B"/>
    <w:rsid w:val="00E9273B"/>
    <w:rsid w:val="00E92E55"/>
    <w:rsid w:val="00E92E96"/>
    <w:rsid w:val="00E945F1"/>
    <w:rsid w:val="00E9505C"/>
    <w:rsid w:val="00E9572B"/>
    <w:rsid w:val="00E966DF"/>
    <w:rsid w:val="00E972EC"/>
    <w:rsid w:val="00E97BA0"/>
    <w:rsid w:val="00EA0193"/>
    <w:rsid w:val="00EA0A0C"/>
    <w:rsid w:val="00EA15B5"/>
    <w:rsid w:val="00EA2E09"/>
    <w:rsid w:val="00EA34E4"/>
    <w:rsid w:val="00EA5622"/>
    <w:rsid w:val="00EA5D1A"/>
    <w:rsid w:val="00EA7444"/>
    <w:rsid w:val="00EB02C4"/>
    <w:rsid w:val="00EB12AD"/>
    <w:rsid w:val="00EB12B9"/>
    <w:rsid w:val="00EB19DC"/>
    <w:rsid w:val="00EB1AFD"/>
    <w:rsid w:val="00EB1E3A"/>
    <w:rsid w:val="00EB21C0"/>
    <w:rsid w:val="00EB39F5"/>
    <w:rsid w:val="00EB4064"/>
    <w:rsid w:val="00EB49B2"/>
    <w:rsid w:val="00EB5D5A"/>
    <w:rsid w:val="00EB626B"/>
    <w:rsid w:val="00EB693E"/>
    <w:rsid w:val="00EB6AA1"/>
    <w:rsid w:val="00EB78F8"/>
    <w:rsid w:val="00EC0036"/>
    <w:rsid w:val="00EC0233"/>
    <w:rsid w:val="00EC0825"/>
    <w:rsid w:val="00EC0A29"/>
    <w:rsid w:val="00EC0DE5"/>
    <w:rsid w:val="00EC1DC0"/>
    <w:rsid w:val="00EC2085"/>
    <w:rsid w:val="00EC33DE"/>
    <w:rsid w:val="00EC4A0C"/>
    <w:rsid w:val="00EC4D29"/>
    <w:rsid w:val="00EC5549"/>
    <w:rsid w:val="00EC5F7D"/>
    <w:rsid w:val="00EC720C"/>
    <w:rsid w:val="00EC78B2"/>
    <w:rsid w:val="00EC7BD3"/>
    <w:rsid w:val="00ED0008"/>
    <w:rsid w:val="00ED10AE"/>
    <w:rsid w:val="00ED185E"/>
    <w:rsid w:val="00ED2305"/>
    <w:rsid w:val="00ED2A86"/>
    <w:rsid w:val="00ED2A8D"/>
    <w:rsid w:val="00ED37FB"/>
    <w:rsid w:val="00ED3C2F"/>
    <w:rsid w:val="00ED40E5"/>
    <w:rsid w:val="00ED5B0D"/>
    <w:rsid w:val="00ED6629"/>
    <w:rsid w:val="00ED68C4"/>
    <w:rsid w:val="00ED6B6E"/>
    <w:rsid w:val="00ED6D84"/>
    <w:rsid w:val="00ED7BF6"/>
    <w:rsid w:val="00EE1395"/>
    <w:rsid w:val="00EE1455"/>
    <w:rsid w:val="00EE2596"/>
    <w:rsid w:val="00EE298D"/>
    <w:rsid w:val="00EE3AF8"/>
    <w:rsid w:val="00EE4B17"/>
    <w:rsid w:val="00EE570A"/>
    <w:rsid w:val="00EE5869"/>
    <w:rsid w:val="00EE60D2"/>
    <w:rsid w:val="00EE74FB"/>
    <w:rsid w:val="00EE7669"/>
    <w:rsid w:val="00EF132D"/>
    <w:rsid w:val="00EF2A6E"/>
    <w:rsid w:val="00EF3CD0"/>
    <w:rsid w:val="00EF4810"/>
    <w:rsid w:val="00EF53F1"/>
    <w:rsid w:val="00EF6398"/>
    <w:rsid w:val="00EF7101"/>
    <w:rsid w:val="00F02F4B"/>
    <w:rsid w:val="00F0362F"/>
    <w:rsid w:val="00F04E8D"/>
    <w:rsid w:val="00F052CF"/>
    <w:rsid w:val="00F0666E"/>
    <w:rsid w:val="00F079AA"/>
    <w:rsid w:val="00F1050C"/>
    <w:rsid w:val="00F11807"/>
    <w:rsid w:val="00F11E62"/>
    <w:rsid w:val="00F11EF6"/>
    <w:rsid w:val="00F12C0B"/>
    <w:rsid w:val="00F134A3"/>
    <w:rsid w:val="00F13942"/>
    <w:rsid w:val="00F13C43"/>
    <w:rsid w:val="00F14CC5"/>
    <w:rsid w:val="00F15A27"/>
    <w:rsid w:val="00F16C4D"/>
    <w:rsid w:val="00F16FF1"/>
    <w:rsid w:val="00F17B41"/>
    <w:rsid w:val="00F20E3C"/>
    <w:rsid w:val="00F21A3A"/>
    <w:rsid w:val="00F21E6C"/>
    <w:rsid w:val="00F21FB1"/>
    <w:rsid w:val="00F2248B"/>
    <w:rsid w:val="00F227FB"/>
    <w:rsid w:val="00F228A5"/>
    <w:rsid w:val="00F234D7"/>
    <w:rsid w:val="00F237EB"/>
    <w:rsid w:val="00F23A4B"/>
    <w:rsid w:val="00F23BEE"/>
    <w:rsid w:val="00F24724"/>
    <w:rsid w:val="00F2553E"/>
    <w:rsid w:val="00F25609"/>
    <w:rsid w:val="00F265C6"/>
    <w:rsid w:val="00F26973"/>
    <w:rsid w:val="00F30A58"/>
    <w:rsid w:val="00F318DE"/>
    <w:rsid w:val="00F31D3F"/>
    <w:rsid w:val="00F320A5"/>
    <w:rsid w:val="00F32B1F"/>
    <w:rsid w:val="00F32F03"/>
    <w:rsid w:val="00F345C8"/>
    <w:rsid w:val="00F35737"/>
    <w:rsid w:val="00F36162"/>
    <w:rsid w:val="00F3672E"/>
    <w:rsid w:val="00F36BC5"/>
    <w:rsid w:val="00F36FD9"/>
    <w:rsid w:val="00F37FC1"/>
    <w:rsid w:val="00F40AA3"/>
    <w:rsid w:val="00F414FC"/>
    <w:rsid w:val="00F423E9"/>
    <w:rsid w:val="00F42B9E"/>
    <w:rsid w:val="00F42CF3"/>
    <w:rsid w:val="00F431BA"/>
    <w:rsid w:val="00F431DA"/>
    <w:rsid w:val="00F44837"/>
    <w:rsid w:val="00F44840"/>
    <w:rsid w:val="00F455CC"/>
    <w:rsid w:val="00F456C4"/>
    <w:rsid w:val="00F46562"/>
    <w:rsid w:val="00F46E0B"/>
    <w:rsid w:val="00F4733B"/>
    <w:rsid w:val="00F47C9F"/>
    <w:rsid w:val="00F5012B"/>
    <w:rsid w:val="00F50174"/>
    <w:rsid w:val="00F51663"/>
    <w:rsid w:val="00F51BAA"/>
    <w:rsid w:val="00F52646"/>
    <w:rsid w:val="00F539C2"/>
    <w:rsid w:val="00F541DA"/>
    <w:rsid w:val="00F543C5"/>
    <w:rsid w:val="00F54753"/>
    <w:rsid w:val="00F549B2"/>
    <w:rsid w:val="00F555B8"/>
    <w:rsid w:val="00F56736"/>
    <w:rsid w:val="00F56757"/>
    <w:rsid w:val="00F56D48"/>
    <w:rsid w:val="00F577AC"/>
    <w:rsid w:val="00F57DA2"/>
    <w:rsid w:val="00F601D1"/>
    <w:rsid w:val="00F6139A"/>
    <w:rsid w:val="00F625A6"/>
    <w:rsid w:val="00F627A5"/>
    <w:rsid w:val="00F62E7C"/>
    <w:rsid w:val="00F63A20"/>
    <w:rsid w:val="00F6461B"/>
    <w:rsid w:val="00F65CFF"/>
    <w:rsid w:val="00F65F5F"/>
    <w:rsid w:val="00F661E7"/>
    <w:rsid w:val="00F6640B"/>
    <w:rsid w:val="00F6695F"/>
    <w:rsid w:val="00F66FE6"/>
    <w:rsid w:val="00F66FF6"/>
    <w:rsid w:val="00F66FF9"/>
    <w:rsid w:val="00F67375"/>
    <w:rsid w:val="00F677A0"/>
    <w:rsid w:val="00F67C59"/>
    <w:rsid w:val="00F67F85"/>
    <w:rsid w:val="00F7039B"/>
    <w:rsid w:val="00F71E8D"/>
    <w:rsid w:val="00F72395"/>
    <w:rsid w:val="00F728C4"/>
    <w:rsid w:val="00F73127"/>
    <w:rsid w:val="00F73BEC"/>
    <w:rsid w:val="00F745F6"/>
    <w:rsid w:val="00F749C3"/>
    <w:rsid w:val="00F74F8B"/>
    <w:rsid w:val="00F75A6F"/>
    <w:rsid w:val="00F76103"/>
    <w:rsid w:val="00F76D92"/>
    <w:rsid w:val="00F77646"/>
    <w:rsid w:val="00F77954"/>
    <w:rsid w:val="00F77D8A"/>
    <w:rsid w:val="00F77EE7"/>
    <w:rsid w:val="00F806B7"/>
    <w:rsid w:val="00F80C25"/>
    <w:rsid w:val="00F81BAE"/>
    <w:rsid w:val="00F82DB0"/>
    <w:rsid w:val="00F837B3"/>
    <w:rsid w:val="00F84570"/>
    <w:rsid w:val="00F84758"/>
    <w:rsid w:val="00F84F6A"/>
    <w:rsid w:val="00F8585C"/>
    <w:rsid w:val="00F86871"/>
    <w:rsid w:val="00F868E6"/>
    <w:rsid w:val="00F87D0A"/>
    <w:rsid w:val="00F90209"/>
    <w:rsid w:val="00F9071D"/>
    <w:rsid w:val="00F91040"/>
    <w:rsid w:val="00F92515"/>
    <w:rsid w:val="00F926AB"/>
    <w:rsid w:val="00F92D7B"/>
    <w:rsid w:val="00F935C3"/>
    <w:rsid w:val="00F9403F"/>
    <w:rsid w:val="00F952D9"/>
    <w:rsid w:val="00F95D88"/>
    <w:rsid w:val="00F95F47"/>
    <w:rsid w:val="00F97B0A"/>
    <w:rsid w:val="00FA107D"/>
    <w:rsid w:val="00FA14E7"/>
    <w:rsid w:val="00FA1820"/>
    <w:rsid w:val="00FA2844"/>
    <w:rsid w:val="00FA2C29"/>
    <w:rsid w:val="00FA31A8"/>
    <w:rsid w:val="00FA33DD"/>
    <w:rsid w:val="00FA3AD2"/>
    <w:rsid w:val="00FA4AA1"/>
    <w:rsid w:val="00FA53D9"/>
    <w:rsid w:val="00FA5420"/>
    <w:rsid w:val="00FA55FE"/>
    <w:rsid w:val="00FA6027"/>
    <w:rsid w:val="00FA6208"/>
    <w:rsid w:val="00FA6BFB"/>
    <w:rsid w:val="00FA7FB5"/>
    <w:rsid w:val="00FB04CE"/>
    <w:rsid w:val="00FB0631"/>
    <w:rsid w:val="00FB198C"/>
    <w:rsid w:val="00FB26AD"/>
    <w:rsid w:val="00FB3033"/>
    <w:rsid w:val="00FB342F"/>
    <w:rsid w:val="00FB4F1D"/>
    <w:rsid w:val="00FB529A"/>
    <w:rsid w:val="00FB529F"/>
    <w:rsid w:val="00FB52DC"/>
    <w:rsid w:val="00FB61DC"/>
    <w:rsid w:val="00FB77AF"/>
    <w:rsid w:val="00FB7D1D"/>
    <w:rsid w:val="00FC0205"/>
    <w:rsid w:val="00FC042B"/>
    <w:rsid w:val="00FC1724"/>
    <w:rsid w:val="00FC1813"/>
    <w:rsid w:val="00FC1A3E"/>
    <w:rsid w:val="00FC2698"/>
    <w:rsid w:val="00FC3007"/>
    <w:rsid w:val="00FC319F"/>
    <w:rsid w:val="00FC36A2"/>
    <w:rsid w:val="00FC4290"/>
    <w:rsid w:val="00FC4F2D"/>
    <w:rsid w:val="00FC524C"/>
    <w:rsid w:val="00FC5A59"/>
    <w:rsid w:val="00FC5F15"/>
    <w:rsid w:val="00FC5FF6"/>
    <w:rsid w:val="00FC7761"/>
    <w:rsid w:val="00FC7B06"/>
    <w:rsid w:val="00FC7C92"/>
    <w:rsid w:val="00FC7F48"/>
    <w:rsid w:val="00FD18DE"/>
    <w:rsid w:val="00FD215A"/>
    <w:rsid w:val="00FD3460"/>
    <w:rsid w:val="00FD3B39"/>
    <w:rsid w:val="00FD3E56"/>
    <w:rsid w:val="00FD51C8"/>
    <w:rsid w:val="00FD7C44"/>
    <w:rsid w:val="00FE0AE1"/>
    <w:rsid w:val="00FE1952"/>
    <w:rsid w:val="00FE2906"/>
    <w:rsid w:val="00FE2C81"/>
    <w:rsid w:val="00FE2F62"/>
    <w:rsid w:val="00FE5754"/>
    <w:rsid w:val="00FE6CE3"/>
    <w:rsid w:val="00FE6EEE"/>
    <w:rsid w:val="00FE7D3E"/>
    <w:rsid w:val="00FF155C"/>
    <w:rsid w:val="00FF2323"/>
    <w:rsid w:val="00FF2E89"/>
    <w:rsid w:val="00FF46D3"/>
    <w:rsid w:val="00FF541A"/>
    <w:rsid w:val="00FF7A4E"/>
    <w:rsid w:val="01BB4777"/>
    <w:rsid w:val="022158B8"/>
    <w:rsid w:val="02EC70D9"/>
    <w:rsid w:val="04307F0F"/>
    <w:rsid w:val="04E62F1D"/>
    <w:rsid w:val="05C02A49"/>
    <w:rsid w:val="05DE0598"/>
    <w:rsid w:val="06091BEE"/>
    <w:rsid w:val="065975A5"/>
    <w:rsid w:val="06A03C51"/>
    <w:rsid w:val="071E1C34"/>
    <w:rsid w:val="07372F09"/>
    <w:rsid w:val="07C41400"/>
    <w:rsid w:val="07EE72AF"/>
    <w:rsid w:val="0872314C"/>
    <w:rsid w:val="08CB0E75"/>
    <w:rsid w:val="08FC27C9"/>
    <w:rsid w:val="09043326"/>
    <w:rsid w:val="09A90918"/>
    <w:rsid w:val="0A622816"/>
    <w:rsid w:val="0B55525F"/>
    <w:rsid w:val="0B6A3A49"/>
    <w:rsid w:val="0BE309B4"/>
    <w:rsid w:val="0D2048D2"/>
    <w:rsid w:val="0DD32EBF"/>
    <w:rsid w:val="10514479"/>
    <w:rsid w:val="11804BCC"/>
    <w:rsid w:val="120D1C78"/>
    <w:rsid w:val="121F26AE"/>
    <w:rsid w:val="12320175"/>
    <w:rsid w:val="12705131"/>
    <w:rsid w:val="127A7E77"/>
    <w:rsid w:val="12C051B3"/>
    <w:rsid w:val="131E2C8D"/>
    <w:rsid w:val="139D227C"/>
    <w:rsid w:val="13E04C77"/>
    <w:rsid w:val="14101763"/>
    <w:rsid w:val="14644541"/>
    <w:rsid w:val="15567805"/>
    <w:rsid w:val="15DA3119"/>
    <w:rsid w:val="15F10754"/>
    <w:rsid w:val="16D679F9"/>
    <w:rsid w:val="170D0093"/>
    <w:rsid w:val="176455BD"/>
    <w:rsid w:val="1768674B"/>
    <w:rsid w:val="17D92C51"/>
    <w:rsid w:val="183E5FDC"/>
    <w:rsid w:val="18873752"/>
    <w:rsid w:val="18E11AA6"/>
    <w:rsid w:val="19857683"/>
    <w:rsid w:val="19AC3723"/>
    <w:rsid w:val="1AC4577F"/>
    <w:rsid w:val="1B1F50E1"/>
    <w:rsid w:val="1BE37D55"/>
    <w:rsid w:val="1BF073A1"/>
    <w:rsid w:val="1C051D7B"/>
    <w:rsid w:val="1C0F1F9C"/>
    <w:rsid w:val="1D0021F0"/>
    <w:rsid w:val="1DE91BA1"/>
    <w:rsid w:val="1ED96CB0"/>
    <w:rsid w:val="1F934DED"/>
    <w:rsid w:val="1FDF4D51"/>
    <w:rsid w:val="20261BB8"/>
    <w:rsid w:val="20E803A8"/>
    <w:rsid w:val="20F85FC8"/>
    <w:rsid w:val="21315FF2"/>
    <w:rsid w:val="218E33DF"/>
    <w:rsid w:val="21FA0CBC"/>
    <w:rsid w:val="22D30FD2"/>
    <w:rsid w:val="23505B5E"/>
    <w:rsid w:val="23553B48"/>
    <w:rsid w:val="23667AA3"/>
    <w:rsid w:val="23D4334C"/>
    <w:rsid w:val="24537D3F"/>
    <w:rsid w:val="24BC3A74"/>
    <w:rsid w:val="263018F4"/>
    <w:rsid w:val="26D80B60"/>
    <w:rsid w:val="27031615"/>
    <w:rsid w:val="275279FE"/>
    <w:rsid w:val="27577C10"/>
    <w:rsid w:val="27E12573"/>
    <w:rsid w:val="28056EC8"/>
    <w:rsid w:val="28676ED1"/>
    <w:rsid w:val="29455F76"/>
    <w:rsid w:val="29B10B09"/>
    <w:rsid w:val="2B3B4004"/>
    <w:rsid w:val="2B6835C4"/>
    <w:rsid w:val="2B90085D"/>
    <w:rsid w:val="2B960A17"/>
    <w:rsid w:val="2BC11301"/>
    <w:rsid w:val="2C8D7254"/>
    <w:rsid w:val="2CFBBF7E"/>
    <w:rsid w:val="2D1E1B27"/>
    <w:rsid w:val="2D8F6BDC"/>
    <w:rsid w:val="2DE50B9A"/>
    <w:rsid w:val="2F06707C"/>
    <w:rsid w:val="2F297505"/>
    <w:rsid w:val="2F4D42D8"/>
    <w:rsid w:val="30EB2C8E"/>
    <w:rsid w:val="31A77947"/>
    <w:rsid w:val="31A85C9E"/>
    <w:rsid w:val="31B16186"/>
    <w:rsid w:val="320A7861"/>
    <w:rsid w:val="323B7C77"/>
    <w:rsid w:val="32AB1030"/>
    <w:rsid w:val="32BE0ADB"/>
    <w:rsid w:val="33525983"/>
    <w:rsid w:val="33842A2E"/>
    <w:rsid w:val="338B4076"/>
    <w:rsid w:val="33C70716"/>
    <w:rsid w:val="33EE7267"/>
    <w:rsid w:val="352E3612"/>
    <w:rsid w:val="3532676D"/>
    <w:rsid w:val="35414259"/>
    <w:rsid w:val="36346185"/>
    <w:rsid w:val="36746233"/>
    <w:rsid w:val="36E360C8"/>
    <w:rsid w:val="37B3C287"/>
    <w:rsid w:val="37B5235A"/>
    <w:rsid w:val="38B8250F"/>
    <w:rsid w:val="3A370467"/>
    <w:rsid w:val="3A58546B"/>
    <w:rsid w:val="3A8778D0"/>
    <w:rsid w:val="3AF86C13"/>
    <w:rsid w:val="3B035605"/>
    <w:rsid w:val="3C420431"/>
    <w:rsid w:val="3D015722"/>
    <w:rsid w:val="3D6961FB"/>
    <w:rsid w:val="3E557D76"/>
    <w:rsid w:val="3ED115EC"/>
    <w:rsid w:val="3F1A21ED"/>
    <w:rsid w:val="3F9567E8"/>
    <w:rsid w:val="40EC5C03"/>
    <w:rsid w:val="41030292"/>
    <w:rsid w:val="42012E97"/>
    <w:rsid w:val="434C36AB"/>
    <w:rsid w:val="43794038"/>
    <w:rsid w:val="44B00D32"/>
    <w:rsid w:val="451B399A"/>
    <w:rsid w:val="45F81339"/>
    <w:rsid w:val="461017B7"/>
    <w:rsid w:val="46140CA2"/>
    <w:rsid w:val="469C4F0C"/>
    <w:rsid w:val="46CC732C"/>
    <w:rsid w:val="46DA1066"/>
    <w:rsid w:val="4746634D"/>
    <w:rsid w:val="47706C3D"/>
    <w:rsid w:val="485357C3"/>
    <w:rsid w:val="48AC7996"/>
    <w:rsid w:val="496A1A11"/>
    <w:rsid w:val="49BB1CA6"/>
    <w:rsid w:val="49CD67C7"/>
    <w:rsid w:val="49F52890"/>
    <w:rsid w:val="4A715B7E"/>
    <w:rsid w:val="4A910F14"/>
    <w:rsid w:val="4B3E520C"/>
    <w:rsid w:val="4BBD7799"/>
    <w:rsid w:val="4C395924"/>
    <w:rsid w:val="4CB20714"/>
    <w:rsid w:val="4CB4216C"/>
    <w:rsid w:val="4CD019D5"/>
    <w:rsid w:val="4D315C21"/>
    <w:rsid w:val="4D8A40E4"/>
    <w:rsid w:val="4D9E1FC0"/>
    <w:rsid w:val="4E17329D"/>
    <w:rsid w:val="4EC55E95"/>
    <w:rsid w:val="4ECA22FB"/>
    <w:rsid w:val="4F5A1459"/>
    <w:rsid w:val="4F720002"/>
    <w:rsid w:val="4F9D25C2"/>
    <w:rsid w:val="4FA353B8"/>
    <w:rsid w:val="4FB20C8F"/>
    <w:rsid w:val="50067723"/>
    <w:rsid w:val="50A37A1A"/>
    <w:rsid w:val="516928B5"/>
    <w:rsid w:val="518E0F80"/>
    <w:rsid w:val="52433278"/>
    <w:rsid w:val="524876DE"/>
    <w:rsid w:val="5359400E"/>
    <w:rsid w:val="535B6FAE"/>
    <w:rsid w:val="53AF6CED"/>
    <w:rsid w:val="55424637"/>
    <w:rsid w:val="55A5189E"/>
    <w:rsid w:val="55B0148D"/>
    <w:rsid w:val="56622218"/>
    <w:rsid w:val="56FB1A90"/>
    <w:rsid w:val="570F1840"/>
    <w:rsid w:val="578108DF"/>
    <w:rsid w:val="57BB4C92"/>
    <w:rsid w:val="57C71FBA"/>
    <w:rsid w:val="58101FAC"/>
    <w:rsid w:val="584E3D48"/>
    <w:rsid w:val="58582192"/>
    <w:rsid w:val="58B15859"/>
    <w:rsid w:val="58B24095"/>
    <w:rsid w:val="58C31813"/>
    <w:rsid w:val="5A5564DD"/>
    <w:rsid w:val="5B6E54C7"/>
    <w:rsid w:val="5BEF40E0"/>
    <w:rsid w:val="5C825BDB"/>
    <w:rsid w:val="5CE9403A"/>
    <w:rsid w:val="5CEF6EC6"/>
    <w:rsid w:val="5D357266"/>
    <w:rsid w:val="5DAF66A2"/>
    <w:rsid w:val="5DFC79FE"/>
    <w:rsid w:val="5FA94D01"/>
    <w:rsid w:val="5FCB3B0B"/>
    <w:rsid w:val="5FE92869"/>
    <w:rsid w:val="60877817"/>
    <w:rsid w:val="61921DFE"/>
    <w:rsid w:val="623A24CF"/>
    <w:rsid w:val="62734B1F"/>
    <w:rsid w:val="63D65C59"/>
    <w:rsid w:val="648B3CAA"/>
    <w:rsid w:val="649818BC"/>
    <w:rsid w:val="656B360B"/>
    <w:rsid w:val="65F95EC7"/>
    <w:rsid w:val="66E77FD9"/>
    <w:rsid w:val="67801A58"/>
    <w:rsid w:val="67CA3D86"/>
    <w:rsid w:val="68314A2E"/>
    <w:rsid w:val="684067DC"/>
    <w:rsid w:val="687C11F4"/>
    <w:rsid w:val="692F2E54"/>
    <w:rsid w:val="6B841D2C"/>
    <w:rsid w:val="6BB9772C"/>
    <w:rsid w:val="6BF90C16"/>
    <w:rsid w:val="6C6C6D9B"/>
    <w:rsid w:val="6C863095"/>
    <w:rsid w:val="6DB3109E"/>
    <w:rsid w:val="6E024F86"/>
    <w:rsid w:val="6E086516"/>
    <w:rsid w:val="6E7D719C"/>
    <w:rsid w:val="6E841A8E"/>
    <w:rsid w:val="6E8D042C"/>
    <w:rsid w:val="6EE11FD3"/>
    <w:rsid w:val="6F03410A"/>
    <w:rsid w:val="6F464DEE"/>
    <w:rsid w:val="6F5C07F5"/>
    <w:rsid w:val="6FB52A10"/>
    <w:rsid w:val="704B6F68"/>
    <w:rsid w:val="705F4E2A"/>
    <w:rsid w:val="70A82790"/>
    <w:rsid w:val="72F723FC"/>
    <w:rsid w:val="72F729AE"/>
    <w:rsid w:val="7338419F"/>
    <w:rsid w:val="73453F8F"/>
    <w:rsid w:val="736A02E7"/>
    <w:rsid w:val="73BD2211"/>
    <w:rsid w:val="73D23741"/>
    <w:rsid w:val="73F04746"/>
    <w:rsid w:val="73FEEE3E"/>
    <w:rsid w:val="74376DFB"/>
    <w:rsid w:val="757A3E5B"/>
    <w:rsid w:val="75C875FA"/>
    <w:rsid w:val="763E2703"/>
    <w:rsid w:val="766A7FD6"/>
    <w:rsid w:val="770B7784"/>
    <w:rsid w:val="772D0255"/>
    <w:rsid w:val="775F46E7"/>
    <w:rsid w:val="77A76AFD"/>
    <w:rsid w:val="77E5294E"/>
    <w:rsid w:val="7857697D"/>
    <w:rsid w:val="797B260D"/>
    <w:rsid w:val="7A545FD7"/>
    <w:rsid w:val="7AC81B5F"/>
    <w:rsid w:val="7B4266AD"/>
    <w:rsid w:val="7B8F29A0"/>
    <w:rsid w:val="7BB250B0"/>
    <w:rsid w:val="7BDE72AF"/>
    <w:rsid w:val="7BF9D70B"/>
    <w:rsid w:val="7C016728"/>
    <w:rsid w:val="7C646748"/>
    <w:rsid w:val="7CB377F0"/>
    <w:rsid w:val="7D0C1956"/>
    <w:rsid w:val="7D8F70D3"/>
    <w:rsid w:val="7DFFBBC4"/>
    <w:rsid w:val="7E221185"/>
    <w:rsid w:val="7E4A1772"/>
    <w:rsid w:val="7E58458D"/>
    <w:rsid w:val="7E8A50C0"/>
    <w:rsid w:val="7F477E63"/>
    <w:rsid w:val="7FC132B8"/>
    <w:rsid w:val="7FFBC7B2"/>
    <w:rsid w:val="97EF74F1"/>
    <w:rsid w:val="B7E2A470"/>
    <w:rsid w:val="BD777CAA"/>
    <w:rsid w:val="BF4503C2"/>
    <w:rsid w:val="BFBF9485"/>
    <w:rsid w:val="CCED64F0"/>
    <w:rsid w:val="DF7E4039"/>
    <w:rsid w:val="DFDE55FF"/>
    <w:rsid w:val="DFFD0A01"/>
    <w:rsid w:val="E8FF27DC"/>
    <w:rsid w:val="EEE79697"/>
    <w:rsid w:val="F5EFA641"/>
    <w:rsid w:val="F6B3E606"/>
    <w:rsid w:val="F7FDA08A"/>
    <w:rsid w:val="F9BE86CC"/>
    <w:rsid w:val="FA1F61A1"/>
    <w:rsid w:val="FA5BC1B6"/>
    <w:rsid w:val="FCE5D20E"/>
    <w:rsid w:val="FED3DB2E"/>
    <w:rsid w:val="FFFD1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99" w:semiHidden="0" w:name="Plain Text"/>
    <w:lsdException w:uiPriority="99"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21"/>
      <w:szCs w:val="24"/>
      <w:lang w:val="en-US" w:eastAsia="zh-CN" w:bidi="ar-SA"/>
    </w:rPr>
  </w:style>
  <w:style w:type="paragraph" w:styleId="2">
    <w:name w:val="heading 1"/>
    <w:basedOn w:val="1"/>
    <w:next w:val="1"/>
    <w:link w:val="150"/>
    <w:qFormat/>
    <w:uiPriority w:val="0"/>
    <w:pPr>
      <w:keepNext/>
      <w:outlineLvl w:val="0"/>
    </w:pPr>
    <w:rPr>
      <w:rFonts w:ascii="方正楷体简体" w:eastAsia="方正楷体简体"/>
      <w:sz w:val="28"/>
      <w:szCs w:val="20"/>
    </w:rPr>
  </w:style>
  <w:style w:type="paragraph" w:styleId="3">
    <w:name w:val="heading 2"/>
    <w:basedOn w:val="1"/>
    <w:next w:val="4"/>
    <w:link w:val="149"/>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51"/>
    <w:autoRedefine/>
    <w:qFormat/>
    <w:uiPriority w:val="0"/>
    <w:pPr>
      <w:keepNext/>
      <w:keepLines/>
      <w:spacing w:before="260" w:after="260" w:line="416" w:lineRule="auto"/>
      <w:outlineLvl w:val="2"/>
    </w:pPr>
    <w:rPr>
      <w:rFonts w:ascii="Times New Roman" w:eastAsia="宋体"/>
      <w:b/>
      <w:bCs/>
      <w:sz w:val="32"/>
      <w:szCs w:val="32"/>
      <w:lang w:val="zh-CN"/>
    </w:rPr>
  </w:style>
  <w:style w:type="paragraph" w:styleId="6">
    <w:name w:val="heading 4"/>
    <w:basedOn w:val="1"/>
    <w:next w:val="1"/>
    <w:link w:val="152"/>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53"/>
    <w:autoRedefine/>
    <w:qFormat/>
    <w:uiPriority w:val="0"/>
    <w:pPr>
      <w:keepNext/>
      <w:keepLines/>
      <w:spacing w:before="280" w:after="290" w:line="376" w:lineRule="auto"/>
      <w:outlineLvl w:val="4"/>
    </w:pPr>
    <w:rPr>
      <w:rFonts w:ascii="Times New Roman" w:eastAsia="宋体"/>
      <w:b/>
      <w:bCs/>
      <w:sz w:val="28"/>
      <w:szCs w:val="28"/>
    </w:rPr>
  </w:style>
  <w:style w:type="paragraph" w:styleId="8">
    <w:name w:val="heading 6"/>
    <w:basedOn w:val="1"/>
    <w:next w:val="1"/>
    <w:link w:val="154"/>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55"/>
    <w:autoRedefine/>
    <w:qFormat/>
    <w:uiPriority w:val="0"/>
    <w:pPr>
      <w:keepNext/>
      <w:keepLines/>
      <w:spacing w:before="240" w:after="64" w:line="320" w:lineRule="auto"/>
      <w:outlineLvl w:val="6"/>
    </w:pPr>
    <w:rPr>
      <w:rFonts w:ascii="Times New Roman" w:eastAsia="宋体"/>
      <w:b/>
      <w:bCs/>
      <w:sz w:val="24"/>
    </w:rPr>
  </w:style>
  <w:style w:type="paragraph" w:styleId="10">
    <w:name w:val="heading 8"/>
    <w:basedOn w:val="1"/>
    <w:next w:val="1"/>
    <w:link w:val="156"/>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57"/>
    <w:autoRedefine/>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158"/>
    <w:autoRedefine/>
    <w:qFormat/>
    <w:uiPriority w:val="0"/>
    <w:pPr>
      <w:ind w:firstLine="420"/>
    </w:pPr>
    <w:rPr>
      <w:rFonts w:ascii="Times New Roman" w:eastAsia="宋体"/>
      <w:szCs w:val="20"/>
    </w:rPr>
  </w:style>
  <w:style w:type="paragraph" w:styleId="12">
    <w:name w:val="toc 7"/>
    <w:basedOn w:val="13"/>
    <w:next w:val="1"/>
    <w:autoRedefine/>
    <w:qFormat/>
    <w:uiPriority w:val="0"/>
    <w:pPr>
      <w:tabs>
        <w:tab w:val="left" w:pos="525"/>
        <w:tab w:val="right" w:leader="dot" w:pos="9345"/>
      </w:tabs>
    </w:pPr>
  </w:style>
  <w:style w:type="paragraph" w:styleId="13">
    <w:name w:val="toc 6"/>
    <w:basedOn w:val="14"/>
    <w:next w:val="1"/>
    <w:autoRedefine/>
    <w:qFormat/>
    <w:uiPriority w:val="0"/>
    <w:pPr>
      <w:tabs>
        <w:tab w:val="left" w:pos="525"/>
        <w:tab w:val="right" w:leader="dot" w:pos="9345"/>
      </w:tabs>
    </w:pPr>
  </w:style>
  <w:style w:type="paragraph" w:styleId="14">
    <w:name w:val="toc 5"/>
    <w:basedOn w:val="15"/>
    <w:next w:val="1"/>
    <w:autoRedefine/>
    <w:qFormat/>
    <w:uiPriority w:val="0"/>
    <w:pPr>
      <w:tabs>
        <w:tab w:val="left" w:pos="525"/>
        <w:tab w:val="right" w:leader="dot" w:pos="9345"/>
      </w:tabs>
    </w:pPr>
  </w:style>
  <w:style w:type="paragraph" w:styleId="15">
    <w:name w:val="toc 4"/>
    <w:basedOn w:val="16"/>
    <w:next w:val="1"/>
    <w:autoRedefine/>
    <w:qFormat/>
    <w:uiPriority w:val="39"/>
    <w:pPr>
      <w:widowControl/>
      <w:tabs>
        <w:tab w:val="left" w:pos="525"/>
        <w:tab w:val="right" w:leader="dot" w:pos="9345"/>
      </w:tabs>
    </w:pPr>
    <w:rPr>
      <w:rFonts w:ascii="宋体"/>
      <w:kern w:val="0"/>
      <w:szCs w:val="20"/>
    </w:rPr>
  </w:style>
  <w:style w:type="paragraph" w:styleId="16">
    <w:name w:val="toc 3"/>
    <w:basedOn w:val="1"/>
    <w:next w:val="1"/>
    <w:autoRedefine/>
    <w:qFormat/>
    <w:uiPriority w:val="39"/>
    <w:pPr>
      <w:tabs>
        <w:tab w:val="left" w:pos="525"/>
        <w:tab w:val="right" w:leader="dot" w:pos="9345"/>
      </w:tabs>
    </w:pPr>
    <w:rPr>
      <w:rFonts w:ascii="Times New Roman" w:eastAsia="宋体"/>
    </w:rPr>
  </w:style>
  <w:style w:type="paragraph" w:styleId="17">
    <w:name w:val="Document Map"/>
    <w:basedOn w:val="1"/>
    <w:link w:val="159"/>
    <w:autoRedefine/>
    <w:unhideWhenUsed/>
    <w:qFormat/>
    <w:uiPriority w:val="0"/>
    <w:rPr>
      <w:rFonts w:ascii="宋体" w:eastAsia="宋体"/>
      <w:sz w:val="18"/>
      <w:szCs w:val="18"/>
    </w:rPr>
  </w:style>
  <w:style w:type="paragraph" w:styleId="18">
    <w:name w:val="toa heading"/>
    <w:next w:val="19"/>
    <w:autoRedefine/>
    <w:qFormat/>
    <w:uiPriority w:val="0"/>
    <w:pPr>
      <w:widowControl w:val="0"/>
      <w:spacing w:before="120"/>
    </w:pPr>
    <w:rPr>
      <w:rFonts w:ascii="Arial" w:hAnsi="Arial" w:eastAsia="Arial" w:cs="Arial"/>
      <w:b/>
      <w:bCs/>
      <w:color w:val="000000"/>
      <w:sz w:val="24"/>
      <w:szCs w:val="24"/>
      <w:u w:color="000000"/>
      <w:lang w:val="en-US" w:eastAsia="zh-CN" w:bidi="ar-SA"/>
    </w:rPr>
  </w:style>
  <w:style w:type="paragraph" w:customStyle="1" w:styleId="19">
    <w:name w:val="正文 A"/>
    <w:next w:val="3"/>
    <w:autoRedefine/>
    <w:qFormat/>
    <w:uiPriority w:val="0"/>
    <w:pPr>
      <w:shd w:val="clear" w:color="auto" w:fill="FFFFFF"/>
      <w:spacing w:line="360" w:lineRule="auto"/>
    </w:pPr>
    <w:rPr>
      <w:rFonts w:ascii="宋体" w:hAnsi="宋体" w:eastAsia="宋体" w:cs="宋体"/>
      <w:color w:val="000000"/>
      <w:sz w:val="21"/>
      <w:szCs w:val="21"/>
      <w:u w:color="000000"/>
      <w:lang w:val="zh-TW" w:eastAsia="zh-TW" w:bidi="ar-SA"/>
    </w:rPr>
  </w:style>
  <w:style w:type="paragraph" w:styleId="20">
    <w:name w:val="annotation text"/>
    <w:basedOn w:val="1"/>
    <w:link w:val="160"/>
    <w:autoRedefine/>
    <w:unhideWhenUsed/>
    <w:qFormat/>
    <w:uiPriority w:val="0"/>
    <w:pPr>
      <w:jc w:val="left"/>
    </w:pPr>
    <w:rPr>
      <w:rFonts w:ascii="Times New Roman" w:eastAsia="宋体"/>
      <w:szCs w:val="20"/>
    </w:rPr>
  </w:style>
  <w:style w:type="paragraph" w:styleId="21">
    <w:name w:val="Body Text"/>
    <w:basedOn w:val="1"/>
    <w:link w:val="161"/>
    <w:autoRedefine/>
    <w:qFormat/>
    <w:uiPriority w:val="0"/>
    <w:pPr>
      <w:spacing w:after="120"/>
    </w:pPr>
    <w:rPr>
      <w:rFonts w:ascii="Times New Roman" w:eastAsia="宋体"/>
    </w:rPr>
  </w:style>
  <w:style w:type="paragraph" w:styleId="22">
    <w:name w:val="Body Text Indent"/>
    <w:basedOn w:val="1"/>
    <w:link w:val="162"/>
    <w:autoRedefine/>
    <w:qFormat/>
    <w:uiPriority w:val="0"/>
    <w:pPr>
      <w:spacing w:line="480" w:lineRule="exact"/>
      <w:ind w:firstLine="480" w:firstLineChars="200"/>
    </w:pPr>
    <w:rPr>
      <w:rFonts w:ascii="宋体" w:hAnsi="宋体" w:eastAsia="宋体"/>
      <w:sz w:val="24"/>
    </w:rPr>
  </w:style>
  <w:style w:type="paragraph" w:styleId="23">
    <w:name w:val="HTML Address"/>
    <w:basedOn w:val="1"/>
    <w:link w:val="163"/>
    <w:autoRedefine/>
    <w:qFormat/>
    <w:uiPriority w:val="0"/>
    <w:rPr>
      <w:rFonts w:ascii="Times New Roman" w:eastAsia="宋体"/>
      <w:i/>
      <w:iCs/>
    </w:rPr>
  </w:style>
  <w:style w:type="paragraph" w:styleId="24">
    <w:name w:val="Plain Text"/>
    <w:basedOn w:val="1"/>
    <w:link w:val="248"/>
    <w:autoRedefine/>
    <w:unhideWhenUsed/>
    <w:qFormat/>
    <w:uiPriority w:val="99"/>
    <w:rPr>
      <w:rFonts w:ascii="宋体" w:hAnsi="Courier New" w:eastAsia="宋体" w:cs="宋体"/>
      <w:kern w:val="0"/>
      <w:szCs w:val="21"/>
    </w:rPr>
  </w:style>
  <w:style w:type="paragraph" w:styleId="25">
    <w:name w:val="toc 8"/>
    <w:basedOn w:val="12"/>
    <w:next w:val="1"/>
    <w:autoRedefine/>
    <w:qFormat/>
    <w:uiPriority w:val="0"/>
  </w:style>
  <w:style w:type="paragraph" w:styleId="26">
    <w:name w:val="Date"/>
    <w:basedOn w:val="1"/>
    <w:next w:val="1"/>
    <w:link w:val="164"/>
    <w:autoRedefine/>
    <w:qFormat/>
    <w:uiPriority w:val="0"/>
    <w:pPr>
      <w:autoSpaceDE w:val="0"/>
      <w:autoSpaceDN w:val="0"/>
      <w:adjustRightInd w:val="0"/>
    </w:pPr>
    <w:rPr>
      <w:rFonts w:ascii="宋体" w:eastAsia="宋体"/>
      <w:kern w:val="0"/>
      <w:sz w:val="28"/>
      <w:szCs w:val="20"/>
    </w:rPr>
  </w:style>
  <w:style w:type="paragraph" w:styleId="27">
    <w:name w:val="Balloon Text"/>
    <w:basedOn w:val="1"/>
    <w:link w:val="165"/>
    <w:autoRedefine/>
    <w:unhideWhenUsed/>
    <w:qFormat/>
    <w:uiPriority w:val="99"/>
    <w:rPr>
      <w:sz w:val="18"/>
      <w:szCs w:val="18"/>
    </w:rPr>
  </w:style>
  <w:style w:type="paragraph" w:styleId="28">
    <w:name w:val="footer"/>
    <w:basedOn w:val="1"/>
    <w:link w:val="166"/>
    <w:autoRedefine/>
    <w:qFormat/>
    <w:uiPriority w:val="99"/>
    <w:pPr>
      <w:tabs>
        <w:tab w:val="center" w:pos="4153"/>
        <w:tab w:val="right" w:pos="8306"/>
      </w:tabs>
      <w:snapToGrid w:val="0"/>
      <w:jc w:val="left"/>
    </w:pPr>
    <w:rPr>
      <w:kern w:val="0"/>
      <w:sz w:val="18"/>
      <w:szCs w:val="18"/>
    </w:rPr>
  </w:style>
  <w:style w:type="paragraph" w:styleId="29">
    <w:name w:val="header"/>
    <w:basedOn w:val="1"/>
    <w:link w:val="167"/>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autoRedefine/>
    <w:qFormat/>
    <w:uiPriority w:val="39"/>
    <w:pPr>
      <w:tabs>
        <w:tab w:val="right" w:leader="dot" w:pos="9241"/>
      </w:tabs>
      <w:spacing w:beforeLines="25" w:afterLines="25"/>
      <w:jc w:val="left"/>
    </w:pPr>
    <w:rPr>
      <w:rFonts w:ascii="宋体" w:eastAsia="宋体"/>
      <w:szCs w:val="21"/>
    </w:rPr>
  </w:style>
  <w:style w:type="paragraph" w:styleId="31">
    <w:name w:val="Subtitle"/>
    <w:basedOn w:val="1"/>
    <w:link w:val="168"/>
    <w:autoRedefine/>
    <w:qFormat/>
    <w:uiPriority w:val="0"/>
    <w:pPr>
      <w:widowControl/>
      <w:jc w:val="center"/>
    </w:pPr>
    <w:rPr>
      <w:rFonts w:ascii="Times New Roman" w:eastAsia="宋体"/>
      <w:kern w:val="0"/>
      <w:sz w:val="20"/>
      <w:u w:val="single"/>
      <w:lang w:eastAsia="en-US"/>
    </w:rPr>
  </w:style>
  <w:style w:type="paragraph" w:styleId="32">
    <w:name w:val="footnote text"/>
    <w:basedOn w:val="1"/>
    <w:link w:val="169"/>
    <w:autoRedefine/>
    <w:qFormat/>
    <w:uiPriority w:val="0"/>
    <w:pPr>
      <w:snapToGrid w:val="0"/>
      <w:jc w:val="left"/>
    </w:pPr>
    <w:rPr>
      <w:rFonts w:ascii="Times New Roman" w:eastAsia="宋体"/>
      <w:sz w:val="18"/>
      <w:szCs w:val="18"/>
    </w:rPr>
  </w:style>
  <w:style w:type="paragraph" w:styleId="33">
    <w:name w:val="toc 2"/>
    <w:basedOn w:val="1"/>
    <w:next w:val="1"/>
    <w:autoRedefine/>
    <w:qFormat/>
    <w:uiPriority w:val="39"/>
    <w:pPr>
      <w:tabs>
        <w:tab w:val="right" w:leader="dot" w:pos="9344"/>
      </w:tabs>
      <w:spacing w:line="360" w:lineRule="auto"/>
      <w:jc w:val="left"/>
    </w:pPr>
    <w:rPr>
      <w:rFonts w:hAnsi="宋体"/>
      <w:b/>
      <w:smallCaps/>
      <w:szCs w:val="21"/>
    </w:rPr>
  </w:style>
  <w:style w:type="paragraph" w:styleId="34">
    <w:name w:val="toc 9"/>
    <w:basedOn w:val="25"/>
    <w:next w:val="1"/>
    <w:autoRedefine/>
    <w:qFormat/>
    <w:uiPriority w:val="0"/>
  </w:style>
  <w:style w:type="paragraph" w:styleId="35">
    <w:name w:val="HTML Preformatted"/>
    <w:basedOn w:val="1"/>
    <w:link w:val="170"/>
    <w:autoRedefine/>
    <w:qFormat/>
    <w:uiPriority w:val="0"/>
    <w:rPr>
      <w:rFonts w:ascii="Courier New" w:hAnsi="Courier New" w:eastAsia="宋体"/>
      <w:sz w:val="20"/>
      <w:szCs w:val="20"/>
    </w:rPr>
  </w:style>
  <w:style w:type="paragraph" w:styleId="3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37">
    <w:name w:val="Title"/>
    <w:basedOn w:val="1"/>
    <w:link w:val="171"/>
    <w:autoRedefine/>
    <w:qFormat/>
    <w:uiPriority w:val="0"/>
    <w:pPr>
      <w:spacing w:before="240" w:after="60"/>
      <w:jc w:val="center"/>
      <w:outlineLvl w:val="0"/>
    </w:pPr>
    <w:rPr>
      <w:rFonts w:ascii="Arial" w:hAnsi="Arial" w:eastAsia="隶书"/>
      <w:b/>
      <w:bCs/>
      <w:sz w:val="32"/>
      <w:szCs w:val="32"/>
    </w:rPr>
  </w:style>
  <w:style w:type="paragraph" w:styleId="38">
    <w:name w:val="annotation subject"/>
    <w:basedOn w:val="20"/>
    <w:next w:val="20"/>
    <w:link w:val="172"/>
    <w:autoRedefine/>
    <w:unhideWhenUsed/>
    <w:qFormat/>
    <w:uiPriority w:val="0"/>
    <w:rPr>
      <w:b/>
      <w:bCs/>
    </w:rPr>
  </w:style>
  <w:style w:type="paragraph" w:styleId="39">
    <w:name w:val="Body Text First Indent 2"/>
    <w:basedOn w:val="22"/>
    <w:autoRedefine/>
    <w:qFormat/>
    <w:uiPriority w:val="0"/>
    <w:pPr>
      <w:widowControl/>
      <w:spacing w:after="120" w:line="240" w:lineRule="auto"/>
      <w:ind w:left="420" w:leftChars="200" w:firstLine="420"/>
      <w:jc w:val="left"/>
    </w:pPr>
    <w:rPr>
      <w:rFonts w:ascii="Arial" w:hAnsi="Arial"/>
      <w:kern w:val="28"/>
      <w:lang w:eastAsia="en-US" w:bidi="en-US"/>
    </w:rPr>
  </w:style>
  <w:style w:type="table" w:styleId="41">
    <w:name w:val="Table Grid"/>
    <w:basedOn w:val="40"/>
    <w:autoRedefine/>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autoRedefine/>
    <w:qFormat/>
    <w:uiPriority w:val="0"/>
  </w:style>
  <w:style w:type="character" w:styleId="44">
    <w:name w:val="FollowedHyperlink"/>
    <w:autoRedefine/>
    <w:unhideWhenUsed/>
    <w:qFormat/>
    <w:uiPriority w:val="99"/>
    <w:rPr>
      <w:color w:val="954F72"/>
      <w:u w:val="single"/>
    </w:rPr>
  </w:style>
  <w:style w:type="character" w:styleId="45">
    <w:name w:val="HTML Definition"/>
    <w:autoRedefine/>
    <w:qFormat/>
    <w:uiPriority w:val="0"/>
    <w:rPr>
      <w:i/>
      <w:iCs/>
    </w:rPr>
  </w:style>
  <w:style w:type="character" w:styleId="46">
    <w:name w:val="HTML Typewriter"/>
    <w:autoRedefine/>
    <w:qFormat/>
    <w:uiPriority w:val="0"/>
    <w:rPr>
      <w:rFonts w:ascii="Courier New" w:hAnsi="Courier New"/>
      <w:sz w:val="20"/>
      <w:szCs w:val="20"/>
    </w:rPr>
  </w:style>
  <w:style w:type="character" w:styleId="47">
    <w:name w:val="HTML Acronym"/>
    <w:autoRedefine/>
    <w:qFormat/>
    <w:uiPriority w:val="0"/>
  </w:style>
  <w:style w:type="character" w:styleId="48">
    <w:name w:val="HTML Variable"/>
    <w:autoRedefine/>
    <w:qFormat/>
    <w:uiPriority w:val="0"/>
    <w:rPr>
      <w:i/>
      <w:iCs/>
    </w:rPr>
  </w:style>
  <w:style w:type="character" w:styleId="49">
    <w:name w:val="Hyperlink"/>
    <w:autoRedefine/>
    <w:qFormat/>
    <w:uiPriority w:val="99"/>
    <w:rPr>
      <w:color w:val="0000FF"/>
      <w:spacing w:val="0"/>
      <w:w w:val="100"/>
      <w:szCs w:val="21"/>
      <w:u w:val="single"/>
    </w:rPr>
  </w:style>
  <w:style w:type="character" w:styleId="50">
    <w:name w:val="HTML Code"/>
    <w:autoRedefine/>
    <w:qFormat/>
    <w:uiPriority w:val="0"/>
    <w:rPr>
      <w:rFonts w:ascii="Courier New" w:hAnsi="Courier New"/>
      <w:sz w:val="20"/>
      <w:szCs w:val="20"/>
    </w:rPr>
  </w:style>
  <w:style w:type="character" w:styleId="51">
    <w:name w:val="annotation reference"/>
    <w:autoRedefine/>
    <w:unhideWhenUsed/>
    <w:qFormat/>
    <w:uiPriority w:val="0"/>
    <w:rPr>
      <w:sz w:val="21"/>
      <w:szCs w:val="21"/>
    </w:rPr>
  </w:style>
  <w:style w:type="character" w:styleId="52">
    <w:name w:val="HTML Cite"/>
    <w:autoRedefine/>
    <w:qFormat/>
    <w:uiPriority w:val="0"/>
    <w:rPr>
      <w:i/>
      <w:iCs/>
    </w:rPr>
  </w:style>
  <w:style w:type="character" w:styleId="53">
    <w:name w:val="footnote reference"/>
    <w:autoRedefine/>
    <w:qFormat/>
    <w:uiPriority w:val="0"/>
    <w:rPr>
      <w:vertAlign w:val="superscript"/>
    </w:rPr>
  </w:style>
  <w:style w:type="character" w:styleId="54">
    <w:name w:val="HTML Keyboard"/>
    <w:autoRedefine/>
    <w:qFormat/>
    <w:uiPriority w:val="0"/>
    <w:rPr>
      <w:rFonts w:ascii="Courier New" w:hAnsi="Courier New"/>
      <w:sz w:val="20"/>
      <w:szCs w:val="20"/>
    </w:rPr>
  </w:style>
  <w:style w:type="character" w:styleId="55">
    <w:name w:val="HTML Sample"/>
    <w:autoRedefine/>
    <w:qFormat/>
    <w:uiPriority w:val="0"/>
    <w:rPr>
      <w:rFonts w:ascii="Courier New" w:hAnsi="Courier New"/>
    </w:rPr>
  </w:style>
  <w:style w:type="paragraph" w:styleId="56">
    <w:name w:val="List Paragraph"/>
    <w:basedOn w:val="1"/>
    <w:link w:val="197"/>
    <w:autoRedefine/>
    <w:qFormat/>
    <w:uiPriority w:val="34"/>
    <w:pPr>
      <w:ind w:firstLine="420" w:firstLineChars="200"/>
    </w:pPr>
    <w:rPr>
      <w:rFonts w:ascii="Times New Roman" w:eastAsia="宋体"/>
      <w:szCs w:val="20"/>
    </w:rPr>
  </w:style>
  <w:style w:type="paragraph" w:customStyle="1" w:styleId="57">
    <w:name w:val="Default"/>
    <w:link w:val="215"/>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8">
    <w:name w:val="段"/>
    <w:link w:val="228"/>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9">
    <w:name w:val="其他实施日期"/>
    <w:basedOn w:val="1"/>
    <w:autoRedefine/>
    <w:qFormat/>
    <w:uiPriority w:val="0"/>
    <w:pPr>
      <w:framePr w:w="3997" w:h="471" w:hRule="exact" w:vSpace="181" w:wrap="around" w:vAnchor="page" w:hAnchor="page" w:x="7089" w:y="14097" w:anchorLock="1"/>
      <w:widowControl/>
      <w:jc w:val="right"/>
    </w:pPr>
    <w:rPr>
      <w:rFonts w:ascii="Times New Roman" w:eastAsia="黑体"/>
      <w:kern w:val="0"/>
      <w:sz w:val="28"/>
      <w:szCs w:val="20"/>
    </w:rPr>
  </w:style>
  <w:style w:type="paragraph" w:customStyle="1" w:styleId="60">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1">
    <w:name w:val="图表标题"/>
    <w:basedOn w:val="62"/>
    <w:autoRedefine/>
    <w:qFormat/>
    <w:uiPriority w:val="0"/>
    <w:pPr>
      <w:ind w:firstLine="0" w:firstLineChars="0"/>
      <w:jc w:val="center"/>
    </w:pPr>
    <w:rPr>
      <w:rFonts w:eastAsia="黑体"/>
      <w:sz w:val="21"/>
    </w:rPr>
  </w:style>
  <w:style w:type="paragraph" w:customStyle="1" w:styleId="62">
    <w:name w:val="文章内容"/>
    <w:basedOn w:val="1"/>
    <w:autoRedefine/>
    <w:qFormat/>
    <w:uiPriority w:val="0"/>
    <w:pPr>
      <w:widowControl/>
      <w:spacing w:line="400" w:lineRule="exact"/>
      <w:ind w:firstLine="200" w:firstLineChars="200"/>
    </w:pPr>
    <w:rPr>
      <w:rFonts w:ascii="宋体" w:hAnsi="宋体" w:eastAsia="宋体"/>
      <w:sz w:val="24"/>
      <w:szCs w:val="20"/>
    </w:rPr>
  </w:style>
  <w:style w:type="paragraph" w:customStyle="1" w:styleId="63">
    <w:name w:val="条4"/>
    <w:basedOn w:val="1"/>
    <w:next w:val="58"/>
    <w:autoRedefine/>
    <w:qFormat/>
    <w:uiPriority w:val="0"/>
    <w:pPr>
      <w:numPr>
        <w:ilvl w:val="4"/>
        <w:numId w:val="1"/>
      </w:numPr>
      <w:outlineLvl w:val="1"/>
    </w:pPr>
    <w:rPr>
      <w:rFonts w:ascii="黑体" w:eastAsia="黑体"/>
      <w:kern w:val="21"/>
      <w:szCs w:val="20"/>
    </w:rPr>
  </w:style>
  <w:style w:type="paragraph" w:customStyle="1" w:styleId="64">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65">
    <w:name w:val="终结线"/>
    <w:basedOn w:val="1"/>
    <w:autoRedefine/>
    <w:qFormat/>
    <w:uiPriority w:val="0"/>
    <w:pPr>
      <w:framePr w:hSpace="181" w:vSpace="181" w:wrap="around" w:vAnchor="text" w:hAnchor="margin" w:xAlign="center" w:y="285"/>
    </w:pPr>
    <w:rPr>
      <w:rFonts w:ascii="Times New Roman" w:eastAsia="宋体"/>
    </w:rPr>
  </w:style>
  <w:style w:type="paragraph" w:customStyle="1" w:styleId="66">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7">
    <w:name w:val="条3"/>
    <w:basedOn w:val="1"/>
    <w:next w:val="58"/>
    <w:autoRedefine/>
    <w:qFormat/>
    <w:uiPriority w:val="0"/>
    <w:pPr>
      <w:numPr>
        <w:ilvl w:val="3"/>
        <w:numId w:val="1"/>
      </w:numPr>
      <w:outlineLvl w:val="1"/>
    </w:pPr>
    <w:rPr>
      <w:rFonts w:ascii="黑体" w:eastAsia="黑体"/>
      <w:kern w:val="21"/>
      <w:szCs w:val="20"/>
    </w:rPr>
  </w:style>
  <w:style w:type="paragraph" w:customStyle="1" w:styleId="68">
    <w:name w:val="编号1"/>
    <w:basedOn w:val="62"/>
    <w:autoRedefine/>
    <w:qFormat/>
    <w:uiPriority w:val="0"/>
    <w:pPr>
      <w:numPr>
        <w:ilvl w:val="0"/>
        <w:numId w:val="2"/>
      </w:numPr>
      <w:tabs>
        <w:tab w:val="left" w:pos="964"/>
      </w:tabs>
      <w:ind w:firstLine="0" w:firstLineChars="0"/>
    </w:pPr>
  </w:style>
  <w:style w:type="paragraph" w:customStyle="1" w:styleId="69">
    <w:name w:val="参考文献、索引标题"/>
    <w:basedOn w:val="70"/>
    <w:next w:val="1"/>
    <w:autoRedefine/>
    <w:qFormat/>
    <w:uiPriority w:val="0"/>
    <w:pPr>
      <w:keepNext w:val="0"/>
      <w:pageBreakBefore w:val="0"/>
      <w:spacing w:after="200"/>
    </w:pPr>
    <w:rPr>
      <w:sz w:val="21"/>
    </w:rPr>
  </w:style>
  <w:style w:type="paragraph" w:customStyle="1" w:styleId="70">
    <w:name w:val="前言、引言标题"/>
    <w:next w:val="58"/>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1">
    <w:name w:val="条5"/>
    <w:basedOn w:val="1"/>
    <w:next w:val="58"/>
    <w:autoRedefine/>
    <w:qFormat/>
    <w:uiPriority w:val="0"/>
    <w:pPr>
      <w:numPr>
        <w:ilvl w:val="5"/>
        <w:numId w:val="1"/>
      </w:numPr>
      <w:outlineLvl w:val="1"/>
    </w:pPr>
    <w:rPr>
      <w:rFonts w:ascii="黑体" w:eastAsia="黑体"/>
      <w:kern w:val="21"/>
      <w:szCs w:val="20"/>
    </w:rPr>
  </w:style>
  <w:style w:type="paragraph" w:customStyle="1" w:styleId="72">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3">
    <w:name w:val="Char Char Char Char Char Char Char1"/>
    <w:basedOn w:val="1"/>
    <w:autoRedefine/>
    <w:qFormat/>
    <w:uiPriority w:val="0"/>
    <w:pPr>
      <w:widowControl/>
      <w:spacing w:after="160" w:line="240" w:lineRule="exact"/>
      <w:jc w:val="left"/>
    </w:pPr>
  </w:style>
  <w:style w:type="paragraph" w:customStyle="1" w:styleId="74">
    <w:name w:val="6级正文"/>
    <w:basedOn w:val="1"/>
    <w:link w:val="240"/>
    <w:autoRedefine/>
    <w:qFormat/>
    <w:uiPriority w:val="0"/>
    <w:pPr>
      <w:spacing w:line="360" w:lineRule="auto"/>
      <w:ind w:firstLine="200" w:firstLineChars="200"/>
    </w:pPr>
    <w:rPr>
      <w:rFonts w:ascii="宋体" w:hAnsi="宋体" w:eastAsia="宋体"/>
      <w:spacing w:val="6"/>
      <w:sz w:val="28"/>
      <w:szCs w:val="21"/>
      <w:lang w:val="zh-CN"/>
    </w:rPr>
  </w:style>
  <w:style w:type="paragraph" w:customStyle="1" w:styleId="75">
    <w:name w:val="封面标准英文名称"/>
    <w:basedOn w:val="76"/>
    <w:autoRedefine/>
    <w:qFormat/>
    <w:uiPriority w:val="0"/>
    <w:pPr>
      <w:framePr w:wrap="around"/>
      <w:spacing w:before="370" w:line="400" w:lineRule="exact"/>
    </w:pPr>
    <w:rPr>
      <w:rFonts w:ascii="Times New Roman"/>
      <w:sz w:val="28"/>
      <w:szCs w:val="28"/>
    </w:rPr>
  </w:style>
  <w:style w:type="paragraph" w:customStyle="1" w:styleId="76">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附录章标题"/>
    <w:next w:val="58"/>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8">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79">
    <w:name w:val="11111112"/>
    <w:basedOn w:val="1"/>
    <w:autoRedefine/>
    <w:qFormat/>
    <w:uiPriority w:val="0"/>
    <w:pPr>
      <w:spacing w:line="360" w:lineRule="auto"/>
      <w:ind w:firstLine="200" w:firstLineChars="200"/>
    </w:pPr>
    <w:rPr>
      <w:rFonts w:ascii="Calibri" w:hAnsi="Calibri" w:eastAsia="宋体"/>
      <w:kern w:val="0"/>
      <w:sz w:val="24"/>
      <w:szCs w:val="20"/>
      <w:lang w:val="zh-CN"/>
    </w:rPr>
  </w:style>
  <w:style w:type="paragraph" w:customStyle="1" w:styleId="80">
    <w:name w:val="发布日期"/>
    <w:autoRedefine/>
    <w:qFormat/>
    <w:uiPriority w:val="0"/>
    <w:rPr>
      <w:rFonts w:ascii="Times New Roman" w:hAnsi="Times New Roman" w:eastAsia="黑体" w:cs="Times New Roman"/>
      <w:sz w:val="28"/>
      <w:lang w:val="en-US" w:eastAsia="zh-CN" w:bidi="ar-SA"/>
    </w:rPr>
  </w:style>
  <w:style w:type="paragraph" w:customStyle="1" w:styleId="81">
    <w:name w:val="条1"/>
    <w:basedOn w:val="1"/>
    <w:next w:val="58"/>
    <w:autoRedefine/>
    <w:qFormat/>
    <w:uiPriority w:val="0"/>
    <w:pPr>
      <w:numPr>
        <w:ilvl w:val="1"/>
        <w:numId w:val="1"/>
      </w:numPr>
      <w:outlineLvl w:val="1"/>
    </w:pPr>
    <w:rPr>
      <w:rFonts w:ascii="黑体" w:eastAsia="黑体"/>
      <w:kern w:val="21"/>
      <w:szCs w:val="20"/>
    </w:rPr>
  </w:style>
  <w:style w:type="paragraph" w:customStyle="1" w:styleId="82">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3">
    <w:name w:val="四级条标题"/>
    <w:basedOn w:val="1"/>
    <w:next w:val="58"/>
    <w:autoRedefine/>
    <w:qFormat/>
    <w:uiPriority w:val="0"/>
    <w:pPr>
      <w:widowControl/>
      <w:spacing w:beforeLines="50" w:afterLines="50"/>
      <w:jc w:val="left"/>
      <w:outlineLvl w:val="5"/>
    </w:pPr>
    <w:rPr>
      <w:rFonts w:ascii="黑体" w:eastAsia="黑体"/>
      <w:kern w:val="0"/>
      <w:szCs w:val="21"/>
    </w:rPr>
  </w:style>
  <w:style w:type="paragraph" w:customStyle="1" w:styleId="84">
    <w:name w:val="二级条标题"/>
    <w:basedOn w:val="85"/>
    <w:next w:val="58"/>
    <w:autoRedefine/>
    <w:qFormat/>
    <w:uiPriority w:val="0"/>
    <w:pPr>
      <w:spacing w:before="50" w:after="50"/>
      <w:outlineLvl w:val="3"/>
    </w:pPr>
  </w:style>
  <w:style w:type="paragraph" w:customStyle="1" w:styleId="85">
    <w:name w:val="一级条标题"/>
    <w:next w:val="58"/>
    <w:autoRedefine/>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86">
    <w:name w:val="其他标准标志"/>
    <w:basedOn w:val="1"/>
    <w:autoRedefine/>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b/>
      <w:w w:val="130"/>
      <w:kern w:val="0"/>
      <w:sz w:val="96"/>
      <w:szCs w:val="96"/>
    </w:rPr>
  </w:style>
  <w:style w:type="paragraph" w:customStyle="1" w:styleId="87">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8">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9">
    <w:name w:val="缺省文本"/>
    <w:basedOn w:val="1"/>
    <w:autoRedefine/>
    <w:semiHidden/>
    <w:qFormat/>
    <w:uiPriority w:val="0"/>
    <w:pPr>
      <w:jc w:val="left"/>
    </w:pPr>
    <w:rPr>
      <w:rFonts w:ascii="Calibri" w:hAnsi="Calibri" w:eastAsia="Times New Roman"/>
      <w:sz w:val="24"/>
      <w:szCs w:val="20"/>
    </w:rPr>
  </w:style>
  <w:style w:type="paragraph" w:customStyle="1" w:styleId="90">
    <w:name w:val="TOC 标题1"/>
    <w:basedOn w:val="2"/>
    <w:next w:val="1"/>
    <w:autoRedefine/>
    <w:qFormat/>
    <w:uiPriority w:val="39"/>
    <w:pPr>
      <w:keepLines/>
      <w:widowControl/>
      <w:spacing w:before="480" w:line="276" w:lineRule="auto"/>
      <w:jc w:val="left"/>
      <w:outlineLvl w:val="9"/>
    </w:pPr>
    <w:rPr>
      <w:rFonts w:ascii="Cambria" w:hAnsi="Cambria" w:eastAsia="宋体"/>
      <w:b/>
      <w:bCs/>
      <w:color w:val="365F91"/>
      <w:kern w:val="0"/>
      <w:szCs w:val="28"/>
    </w:rPr>
  </w:style>
  <w:style w:type="paragraph" w:customStyle="1" w:styleId="91">
    <w:name w:val="封面标准文稿类别"/>
    <w:basedOn w:val="92"/>
    <w:autoRedefine/>
    <w:qFormat/>
    <w:uiPriority w:val="0"/>
    <w:pPr>
      <w:framePr w:wrap="around"/>
      <w:spacing w:after="160" w:line="240" w:lineRule="auto"/>
    </w:pPr>
    <w:rPr>
      <w:sz w:val="24"/>
    </w:rPr>
  </w:style>
  <w:style w:type="paragraph" w:customStyle="1" w:styleId="92">
    <w:name w:val="封面一致性程度标识"/>
    <w:basedOn w:val="75"/>
    <w:autoRedefine/>
    <w:qFormat/>
    <w:uiPriority w:val="0"/>
    <w:pPr>
      <w:framePr w:wrap="around"/>
      <w:spacing w:before="440"/>
    </w:pPr>
    <w:rPr>
      <w:rFonts w:ascii="宋体" w:eastAsia="宋体"/>
    </w:rPr>
  </w:style>
  <w:style w:type="paragraph" w:customStyle="1" w:styleId="93">
    <w:name w:val="五级条标题"/>
    <w:basedOn w:val="83"/>
    <w:next w:val="58"/>
    <w:autoRedefine/>
    <w:qFormat/>
    <w:uiPriority w:val="0"/>
    <w:pPr>
      <w:outlineLvl w:val="6"/>
    </w:pPr>
  </w:style>
  <w:style w:type="paragraph" w:customStyle="1" w:styleId="94">
    <w:name w:val="Char Char Char Char Char Char Char"/>
    <w:basedOn w:val="1"/>
    <w:autoRedefine/>
    <w:qFormat/>
    <w:uiPriority w:val="0"/>
    <w:pPr>
      <w:widowControl/>
      <w:spacing w:after="160" w:line="240" w:lineRule="exact"/>
      <w:jc w:val="left"/>
    </w:pPr>
  </w:style>
  <w:style w:type="paragraph" w:customStyle="1" w:styleId="95">
    <w:name w:val="附录三级条标题"/>
    <w:basedOn w:val="96"/>
    <w:next w:val="58"/>
    <w:autoRedefine/>
    <w:qFormat/>
    <w:uiPriority w:val="0"/>
    <w:pPr>
      <w:outlineLvl w:val="4"/>
    </w:pPr>
  </w:style>
  <w:style w:type="paragraph" w:customStyle="1" w:styleId="96">
    <w:name w:val="附录二级条标题"/>
    <w:basedOn w:val="97"/>
    <w:next w:val="58"/>
    <w:autoRedefine/>
    <w:qFormat/>
    <w:uiPriority w:val="0"/>
    <w:pPr>
      <w:outlineLvl w:val="3"/>
    </w:pPr>
  </w:style>
  <w:style w:type="paragraph" w:customStyle="1" w:styleId="97">
    <w:name w:val="附录一级条标题"/>
    <w:basedOn w:val="77"/>
    <w:next w:val="58"/>
    <w:autoRedefine/>
    <w:qFormat/>
    <w:uiPriority w:val="0"/>
    <w:pPr>
      <w:autoSpaceDN w:val="0"/>
      <w:spacing w:beforeLines="0" w:afterLines="0"/>
      <w:outlineLvl w:val="2"/>
    </w:pPr>
  </w:style>
  <w:style w:type="paragraph" w:customStyle="1" w:styleId="98">
    <w:name w:val="正文表标题"/>
    <w:next w:val="58"/>
    <w:autoRedefine/>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99">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100">
    <w:name w:val="标准书眉_偶数页"/>
    <w:basedOn w:val="101"/>
    <w:next w:val="1"/>
    <w:autoRedefine/>
    <w:qFormat/>
    <w:uiPriority w:val="0"/>
    <w:pPr>
      <w:tabs>
        <w:tab w:val="center" w:pos="4154"/>
        <w:tab w:val="right" w:pos="8306"/>
      </w:tabs>
      <w:spacing w:after="120"/>
      <w:jc w:val="left"/>
    </w:pPr>
    <w:rPr>
      <w:rFonts w:ascii="Times New Roman" w:eastAsia="宋体"/>
      <w:szCs w:val="20"/>
    </w:rPr>
  </w:style>
  <w:style w:type="paragraph" w:customStyle="1" w:styleId="101">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2">
    <w:name w:val="注×："/>
    <w:autoRedefine/>
    <w:qFormat/>
    <w:uiPriority w:val="0"/>
    <w:pPr>
      <w:widowControl w:val="0"/>
      <w:numPr>
        <w:ilvl w:val="0"/>
        <w:numId w:val="5"/>
      </w:numPr>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103">
    <w:name w:val="Char Char Char Char"/>
    <w:basedOn w:val="1"/>
    <w:autoRedefine/>
    <w:qFormat/>
    <w:uiPriority w:val="0"/>
    <w:rPr>
      <w:rFonts w:ascii="Times New Roman" w:eastAsia="宋体"/>
    </w:rPr>
  </w:style>
  <w:style w:type="paragraph" w:customStyle="1" w:styleId="104">
    <w:name w:val="其他发布部门"/>
    <w:basedOn w:val="1"/>
    <w:autoRedefine/>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105">
    <w:name w:val="列出段落2"/>
    <w:basedOn w:val="1"/>
    <w:autoRedefine/>
    <w:qFormat/>
    <w:uiPriority w:val="0"/>
    <w:pPr>
      <w:ind w:firstLine="420"/>
    </w:pPr>
    <w:rPr>
      <w:rFonts w:ascii="Times New Roman" w:eastAsia="宋体"/>
    </w:rPr>
  </w:style>
  <w:style w:type="paragraph" w:customStyle="1" w:styleId="106">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7">
    <w:name w:val="*** 正文"/>
    <w:basedOn w:val="1"/>
    <w:autoRedefine/>
    <w:qFormat/>
    <w:uiPriority w:val="0"/>
    <w:pPr>
      <w:spacing w:line="500" w:lineRule="exact"/>
      <w:ind w:firstLine="555"/>
    </w:pPr>
    <w:rPr>
      <w:rFonts w:ascii="Calibri" w:hAnsi="Calibri" w:eastAsia="宋体"/>
      <w:sz w:val="28"/>
      <w:szCs w:val="28"/>
    </w:rPr>
  </w:style>
  <w:style w:type="paragraph" w:customStyle="1" w:styleId="10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109">
    <w:name w:val="附录五级条标题"/>
    <w:basedOn w:val="110"/>
    <w:next w:val="58"/>
    <w:autoRedefine/>
    <w:qFormat/>
    <w:uiPriority w:val="0"/>
    <w:pPr>
      <w:outlineLvl w:val="6"/>
    </w:pPr>
  </w:style>
  <w:style w:type="paragraph" w:customStyle="1" w:styleId="110">
    <w:name w:val="附录四级条标题"/>
    <w:basedOn w:val="95"/>
    <w:next w:val="58"/>
    <w:autoRedefine/>
    <w:qFormat/>
    <w:uiPriority w:val="0"/>
    <w:pPr>
      <w:outlineLvl w:val="5"/>
    </w:pPr>
  </w:style>
  <w:style w:type="paragraph" w:customStyle="1" w:styleId="111">
    <w:name w:val="封面标准文稿编辑信息"/>
    <w:basedOn w:val="91"/>
    <w:autoRedefine/>
    <w:qFormat/>
    <w:uiPriority w:val="0"/>
    <w:pPr>
      <w:framePr w:wrap="around"/>
      <w:spacing w:before="180" w:line="180" w:lineRule="exact"/>
    </w:pPr>
    <w:rPr>
      <w:sz w:val="21"/>
    </w:rPr>
  </w:style>
  <w:style w:type="paragraph" w:customStyle="1" w:styleId="112">
    <w:name w:val="附录表标题"/>
    <w:next w:val="58"/>
    <w:autoRedefine/>
    <w:qFormat/>
    <w:uiPriority w:val="0"/>
    <w:pPr>
      <w:numPr>
        <w:ilvl w:val="0"/>
        <w:numId w:val="6"/>
      </w:num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113">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4">
    <w:name w:val="实施日期"/>
    <w:basedOn w:val="80"/>
    <w:autoRedefine/>
    <w:qFormat/>
    <w:uiPriority w:val="0"/>
    <w:pPr>
      <w:jc w:val="right"/>
    </w:pPr>
  </w:style>
  <w:style w:type="paragraph" w:customStyle="1" w:styleId="115">
    <w:name w:val="Char Char Char Char Char Char Char2"/>
    <w:basedOn w:val="1"/>
    <w:autoRedefine/>
    <w:qFormat/>
    <w:uiPriority w:val="0"/>
    <w:pPr>
      <w:widowControl/>
      <w:spacing w:after="160" w:line="240" w:lineRule="exact"/>
      <w:jc w:val="left"/>
    </w:pPr>
  </w:style>
  <w:style w:type="paragraph" w:customStyle="1" w:styleId="116">
    <w:name w:val="条文脚注"/>
    <w:basedOn w:val="32"/>
    <w:autoRedefine/>
    <w:qFormat/>
    <w:uiPriority w:val="0"/>
    <w:pPr>
      <w:ind w:left="780" w:leftChars="200" w:hanging="360" w:hangingChars="200"/>
      <w:jc w:val="both"/>
    </w:pPr>
    <w:rPr>
      <w:rFonts w:ascii="宋体"/>
    </w:rPr>
  </w:style>
  <w:style w:type="paragraph" w:customStyle="1" w:styleId="117">
    <w:name w:val="附录标识"/>
    <w:basedOn w:val="70"/>
    <w:autoRedefine/>
    <w:qFormat/>
    <w:uiPriority w:val="0"/>
    <w:pPr>
      <w:keepNext w:val="0"/>
      <w:pageBreakBefore w:val="0"/>
      <w:tabs>
        <w:tab w:val="left" w:pos="6405"/>
      </w:tabs>
      <w:spacing w:after="200"/>
    </w:pPr>
    <w:rPr>
      <w:sz w:val="21"/>
    </w:rPr>
  </w:style>
  <w:style w:type="paragraph" w:customStyle="1" w:styleId="118">
    <w:name w:val="示例"/>
    <w:next w:val="58"/>
    <w:autoRedefine/>
    <w:qFormat/>
    <w:uiPriority w:val="0"/>
    <w:pPr>
      <w:numPr>
        <w:ilvl w:val="0"/>
        <w:numId w:val="7"/>
      </w:numPr>
      <w:tabs>
        <w:tab w:val="left" w:pos="816"/>
        <w:tab w:val="clear" w:pos="1140"/>
      </w:tabs>
      <w:ind w:firstLine="419" w:firstLineChars="233"/>
      <w:jc w:val="both"/>
    </w:pPr>
    <w:rPr>
      <w:rFonts w:ascii="宋体" w:hAnsi="Times New Roman" w:eastAsia="宋体" w:cs="Times New Roman"/>
      <w:sz w:val="18"/>
      <w:lang w:val="en-US" w:eastAsia="zh-CN" w:bidi="ar-SA"/>
    </w:rPr>
  </w:style>
  <w:style w:type="paragraph" w:customStyle="1" w:styleId="119">
    <w:name w:val="条2"/>
    <w:basedOn w:val="1"/>
    <w:next w:val="58"/>
    <w:autoRedefine/>
    <w:qFormat/>
    <w:uiPriority w:val="0"/>
    <w:pPr>
      <w:numPr>
        <w:ilvl w:val="2"/>
        <w:numId w:val="1"/>
      </w:numPr>
      <w:outlineLvl w:val="1"/>
    </w:pPr>
    <w:rPr>
      <w:rFonts w:ascii="黑体" w:eastAsia="黑体"/>
      <w:kern w:val="21"/>
      <w:szCs w:val="20"/>
    </w:rPr>
  </w:style>
  <w:style w:type="paragraph" w:customStyle="1" w:styleId="120">
    <w:name w:val="标准书眉一"/>
    <w:autoRedefine/>
    <w:qFormat/>
    <w:uiPriority w:val="0"/>
    <w:pPr>
      <w:jc w:val="both"/>
    </w:pPr>
    <w:rPr>
      <w:rFonts w:ascii="Times New Roman" w:hAnsi="Times New Roman" w:eastAsia="宋体" w:cs="Times New Roman"/>
      <w:lang w:val="en-US" w:eastAsia="zh-CN" w:bidi="ar-SA"/>
    </w:rPr>
  </w:style>
  <w:style w:type="paragraph" w:customStyle="1" w:styleId="121">
    <w:name w:val="列出段落11"/>
    <w:basedOn w:val="1"/>
    <w:autoRedefine/>
    <w:qFormat/>
    <w:uiPriority w:val="34"/>
    <w:pPr>
      <w:ind w:firstLine="420" w:firstLineChars="200"/>
    </w:pPr>
    <w:rPr>
      <w:rFonts w:ascii="Times New Roman" w:eastAsia="宋体"/>
      <w:szCs w:val="20"/>
    </w:rPr>
  </w:style>
  <w:style w:type="paragraph" w:customStyle="1" w:styleId="122">
    <w:name w:val="_Style 118"/>
    <w:autoRedefine/>
    <w:unhideWhenUsed/>
    <w:qFormat/>
    <w:uiPriority w:val="99"/>
    <w:rPr>
      <w:rFonts w:ascii="仿宋_GB2312" w:hAnsi="Times New Roman" w:eastAsia="仿宋_GB2312" w:cs="Times New Roman"/>
      <w:kern w:val="2"/>
      <w:sz w:val="21"/>
      <w:szCs w:val="24"/>
      <w:lang w:val="en-US" w:eastAsia="zh-CN" w:bidi="ar-SA"/>
    </w:rPr>
  </w:style>
  <w:style w:type="paragraph" w:customStyle="1" w:styleId="123">
    <w:name w:val="章"/>
    <w:basedOn w:val="1"/>
    <w:next w:val="58"/>
    <w:autoRedefine/>
    <w:qFormat/>
    <w:uiPriority w:val="0"/>
    <w:pPr>
      <w:numPr>
        <w:ilvl w:val="0"/>
        <w:numId w:val="1"/>
      </w:numPr>
      <w:adjustRightInd w:val="0"/>
      <w:spacing w:before="160" w:after="160"/>
      <w:outlineLvl w:val="0"/>
    </w:pPr>
    <w:rPr>
      <w:rFonts w:ascii="黑体" w:eastAsia="黑体"/>
      <w:kern w:val="21"/>
      <w:szCs w:val="20"/>
    </w:rPr>
  </w:style>
  <w:style w:type="paragraph" w:customStyle="1" w:styleId="124">
    <w:name w:val="列项◆（三级）"/>
    <w:basedOn w:val="1"/>
    <w:autoRedefine/>
    <w:qFormat/>
    <w:uiPriority w:val="0"/>
    <w:pPr>
      <w:numPr>
        <w:ilvl w:val="2"/>
        <w:numId w:val="3"/>
      </w:numPr>
    </w:pPr>
    <w:rPr>
      <w:rFonts w:ascii="宋体" w:eastAsia="宋体"/>
      <w:szCs w:val="21"/>
    </w:rPr>
  </w:style>
  <w:style w:type="paragraph" w:customStyle="1" w:styleId="125">
    <w:name w:val="编号列项（三级）"/>
    <w:autoRedefine/>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26">
    <w:name w:val="三级条标题"/>
    <w:basedOn w:val="84"/>
    <w:next w:val="58"/>
    <w:autoRedefine/>
    <w:qFormat/>
    <w:uiPriority w:val="0"/>
    <w:pPr>
      <w:outlineLvl w:val="4"/>
    </w:pPr>
  </w:style>
  <w:style w:type="paragraph" w:customStyle="1" w:styleId="127">
    <w:name w:val="其他发布日期"/>
    <w:basedOn w:val="1"/>
    <w:autoRedefine/>
    <w:qFormat/>
    <w:uiPriority w:val="0"/>
    <w:pPr>
      <w:framePr w:w="3997" w:h="471" w:hRule="exact" w:vSpace="181" w:wrap="around" w:vAnchor="page" w:hAnchor="page" w:x="1419" w:y="14097" w:anchorLock="1"/>
      <w:widowControl/>
      <w:jc w:val="left"/>
    </w:pPr>
    <w:rPr>
      <w:rFonts w:ascii="Times New Roman" w:eastAsia="黑体"/>
      <w:kern w:val="0"/>
      <w:sz w:val="28"/>
      <w:szCs w:val="20"/>
    </w:rPr>
  </w:style>
  <w:style w:type="paragraph" w:customStyle="1" w:styleId="128">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9">
    <w:name w:val="封面正文"/>
    <w:autoRedefine/>
    <w:qFormat/>
    <w:uiPriority w:val="0"/>
    <w:pPr>
      <w:jc w:val="both"/>
    </w:pPr>
    <w:rPr>
      <w:rFonts w:ascii="Times New Roman" w:hAnsi="Times New Roman" w:eastAsia="宋体" w:cs="Times New Roman"/>
      <w:lang w:val="en-US" w:eastAsia="zh-CN" w:bidi="ar-SA"/>
    </w:rPr>
  </w:style>
  <w:style w:type="paragraph" w:customStyle="1" w:styleId="130">
    <w:name w:val="正文图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31">
    <w:name w:val="列出段落3"/>
    <w:basedOn w:val="1"/>
    <w:autoRedefine/>
    <w:qFormat/>
    <w:uiPriority w:val="34"/>
    <w:pPr>
      <w:ind w:firstLine="420"/>
    </w:pPr>
    <w:rPr>
      <w:rFonts w:ascii="Times New Roman" w:eastAsia="宋体"/>
    </w:rPr>
  </w:style>
  <w:style w:type="paragraph" w:customStyle="1" w:styleId="132">
    <w:name w:val="注："/>
    <w:next w:val="58"/>
    <w:autoRedefine/>
    <w:qFormat/>
    <w:uiPriority w:val="0"/>
    <w:pPr>
      <w:widowControl w:val="0"/>
      <w:numPr>
        <w:ilvl w:val="0"/>
        <w:numId w:val="9"/>
      </w:numPr>
      <w:autoSpaceDE w:val="0"/>
      <w:autoSpaceDN w:val="0"/>
      <w:jc w:val="both"/>
    </w:pPr>
    <w:rPr>
      <w:rFonts w:ascii="宋体" w:hAnsi="Times New Roman" w:eastAsia="宋体" w:cs="Times New Roman"/>
      <w:sz w:val="18"/>
      <w:lang w:val="en-US" w:eastAsia="zh-CN" w:bidi="ar-SA"/>
    </w:rPr>
  </w:style>
  <w:style w:type="paragraph" w:customStyle="1" w:styleId="133">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34">
    <w:name w:val="我的正文"/>
    <w:autoRedefine/>
    <w:qFormat/>
    <w:uiPriority w:val="0"/>
    <w:pPr>
      <w:adjustRightInd w:val="0"/>
      <w:snapToGrid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135">
    <w:name w:val="ZCF正文"/>
    <w:basedOn w:val="1"/>
    <w:autoRedefine/>
    <w:qFormat/>
    <w:uiPriority w:val="0"/>
    <w:pPr>
      <w:widowControl/>
      <w:spacing w:line="360" w:lineRule="auto"/>
      <w:ind w:firstLine="200" w:firstLineChars="200"/>
    </w:pPr>
    <w:rPr>
      <w:rFonts w:ascii="宋体" w:hAnsi="宋体" w:eastAsia="宋体" w:cs="Calibri"/>
      <w:kern w:val="0"/>
      <w:sz w:val="24"/>
    </w:rPr>
  </w:style>
  <w:style w:type="paragraph" w:customStyle="1" w:styleId="136">
    <w:name w:val="列出段落1"/>
    <w:basedOn w:val="1"/>
    <w:autoRedefine/>
    <w:qFormat/>
    <w:uiPriority w:val="0"/>
    <w:pPr>
      <w:ind w:firstLine="420" w:firstLineChars="200"/>
    </w:pPr>
    <w:rPr>
      <w:rFonts w:ascii="Times New Roman" w:eastAsia="宋体"/>
      <w:szCs w:val="20"/>
    </w:rPr>
  </w:style>
  <w:style w:type="paragraph" w:customStyle="1" w:styleId="137">
    <w:name w:val="cn-sentence"/>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8">
    <w:name w:val="USE 1"/>
    <w:basedOn w:val="1"/>
    <w:autoRedefine/>
    <w:qFormat/>
    <w:uiPriority w:val="0"/>
    <w:pPr>
      <w:spacing w:line="200" w:lineRule="atLeast"/>
      <w:jc w:val="left"/>
    </w:pPr>
    <w:rPr>
      <w:rFonts w:ascii="宋体" w:hAnsi="宋体" w:eastAsia="宋体"/>
      <w:b/>
      <w:sz w:val="24"/>
      <w:szCs w:val="28"/>
    </w:rPr>
  </w:style>
  <w:style w:type="paragraph" w:customStyle="1" w:styleId="139">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0">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1">
    <w:name w:val="图表"/>
    <w:basedOn w:val="1"/>
    <w:autoRedefine/>
    <w:qFormat/>
    <w:uiPriority w:val="0"/>
    <w:pPr>
      <w:jc w:val="center"/>
    </w:pPr>
    <w:rPr>
      <w:rFonts w:ascii="Calibri" w:hAnsi="Calibri" w:eastAsia="宋体"/>
      <w:szCs w:val="20"/>
    </w:rPr>
  </w:style>
  <w:style w:type="paragraph" w:customStyle="1" w:styleId="142">
    <w:name w:val="附录图标题"/>
    <w:next w:val="58"/>
    <w:autoRedefine/>
    <w:qFormat/>
    <w:uiPriority w:val="0"/>
    <w:pPr>
      <w:numPr>
        <w:ilvl w:val="0"/>
        <w:numId w:val="10"/>
      </w:numPr>
      <w:tabs>
        <w:tab w:val="left" w:pos="360"/>
      </w:tabs>
      <w:jc w:val="center"/>
    </w:pPr>
    <w:rPr>
      <w:rFonts w:ascii="黑体" w:hAnsi="Times New Roman" w:eastAsia="黑体" w:cs="Times New Roman"/>
      <w:sz w:val="21"/>
      <w:lang w:val="en-US" w:eastAsia="zh-CN" w:bidi="ar-SA"/>
    </w:rPr>
  </w:style>
  <w:style w:type="paragraph" w:customStyle="1" w:styleId="143">
    <w:name w:val="目次、标准名称标题"/>
    <w:basedOn w:val="1"/>
    <w:next w:val="58"/>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0-2"/>
    <w:basedOn w:val="145"/>
    <w:autoRedefine/>
    <w:qFormat/>
    <w:uiPriority w:val="0"/>
    <w:pPr>
      <w:numPr>
        <w:numId w:val="0"/>
      </w:numPr>
      <w:spacing w:before="100" w:after="100"/>
      <w:ind w:left="992" w:hanging="992"/>
      <w:outlineLvl w:val="1"/>
    </w:pPr>
    <w:rPr>
      <w:sz w:val="28"/>
    </w:rPr>
  </w:style>
  <w:style w:type="paragraph" w:customStyle="1" w:styleId="145">
    <w:name w:val="0-1"/>
    <w:basedOn w:val="1"/>
    <w:autoRedefine/>
    <w:qFormat/>
    <w:uiPriority w:val="0"/>
    <w:pPr>
      <w:numPr>
        <w:ilvl w:val="0"/>
        <w:numId w:val="11"/>
      </w:numPr>
      <w:spacing w:after="220" w:line="360" w:lineRule="auto"/>
      <w:jc w:val="left"/>
      <w:outlineLvl w:val="0"/>
    </w:pPr>
    <w:rPr>
      <w:rFonts w:ascii="Times New Roman" w:eastAsia="黑体"/>
      <w:sz w:val="32"/>
    </w:rPr>
  </w:style>
  <w:style w:type="paragraph" w:customStyle="1" w:styleId="146">
    <w:name w:val="0-4"/>
    <w:basedOn w:val="145"/>
    <w:autoRedefine/>
    <w:qFormat/>
    <w:uiPriority w:val="0"/>
    <w:pPr>
      <w:numPr>
        <w:ilvl w:val="3"/>
      </w:numPr>
      <w:spacing w:after="0"/>
      <w:outlineLvl w:val="3"/>
    </w:pPr>
    <w:rPr>
      <w:rFonts w:eastAsia="宋体"/>
      <w:b/>
      <w:sz w:val="24"/>
    </w:rPr>
  </w:style>
  <w:style w:type="paragraph" w:customStyle="1" w:styleId="147">
    <w:name w:val="000正文"/>
    <w:autoRedefine/>
    <w:qFormat/>
    <w:uiPriority w:val="0"/>
    <w:pPr>
      <w:widowControl w:val="0"/>
      <w:spacing w:line="360" w:lineRule="auto"/>
      <w:ind w:firstLine="420"/>
      <w:jc w:val="both"/>
    </w:pPr>
    <w:rPr>
      <w:rFonts w:ascii="宋体" w:hAnsi="宋体" w:eastAsia="宋体" w:cs="Times New Roman"/>
      <w:kern w:val="2"/>
      <w:sz w:val="24"/>
      <w:szCs w:val="24"/>
      <w:lang w:val="en-US" w:eastAsia="zh-CN" w:bidi="ar-SA"/>
    </w:rPr>
  </w:style>
  <w:style w:type="paragraph" w:customStyle="1" w:styleId="148">
    <w:name w:val="正文段落"/>
    <w:basedOn w:val="1"/>
    <w:autoRedefine/>
    <w:qFormat/>
    <w:uiPriority w:val="0"/>
    <w:pPr>
      <w:widowControl/>
      <w:spacing w:line="300" w:lineRule="auto"/>
      <w:ind w:firstLine="510"/>
      <w:jc w:val="left"/>
    </w:pPr>
    <w:rPr>
      <w:rFonts w:ascii="Times New Roman" w:hAnsi="Calibri" w:eastAsia="宋体"/>
      <w:szCs w:val="20"/>
    </w:rPr>
  </w:style>
  <w:style w:type="character" w:customStyle="1" w:styleId="149">
    <w:name w:val="标题 2 字符2"/>
    <w:link w:val="3"/>
    <w:autoRedefine/>
    <w:qFormat/>
    <w:uiPriority w:val="0"/>
    <w:rPr>
      <w:rFonts w:ascii="Arial" w:hAnsi="Arial" w:eastAsia="黑体"/>
      <w:b/>
      <w:bCs/>
      <w:kern w:val="2"/>
      <w:sz w:val="32"/>
      <w:szCs w:val="32"/>
    </w:rPr>
  </w:style>
  <w:style w:type="character" w:customStyle="1" w:styleId="150">
    <w:name w:val="标题 1 字符1"/>
    <w:link w:val="2"/>
    <w:autoRedefine/>
    <w:qFormat/>
    <w:uiPriority w:val="0"/>
    <w:rPr>
      <w:rFonts w:ascii="方正楷体简体" w:hAnsi="Times New Roman" w:eastAsia="方正楷体简体"/>
      <w:kern w:val="2"/>
      <w:sz w:val="28"/>
    </w:rPr>
  </w:style>
  <w:style w:type="character" w:customStyle="1" w:styleId="151">
    <w:name w:val="标题 3 字符2"/>
    <w:link w:val="5"/>
    <w:autoRedefine/>
    <w:qFormat/>
    <w:uiPriority w:val="0"/>
    <w:rPr>
      <w:rFonts w:ascii="Times New Roman" w:hAnsi="Times New Roman"/>
      <w:b/>
      <w:bCs/>
      <w:kern w:val="2"/>
      <w:sz w:val="32"/>
      <w:szCs w:val="32"/>
      <w:lang w:val="zh-CN"/>
    </w:rPr>
  </w:style>
  <w:style w:type="character" w:customStyle="1" w:styleId="152">
    <w:name w:val="标题 4 字符1"/>
    <w:link w:val="6"/>
    <w:autoRedefine/>
    <w:qFormat/>
    <w:uiPriority w:val="0"/>
    <w:rPr>
      <w:rFonts w:ascii="Arial" w:hAnsi="Arial" w:eastAsia="黑体"/>
      <w:b/>
      <w:bCs/>
      <w:kern w:val="2"/>
      <w:sz w:val="28"/>
      <w:szCs w:val="28"/>
    </w:rPr>
  </w:style>
  <w:style w:type="character" w:customStyle="1" w:styleId="153">
    <w:name w:val="标题 5 字符1"/>
    <w:link w:val="7"/>
    <w:autoRedefine/>
    <w:qFormat/>
    <w:uiPriority w:val="0"/>
    <w:rPr>
      <w:rFonts w:ascii="Times New Roman" w:hAnsi="Times New Roman"/>
      <w:b/>
      <w:bCs/>
      <w:kern w:val="2"/>
      <w:sz w:val="28"/>
      <w:szCs w:val="28"/>
    </w:rPr>
  </w:style>
  <w:style w:type="character" w:customStyle="1" w:styleId="154">
    <w:name w:val="标题 6 字符1"/>
    <w:link w:val="8"/>
    <w:autoRedefine/>
    <w:qFormat/>
    <w:uiPriority w:val="0"/>
    <w:rPr>
      <w:rFonts w:ascii="Arial" w:hAnsi="Arial" w:eastAsia="黑体"/>
      <w:b/>
      <w:bCs/>
      <w:kern w:val="2"/>
      <w:sz w:val="24"/>
      <w:szCs w:val="24"/>
    </w:rPr>
  </w:style>
  <w:style w:type="character" w:customStyle="1" w:styleId="155">
    <w:name w:val="标题 7 字符1"/>
    <w:link w:val="9"/>
    <w:autoRedefine/>
    <w:qFormat/>
    <w:uiPriority w:val="0"/>
    <w:rPr>
      <w:rFonts w:ascii="Times New Roman" w:hAnsi="Times New Roman"/>
      <w:b/>
      <w:bCs/>
      <w:kern w:val="2"/>
      <w:sz w:val="24"/>
      <w:szCs w:val="24"/>
    </w:rPr>
  </w:style>
  <w:style w:type="character" w:customStyle="1" w:styleId="156">
    <w:name w:val="标题 8 字符1"/>
    <w:link w:val="10"/>
    <w:autoRedefine/>
    <w:qFormat/>
    <w:uiPriority w:val="0"/>
    <w:rPr>
      <w:rFonts w:ascii="Arial" w:hAnsi="Arial" w:eastAsia="黑体"/>
      <w:kern w:val="2"/>
      <w:sz w:val="24"/>
      <w:szCs w:val="24"/>
    </w:rPr>
  </w:style>
  <w:style w:type="character" w:customStyle="1" w:styleId="157">
    <w:name w:val="标题 9 字符1"/>
    <w:link w:val="11"/>
    <w:autoRedefine/>
    <w:qFormat/>
    <w:uiPriority w:val="0"/>
    <w:rPr>
      <w:rFonts w:ascii="Arial" w:hAnsi="Arial" w:eastAsia="黑体"/>
      <w:kern w:val="2"/>
      <w:sz w:val="21"/>
      <w:szCs w:val="21"/>
    </w:rPr>
  </w:style>
  <w:style w:type="character" w:customStyle="1" w:styleId="158">
    <w:name w:val="正文缩进 字符"/>
    <w:link w:val="4"/>
    <w:autoRedefine/>
    <w:qFormat/>
    <w:uiPriority w:val="0"/>
    <w:rPr>
      <w:rFonts w:ascii="Times New Roman" w:hAnsi="Times New Roman"/>
      <w:kern w:val="2"/>
      <w:sz w:val="21"/>
    </w:rPr>
  </w:style>
  <w:style w:type="character" w:customStyle="1" w:styleId="159">
    <w:name w:val="文档结构图 字符1"/>
    <w:link w:val="17"/>
    <w:autoRedefine/>
    <w:qFormat/>
    <w:uiPriority w:val="0"/>
    <w:rPr>
      <w:rFonts w:ascii="宋体" w:hAnsi="Times New Roman"/>
      <w:kern w:val="2"/>
      <w:sz w:val="18"/>
      <w:szCs w:val="18"/>
    </w:rPr>
  </w:style>
  <w:style w:type="character" w:customStyle="1" w:styleId="160">
    <w:name w:val="批注文字 字符1"/>
    <w:link w:val="20"/>
    <w:autoRedefine/>
    <w:qFormat/>
    <w:uiPriority w:val="0"/>
    <w:rPr>
      <w:rFonts w:ascii="Times New Roman" w:hAnsi="Times New Roman"/>
      <w:kern w:val="2"/>
      <w:sz w:val="21"/>
    </w:rPr>
  </w:style>
  <w:style w:type="character" w:customStyle="1" w:styleId="161">
    <w:name w:val="正文文本 字符"/>
    <w:link w:val="21"/>
    <w:autoRedefine/>
    <w:qFormat/>
    <w:uiPriority w:val="0"/>
    <w:rPr>
      <w:rFonts w:ascii="Times New Roman" w:hAnsi="Times New Roman"/>
      <w:kern w:val="2"/>
      <w:sz w:val="21"/>
      <w:szCs w:val="24"/>
    </w:rPr>
  </w:style>
  <w:style w:type="character" w:customStyle="1" w:styleId="162">
    <w:name w:val="正文文本缩进 字符1"/>
    <w:link w:val="22"/>
    <w:autoRedefine/>
    <w:qFormat/>
    <w:uiPriority w:val="0"/>
    <w:rPr>
      <w:rFonts w:ascii="宋体" w:hAnsi="宋体"/>
      <w:kern w:val="2"/>
      <w:sz w:val="24"/>
      <w:szCs w:val="24"/>
    </w:rPr>
  </w:style>
  <w:style w:type="character" w:customStyle="1" w:styleId="163">
    <w:name w:val="HTML 地址 字符1"/>
    <w:link w:val="23"/>
    <w:autoRedefine/>
    <w:qFormat/>
    <w:uiPriority w:val="0"/>
    <w:rPr>
      <w:rFonts w:ascii="Times New Roman" w:hAnsi="Times New Roman"/>
      <w:i/>
      <w:iCs/>
      <w:kern w:val="2"/>
      <w:sz w:val="21"/>
      <w:szCs w:val="24"/>
    </w:rPr>
  </w:style>
  <w:style w:type="character" w:customStyle="1" w:styleId="164">
    <w:name w:val="日期 字符"/>
    <w:link w:val="26"/>
    <w:autoRedefine/>
    <w:qFormat/>
    <w:uiPriority w:val="0"/>
    <w:rPr>
      <w:rFonts w:ascii="宋体"/>
      <w:sz w:val="28"/>
    </w:rPr>
  </w:style>
  <w:style w:type="character" w:customStyle="1" w:styleId="165">
    <w:name w:val="批注框文本 字符1"/>
    <w:link w:val="27"/>
    <w:autoRedefine/>
    <w:qFormat/>
    <w:uiPriority w:val="99"/>
    <w:rPr>
      <w:rFonts w:ascii="仿宋_GB2312" w:hAnsi="Times New Roman" w:eastAsia="仿宋_GB2312"/>
      <w:kern w:val="2"/>
      <w:sz w:val="18"/>
      <w:szCs w:val="18"/>
    </w:rPr>
  </w:style>
  <w:style w:type="character" w:customStyle="1" w:styleId="166">
    <w:name w:val="页脚 字符"/>
    <w:link w:val="28"/>
    <w:autoRedefine/>
    <w:qFormat/>
    <w:uiPriority w:val="99"/>
    <w:rPr>
      <w:rFonts w:ascii="仿宋_GB2312" w:hAnsi="Times New Roman" w:eastAsia="仿宋_GB2312" w:cs="Times New Roman"/>
      <w:sz w:val="18"/>
      <w:szCs w:val="18"/>
    </w:rPr>
  </w:style>
  <w:style w:type="character" w:customStyle="1" w:styleId="167">
    <w:name w:val="页眉 字符"/>
    <w:link w:val="29"/>
    <w:autoRedefine/>
    <w:qFormat/>
    <w:uiPriority w:val="0"/>
    <w:rPr>
      <w:rFonts w:ascii="仿宋_GB2312" w:hAnsi="Times New Roman" w:eastAsia="仿宋_GB2312" w:cs="Times New Roman"/>
      <w:sz w:val="18"/>
      <w:szCs w:val="18"/>
    </w:rPr>
  </w:style>
  <w:style w:type="character" w:customStyle="1" w:styleId="168">
    <w:name w:val="副标题 字符"/>
    <w:link w:val="31"/>
    <w:autoRedefine/>
    <w:qFormat/>
    <w:uiPriority w:val="0"/>
    <w:rPr>
      <w:rFonts w:ascii="Times New Roman" w:hAnsi="Times New Roman"/>
      <w:szCs w:val="24"/>
      <w:u w:val="single"/>
      <w:lang w:eastAsia="en-US"/>
    </w:rPr>
  </w:style>
  <w:style w:type="character" w:customStyle="1" w:styleId="169">
    <w:name w:val="脚注文本 字符1"/>
    <w:link w:val="32"/>
    <w:autoRedefine/>
    <w:qFormat/>
    <w:uiPriority w:val="0"/>
    <w:rPr>
      <w:rFonts w:ascii="Times New Roman" w:hAnsi="Times New Roman"/>
      <w:kern w:val="2"/>
      <w:sz w:val="18"/>
      <w:szCs w:val="18"/>
    </w:rPr>
  </w:style>
  <w:style w:type="character" w:customStyle="1" w:styleId="170">
    <w:name w:val="HTML 预设格式 字符1"/>
    <w:link w:val="35"/>
    <w:autoRedefine/>
    <w:qFormat/>
    <w:uiPriority w:val="0"/>
    <w:rPr>
      <w:rFonts w:ascii="Courier New" w:hAnsi="Courier New" w:cs="Courier New"/>
      <w:kern w:val="2"/>
    </w:rPr>
  </w:style>
  <w:style w:type="character" w:customStyle="1" w:styleId="171">
    <w:name w:val="标题 字符1"/>
    <w:link w:val="37"/>
    <w:autoRedefine/>
    <w:qFormat/>
    <w:uiPriority w:val="0"/>
    <w:rPr>
      <w:rFonts w:ascii="Arial" w:hAnsi="Arial" w:eastAsia="隶书" w:cs="Arial"/>
      <w:b/>
      <w:bCs/>
      <w:kern w:val="2"/>
      <w:sz w:val="32"/>
      <w:szCs w:val="32"/>
    </w:rPr>
  </w:style>
  <w:style w:type="character" w:customStyle="1" w:styleId="172">
    <w:name w:val="批注主题 字符1"/>
    <w:link w:val="38"/>
    <w:autoRedefine/>
    <w:qFormat/>
    <w:uiPriority w:val="0"/>
    <w:rPr>
      <w:rFonts w:ascii="Times New Roman" w:hAnsi="Times New Roman"/>
      <w:b/>
      <w:bCs/>
      <w:kern w:val="2"/>
      <w:sz w:val="21"/>
    </w:rPr>
  </w:style>
  <w:style w:type="character" w:customStyle="1" w:styleId="173">
    <w:name w:val="文档结构图 字符"/>
    <w:autoRedefine/>
    <w:semiHidden/>
    <w:qFormat/>
    <w:uiPriority w:val="99"/>
    <w:rPr>
      <w:rFonts w:ascii="Microsoft YaHei UI" w:eastAsia="Microsoft YaHei UI"/>
      <w:sz w:val="18"/>
      <w:szCs w:val="18"/>
    </w:rPr>
  </w:style>
  <w:style w:type="character" w:customStyle="1" w:styleId="174">
    <w:name w:val="font31"/>
    <w:autoRedefine/>
    <w:qFormat/>
    <w:uiPriority w:val="0"/>
    <w:rPr>
      <w:rFonts w:hint="eastAsia" w:ascii="宋体" w:hAnsi="宋体" w:eastAsia="宋体" w:cs="宋体"/>
      <w:color w:val="000000"/>
      <w:sz w:val="21"/>
      <w:szCs w:val="21"/>
      <w:u w:val="none"/>
    </w:rPr>
  </w:style>
  <w:style w:type="character" w:customStyle="1" w:styleId="175">
    <w:name w:val="标题 字符"/>
    <w:autoRedefine/>
    <w:qFormat/>
    <w:uiPriority w:val="0"/>
    <w:rPr>
      <w:rFonts w:ascii="Calibri Light" w:hAnsi="Calibri Light" w:eastAsia="宋体" w:cs="Times New Roman"/>
      <w:b/>
      <w:bCs/>
      <w:sz w:val="32"/>
      <w:szCs w:val="32"/>
    </w:rPr>
  </w:style>
  <w:style w:type="character" w:customStyle="1" w:styleId="176">
    <w:name w:val="HTML 预设格式 Char"/>
    <w:autoRedefine/>
    <w:qFormat/>
    <w:uiPriority w:val="0"/>
    <w:rPr>
      <w:rFonts w:ascii="Courier New" w:hAnsi="Courier New" w:eastAsia="仿宋_GB2312" w:cs="Courier New"/>
      <w:kern w:val="2"/>
    </w:rPr>
  </w:style>
  <w:style w:type="character" w:customStyle="1" w:styleId="177">
    <w:name w:val="批注文字 Char3"/>
    <w:autoRedefine/>
    <w:qFormat/>
    <w:uiPriority w:val="0"/>
    <w:rPr>
      <w:rFonts w:ascii="Times New Roman" w:hAnsi="Times New Roman" w:eastAsia="宋体" w:cs="Times New Roman"/>
      <w:szCs w:val="24"/>
    </w:rPr>
  </w:style>
  <w:style w:type="character" w:customStyle="1" w:styleId="178">
    <w:name w:val="标题 5 Char"/>
    <w:autoRedefine/>
    <w:qFormat/>
    <w:uiPriority w:val="0"/>
    <w:rPr>
      <w:rFonts w:ascii="仿宋_GB2312" w:hAnsi="Times New Roman" w:eastAsia="仿宋_GB2312"/>
      <w:b/>
      <w:bCs/>
      <w:kern w:val="2"/>
      <w:sz w:val="28"/>
      <w:szCs w:val="28"/>
    </w:rPr>
  </w:style>
  <w:style w:type="character" w:customStyle="1" w:styleId="179">
    <w:name w:val="标题 4 Char1"/>
    <w:autoRedefine/>
    <w:qFormat/>
    <w:uiPriority w:val="0"/>
    <w:rPr>
      <w:rFonts w:ascii="Arial" w:hAnsi="Arial" w:eastAsia="黑体" w:cs="Times New Roman"/>
      <w:b/>
      <w:bCs/>
      <w:sz w:val="28"/>
      <w:szCs w:val="28"/>
    </w:rPr>
  </w:style>
  <w:style w:type="character" w:customStyle="1" w:styleId="180">
    <w:name w:val="正文文本缩进 Char"/>
    <w:autoRedefine/>
    <w:qFormat/>
    <w:uiPriority w:val="0"/>
    <w:rPr>
      <w:rFonts w:ascii="仿宋_GB2312" w:hAnsi="Times New Roman" w:eastAsia="仿宋_GB2312"/>
      <w:kern w:val="2"/>
      <w:sz w:val="21"/>
      <w:szCs w:val="24"/>
    </w:rPr>
  </w:style>
  <w:style w:type="character" w:customStyle="1" w:styleId="181">
    <w:name w:val="个人答复风格"/>
    <w:autoRedefine/>
    <w:qFormat/>
    <w:uiPriority w:val="0"/>
    <w:rPr>
      <w:rFonts w:ascii="Arial" w:hAnsi="Arial" w:eastAsia="宋体" w:cs="Arial"/>
      <w:color w:val="auto"/>
      <w:sz w:val="20"/>
    </w:rPr>
  </w:style>
  <w:style w:type="character" w:customStyle="1" w:styleId="182">
    <w:name w:val="批注主题 Char2"/>
    <w:autoRedefine/>
    <w:qFormat/>
    <w:uiPriority w:val="0"/>
  </w:style>
  <w:style w:type="character" w:customStyle="1" w:styleId="183">
    <w:name w:val="日期 Char1"/>
    <w:autoRedefine/>
    <w:semiHidden/>
    <w:qFormat/>
    <w:uiPriority w:val="0"/>
    <w:rPr>
      <w:rFonts w:ascii="仿宋_GB2312" w:hAnsi="Times New Roman" w:eastAsia="仿宋_GB2312"/>
      <w:kern w:val="2"/>
      <w:sz w:val="21"/>
      <w:szCs w:val="24"/>
    </w:rPr>
  </w:style>
  <w:style w:type="character" w:customStyle="1" w:styleId="184">
    <w:name w:val="脚注文本 字符"/>
    <w:autoRedefine/>
    <w:semiHidden/>
    <w:qFormat/>
    <w:uiPriority w:val="0"/>
    <w:rPr>
      <w:sz w:val="18"/>
      <w:szCs w:val="18"/>
    </w:rPr>
  </w:style>
  <w:style w:type="character" w:customStyle="1" w:styleId="185">
    <w:name w:val="font11"/>
    <w:autoRedefine/>
    <w:qFormat/>
    <w:uiPriority w:val="0"/>
    <w:rPr>
      <w:rFonts w:hint="default" w:ascii="Times New Roman" w:hAnsi="Times New Roman" w:cs="Times New Roman"/>
      <w:color w:val="000000"/>
      <w:sz w:val="21"/>
      <w:szCs w:val="21"/>
      <w:u w:val="none"/>
    </w:rPr>
  </w:style>
  <w:style w:type="character" w:customStyle="1" w:styleId="186">
    <w:name w:val="批注框文本 Char1"/>
    <w:autoRedefine/>
    <w:qFormat/>
    <w:uiPriority w:val="0"/>
    <w:rPr>
      <w:kern w:val="2"/>
      <w:sz w:val="18"/>
      <w:szCs w:val="18"/>
    </w:rPr>
  </w:style>
  <w:style w:type="character" w:customStyle="1" w:styleId="187">
    <w:name w:val="标题 1 字符"/>
    <w:autoRedefine/>
    <w:qFormat/>
    <w:uiPriority w:val="0"/>
    <w:rPr>
      <w:b/>
      <w:bCs/>
      <w:kern w:val="44"/>
      <w:sz w:val="44"/>
      <w:szCs w:val="44"/>
    </w:rPr>
  </w:style>
  <w:style w:type="character" w:customStyle="1" w:styleId="188">
    <w:name w:val="标题 8 字符"/>
    <w:autoRedefine/>
    <w:semiHidden/>
    <w:qFormat/>
    <w:uiPriority w:val="0"/>
    <w:rPr>
      <w:rFonts w:ascii="Calibri Light" w:hAnsi="Calibri Light" w:eastAsia="宋体" w:cs="Times New Roman"/>
      <w:sz w:val="24"/>
      <w:szCs w:val="24"/>
    </w:rPr>
  </w:style>
  <w:style w:type="character" w:customStyle="1" w:styleId="189">
    <w:name w:val="批注文字 Char1"/>
    <w:autoRedefine/>
    <w:semiHidden/>
    <w:qFormat/>
    <w:uiPriority w:val="0"/>
    <w:rPr>
      <w:kern w:val="2"/>
      <w:sz w:val="21"/>
      <w:szCs w:val="24"/>
    </w:rPr>
  </w:style>
  <w:style w:type="character" w:customStyle="1" w:styleId="190">
    <w:name w:val="标题1"/>
    <w:autoRedefine/>
    <w:qFormat/>
    <w:uiPriority w:val="0"/>
  </w:style>
  <w:style w:type="character" w:customStyle="1" w:styleId="191">
    <w:name w:val="标题 6 Char"/>
    <w:autoRedefine/>
    <w:qFormat/>
    <w:uiPriority w:val="0"/>
    <w:rPr>
      <w:rFonts w:ascii="Calibri Light" w:hAnsi="Calibri Light" w:eastAsia="宋体" w:cs="Times New Roman"/>
      <w:b/>
      <w:bCs/>
      <w:kern w:val="2"/>
      <w:sz w:val="24"/>
      <w:szCs w:val="24"/>
    </w:rPr>
  </w:style>
  <w:style w:type="character" w:customStyle="1" w:styleId="192">
    <w:name w:val="脚注文本 Char"/>
    <w:autoRedefine/>
    <w:qFormat/>
    <w:uiPriority w:val="0"/>
    <w:rPr>
      <w:rFonts w:ascii="仿宋_GB2312" w:hAnsi="Times New Roman" w:eastAsia="仿宋_GB2312"/>
      <w:kern w:val="2"/>
      <w:sz w:val="18"/>
      <w:szCs w:val="18"/>
    </w:rPr>
  </w:style>
  <w:style w:type="character" w:customStyle="1" w:styleId="193">
    <w:name w:val="HTML 预设格式 字符"/>
    <w:autoRedefine/>
    <w:semiHidden/>
    <w:qFormat/>
    <w:uiPriority w:val="0"/>
    <w:rPr>
      <w:rFonts w:ascii="Courier New" w:hAnsi="Courier New" w:cs="Courier New"/>
      <w:sz w:val="20"/>
      <w:szCs w:val="20"/>
    </w:rPr>
  </w:style>
  <w:style w:type="character" w:customStyle="1" w:styleId="194">
    <w:name w:val="font41"/>
    <w:autoRedefine/>
    <w:qFormat/>
    <w:uiPriority w:val="0"/>
    <w:rPr>
      <w:rFonts w:hint="eastAsia" w:ascii="宋体" w:hAnsi="宋体" w:eastAsia="宋体" w:cs="宋体"/>
      <w:color w:val="FF0000"/>
      <w:sz w:val="21"/>
      <w:szCs w:val="21"/>
      <w:u w:val="none"/>
    </w:rPr>
  </w:style>
  <w:style w:type="character" w:customStyle="1" w:styleId="195">
    <w:name w:val="批注主题 Char1"/>
    <w:autoRedefine/>
    <w:qFormat/>
    <w:uiPriority w:val="0"/>
    <w:rPr>
      <w:rFonts w:ascii="Times New Roman" w:hAnsi="Times New Roman" w:eastAsia="宋体" w:cs="Times New Roman"/>
      <w:b/>
      <w:bCs/>
      <w:szCs w:val="24"/>
    </w:rPr>
  </w:style>
  <w:style w:type="character" w:customStyle="1" w:styleId="196">
    <w:name w:val="标题 6 字符"/>
    <w:autoRedefine/>
    <w:semiHidden/>
    <w:qFormat/>
    <w:uiPriority w:val="0"/>
    <w:rPr>
      <w:rFonts w:ascii="Calibri Light" w:hAnsi="Calibri Light" w:eastAsia="宋体" w:cs="Times New Roman"/>
      <w:b/>
      <w:bCs/>
      <w:sz w:val="24"/>
      <w:szCs w:val="24"/>
    </w:rPr>
  </w:style>
  <w:style w:type="character" w:customStyle="1" w:styleId="197">
    <w:name w:val="列表段落 字符"/>
    <w:link w:val="56"/>
    <w:autoRedefine/>
    <w:qFormat/>
    <w:uiPriority w:val="34"/>
    <w:rPr>
      <w:kern w:val="2"/>
      <w:sz w:val="21"/>
    </w:rPr>
  </w:style>
  <w:style w:type="character" w:customStyle="1" w:styleId="198">
    <w:name w:val="批注框文本 字符"/>
    <w:autoRedefine/>
    <w:qFormat/>
    <w:uiPriority w:val="0"/>
    <w:rPr>
      <w:sz w:val="18"/>
      <w:szCs w:val="18"/>
    </w:rPr>
  </w:style>
  <w:style w:type="character" w:customStyle="1" w:styleId="199">
    <w:name w:val="标题 2 字符"/>
    <w:autoRedefine/>
    <w:semiHidden/>
    <w:qFormat/>
    <w:uiPriority w:val="0"/>
    <w:rPr>
      <w:rFonts w:ascii="Calibri Light" w:hAnsi="Calibri Light" w:eastAsia="宋体" w:cs="Times New Roman"/>
      <w:b/>
      <w:bCs/>
      <w:sz w:val="32"/>
      <w:szCs w:val="32"/>
    </w:rPr>
  </w:style>
  <w:style w:type="character" w:customStyle="1" w:styleId="200">
    <w:name w:val="批注主题 字符"/>
    <w:autoRedefine/>
    <w:qFormat/>
    <w:uiPriority w:val="0"/>
    <w:rPr>
      <w:b/>
      <w:bCs/>
    </w:rPr>
  </w:style>
  <w:style w:type="character" w:customStyle="1" w:styleId="201">
    <w:name w:val="标题 8 Char"/>
    <w:autoRedefine/>
    <w:qFormat/>
    <w:uiPriority w:val="0"/>
    <w:rPr>
      <w:rFonts w:ascii="Calibri Light" w:hAnsi="Calibri Light" w:eastAsia="宋体" w:cs="Times New Roman"/>
      <w:kern w:val="2"/>
      <w:sz w:val="24"/>
      <w:szCs w:val="24"/>
    </w:rPr>
  </w:style>
  <w:style w:type="character" w:customStyle="1" w:styleId="202">
    <w:name w:val="font01"/>
    <w:autoRedefine/>
    <w:qFormat/>
    <w:uiPriority w:val="0"/>
    <w:rPr>
      <w:rFonts w:hint="eastAsia" w:ascii="宋体" w:hAnsi="宋体" w:eastAsia="宋体" w:cs="宋体"/>
      <w:color w:val="000000"/>
      <w:sz w:val="22"/>
      <w:szCs w:val="22"/>
      <w:u w:val="none"/>
    </w:rPr>
  </w:style>
  <w:style w:type="character" w:customStyle="1" w:styleId="203">
    <w:name w:val="标题 9 字符"/>
    <w:autoRedefine/>
    <w:semiHidden/>
    <w:qFormat/>
    <w:uiPriority w:val="0"/>
    <w:rPr>
      <w:rFonts w:ascii="Calibri Light" w:hAnsi="Calibri Light" w:eastAsia="宋体" w:cs="Times New Roman"/>
      <w:szCs w:val="21"/>
    </w:rPr>
  </w:style>
  <w:style w:type="character" w:customStyle="1" w:styleId="204">
    <w:name w:val="font21"/>
    <w:autoRedefine/>
    <w:qFormat/>
    <w:uiPriority w:val="0"/>
    <w:rPr>
      <w:rFonts w:hint="eastAsia" w:ascii="宋体" w:hAnsi="宋体" w:eastAsia="宋体" w:cs="宋体"/>
      <w:color w:val="000000"/>
      <w:sz w:val="21"/>
      <w:szCs w:val="21"/>
      <w:u w:val="none"/>
    </w:rPr>
  </w:style>
  <w:style w:type="character" w:customStyle="1" w:styleId="205">
    <w:name w:val="正文文本缩进 Char1"/>
    <w:autoRedefine/>
    <w:qFormat/>
    <w:uiPriority w:val="0"/>
    <w:rPr>
      <w:rFonts w:ascii="Times New Roman" w:hAnsi="Times New Roman" w:eastAsia="宋体" w:cs="Times New Roman"/>
      <w:kern w:val="2"/>
      <w:sz w:val="21"/>
    </w:rPr>
  </w:style>
  <w:style w:type="character" w:customStyle="1" w:styleId="206">
    <w:name w:val="发布"/>
    <w:autoRedefine/>
    <w:qFormat/>
    <w:uiPriority w:val="0"/>
    <w:rPr>
      <w:rFonts w:ascii="黑体" w:eastAsia="黑体"/>
      <w:spacing w:val="85"/>
      <w:w w:val="100"/>
      <w:position w:val="3"/>
      <w:sz w:val="28"/>
      <w:szCs w:val="28"/>
    </w:rPr>
  </w:style>
  <w:style w:type="character" w:customStyle="1" w:styleId="207">
    <w:name w:val="批注框文本 Char2"/>
    <w:autoRedefine/>
    <w:qFormat/>
    <w:uiPriority w:val="99"/>
    <w:rPr>
      <w:sz w:val="18"/>
      <w:szCs w:val="18"/>
    </w:rPr>
  </w:style>
  <w:style w:type="character" w:customStyle="1" w:styleId="208">
    <w:name w:val="批注文字 字符"/>
    <w:autoRedefine/>
    <w:qFormat/>
    <w:uiPriority w:val="0"/>
  </w:style>
  <w:style w:type="character" w:customStyle="1" w:styleId="209">
    <w:name w:val="个人撰写风格"/>
    <w:autoRedefine/>
    <w:qFormat/>
    <w:uiPriority w:val="0"/>
    <w:rPr>
      <w:rFonts w:ascii="Arial" w:hAnsi="Arial" w:eastAsia="宋体" w:cs="Arial"/>
      <w:color w:val="auto"/>
      <w:sz w:val="20"/>
    </w:rPr>
  </w:style>
  <w:style w:type="character" w:customStyle="1" w:styleId="210">
    <w:name w:val="标题 3 字符"/>
    <w:autoRedefine/>
    <w:semiHidden/>
    <w:qFormat/>
    <w:uiPriority w:val="0"/>
    <w:rPr>
      <w:b/>
      <w:bCs/>
      <w:sz w:val="32"/>
      <w:szCs w:val="32"/>
    </w:rPr>
  </w:style>
  <w:style w:type="character" w:customStyle="1" w:styleId="211">
    <w:name w:val="文档结构图 Char"/>
    <w:autoRedefine/>
    <w:qFormat/>
    <w:uiPriority w:val="99"/>
    <w:rPr>
      <w:rFonts w:ascii="Microsoft YaHei UI" w:hAnsi="Times New Roman" w:eastAsia="Microsoft YaHei UI"/>
      <w:kern w:val="2"/>
      <w:sz w:val="18"/>
      <w:szCs w:val="18"/>
    </w:rPr>
  </w:style>
  <w:style w:type="character" w:customStyle="1" w:styleId="212">
    <w:name w:val="正文文本缩进 字符"/>
    <w:autoRedefine/>
    <w:semiHidden/>
    <w:qFormat/>
    <w:uiPriority w:val="0"/>
  </w:style>
  <w:style w:type="character" w:customStyle="1" w:styleId="213">
    <w:name w:val="标题2"/>
    <w:autoRedefine/>
    <w:qFormat/>
    <w:uiPriority w:val="0"/>
  </w:style>
  <w:style w:type="character" w:customStyle="1" w:styleId="214">
    <w:name w:val="标题 4 字符"/>
    <w:autoRedefine/>
    <w:semiHidden/>
    <w:qFormat/>
    <w:uiPriority w:val="0"/>
    <w:rPr>
      <w:rFonts w:ascii="Calibri Light" w:hAnsi="Calibri Light" w:eastAsia="宋体" w:cs="Times New Roman"/>
      <w:b/>
      <w:bCs/>
      <w:sz w:val="28"/>
      <w:szCs w:val="28"/>
    </w:rPr>
  </w:style>
  <w:style w:type="character" w:customStyle="1" w:styleId="215">
    <w:name w:val="Default Char"/>
    <w:link w:val="57"/>
    <w:autoRedefine/>
    <w:qFormat/>
    <w:locked/>
    <w:uiPriority w:val="0"/>
    <w:rPr>
      <w:rFonts w:ascii="宋体" w:hAnsi="Calibri" w:cs="宋体"/>
      <w:color w:val="000000"/>
      <w:sz w:val="24"/>
      <w:szCs w:val="24"/>
      <w:lang w:val="en-US" w:eastAsia="zh-CN" w:bidi="ar-SA"/>
    </w:rPr>
  </w:style>
  <w:style w:type="character" w:customStyle="1" w:styleId="216">
    <w:name w:val="标题 2 Char"/>
    <w:autoRedefine/>
    <w:qFormat/>
    <w:uiPriority w:val="0"/>
    <w:rPr>
      <w:rFonts w:ascii="Calibri Light" w:hAnsi="Calibri Light" w:eastAsia="宋体" w:cs="Times New Roman"/>
      <w:b/>
      <w:bCs/>
      <w:kern w:val="2"/>
      <w:sz w:val="32"/>
      <w:szCs w:val="32"/>
    </w:rPr>
  </w:style>
  <w:style w:type="character" w:customStyle="1" w:styleId="217">
    <w:name w:val="标题 1 Char"/>
    <w:autoRedefine/>
    <w:qFormat/>
    <w:uiPriority w:val="0"/>
    <w:rPr>
      <w:rFonts w:ascii="仿宋_GB2312" w:hAnsi="Times New Roman" w:eastAsia="仿宋_GB2312"/>
      <w:b/>
      <w:bCs/>
      <w:kern w:val="44"/>
      <w:sz w:val="44"/>
      <w:szCs w:val="44"/>
    </w:rPr>
  </w:style>
  <w:style w:type="character" w:customStyle="1" w:styleId="218">
    <w:name w:val="页脚 Char1"/>
    <w:autoRedefine/>
    <w:qFormat/>
    <w:uiPriority w:val="99"/>
    <w:rPr>
      <w:sz w:val="18"/>
      <w:szCs w:val="18"/>
    </w:rPr>
  </w:style>
  <w:style w:type="character" w:customStyle="1" w:styleId="219">
    <w:name w:val="标题 7 Char"/>
    <w:autoRedefine/>
    <w:qFormat/>
    <w:uiPriority w:val="0"/>
    <w:rPr>
      <w:rFonts w:ascii="仿宋_GB2312" w:hAnsi="Times New Roman" w:eastAsia="仿宋_GB2312"/>
      <w:b/>
      <w:bCs/>
      <w:kern w:val="2"/>
      <w:sz w:val="24"/>
      <w:szCs w:val="24"/>
    </w:rPr>
  </w:style>
  <w:style w:type="character" w:customStyle="1" w:styleId="220">
    <w:name w:val="标题 5 字符"/>
    <w:autoRedefine/>
    <w:semiHidden/>
    <w:qFormat/>
    <w:uiPriority w:val="0"/>
    <w:rPr>
      <w:b/>
      <w:bCs/>
      <w:sz w:val="28"/>
      <w:szCs w:val="28"/>
    </w:rPr>
  </w:style>
  <w:style w:type="character" w:customStyle="1" w:styleId="221">
    <w:name w:val="批注文字 Char2"/>
    <w:autoRedefine/>
    <w:qFormat/>
    <w:uiPriority w:val="0"/>
    <w:rPr>
      <w:kern w:val="2"/>
      <w:sz w:val="21"/>
      <w:szCs w:val="24"/>
    </w:rPr>
  </w:style>
  <w:style w:type="character" w:customStyle="1" w:styleId="222">
    <w:name w:val="HTML 地址 Char"/>
    <w:autoRedefine/>
    <w:qFormat/>
    <w:uiPriority w:val="0"/>
    <w:rPr>
      <w:rFonts w:ascii="仿宋_GB2312" w:hAnsi="Times New Roman" w:eastAsia="仿宋_GB2312"/>
      <w:i/>
      <w:iCs/>
      <w:kern w:val="2"/>
      <w:sz w:val="21"/>
      <w:szCs w:val="24"/>
    </w:rPr>
  </w:style>
  <w:style w:type="character" w:customStyle="1" w:styleId="223">
    <w:name w:val="标题 9 Char"/>
    <w:autoRedefine/>
    <w:qFormat/>
    <w:uiPriority w:val="0"/>
    <w:rPr>
      <w:rFonts w:ascii="Calibri Light" w:hAnsi="Calibri Light" w:eastAsia="宋体" w:cs="Times New Roman"/>
      <w:kern w:val="2"/>
      <w:sz w:val="21"/>
      <w:szCs w:val="21"/>
    </w:rPr>
  </w:style>
  <w:style w:type="character" w:customStyle="1" w:styleId="224">
    <w:name w:val="标题 3 Char1"/>
    <w:autoRedefine/>
    <w:qFormat/>
    <w:uiPriority w:val="0"/>
    <w:rPr>
      <w:rFonts w:ascii="Times New Roman" w:hAnsi="Times New Roman" w:eastAsia="宋体" w:cs="Times New Roman"/>
      <w:b/>
      <w:bCs/>
      <w:sz w:val="32"/>
      <w:szCs w:val="32"/>
    </w:rPr>
  </w:style>
  <w:style w:type="character" w:customStyle="1" w:styleId="225">
    <w:name w:val="HTML 地址 字符"/>
    <w:autoRedefine/>
    <w:semiHidden/>
    <w:qFormat/>
    <w:uiPriority w:val="0"/>
    <w:rPr>
      <w:i/>
      <w:iCs/>
    </w:rPr>
  </w:style>
  <w:style w:type="character" w:customStyle="1" w:styleId="226">
    <w:name w:val="标题 Char1"/>
    <w:autoRedefine/>
    <w:qFormat/>
    <w:uiPriority w:val="0"/>
    <w:rPr>
      <w:rFonts w:ascii="Arial" w:hAnsi="Arial" w:eastAsia="宋体" w:cs="Arial"/>
      <w:b/>
      <w:bCs/>
      <w:sz w:val="32"/>
      <w:szCs w:val="32"/>
    </w:rPr>
  </w:style>
  <w:style w:type="character" w:customStyle="1" w:styleId="227">
    <w:name w:val="标题 7 字符"/>
    <w:autoRedefine/>
    <w:semiHidden/>
    <w:qFormat/>
    <w:uiPriority w:val="0"/>
    <w:rPr>
      <w:b/>
      <w:bCs/>
      <w:sz w:val="24"/>
      <w:szCs w:val="24"/>
    </w:rPr>
  </w:style>
  <w:style w:type="character" w:customStyle="1" w:styleId="228">
    <w:name w:val="段 Char"/>
    <w:link w:val="58"/>
    <w:autoRedefine/>
    <w:qFormat/>
    <w:uiPriority w:val="0"/>
    <w:rPr>
      <w:rFonts w:ascii="宋体"/>
      <w:sz w:val="21"/>
      <w:lang w:val="en-US" w:eastAsia="zh-CN" w:bidi="ar-SA"/>
    </w:rPr>
  </w:style>
  <w:style w:type="character" w:customStyle="1" w:styleId="229">
    <w:name w:val="span_mc"/>
    <w:autoRedefine/>
    <w:qFormat/>
    <w:uiPriority w:val="0"/>
  </w:style>
  <w:style w:type="paragraph" w:customStyle="1" w:styleId="230">
    <w:name w:val="！正文"/>
    <w:basedOn w:val="1"/>
    <w:autoRedefine/>
    <w:qFormat/>
    <w:uiPriority w:val="0"/>
    <w:pPr>
      <w:spacing w:line="360" w:lineRule="auto"/>
      <w:ind w:firstLine="200" w:firstLineChars="200"/>
    </w:pPr>
    <w:rPr>
      <w:rFonts w:ascii="Calibri" w:hAnsi="Calibri" w:eastAsia="宋体"/>
      <w:sz w:val="24"/>
      <w:szCs w:val="21"/>
    </w:rPr>
  </w:style>
  <w:style w:type="paragraph" w:customStyle="1" w:styleId="231">
    <w:name w:val="修订1"/>
    <w:autoRedefine/>
    <w:hidden/>
    <w:semiHidden/>
    <w:qFormat/>
    <w:uiPriority w:val="99"/>
    <w:rPr>
      <w:rFonts w:ascii="仿宋_GB2312" w:hAnsi="Times New Roman" w:eastAsia="仿宋_GB2312" w:cs="Times New Roman"/>
      <w:kern w:val="2"/>
      <w:sz w:val="21"/>
      <w:szCs w:val="24"/>
      <w:lang w:val="en-US" w:eastAsia="zh-CN" w:bidi="ar-SA"/>
    </w:rPr>
  </w:style>
  <w:style w:type="paragraph" w:customStyle="1" w:styleId="232">
    <w:name w:val="修订2"/>
    <w:autoRedefine/>
    <w:hidden/>
    <w:semiHidden/>
    <w:qFormat/>
    <w:uiPriority w:val="99"/>
    <w:rPr>
      <w:rFonts w:ascii="仿宋_GB2312" w:hAnsi="Times New Roman" w:eastAsia="仿宋_GB2312" w:cs="Times New Roman"/>
      <w:kern w:val="2"/>
      <w:sz w:val="21"/>
      <w:szCs w:val="24"/>
      <w:lang w:val="en-US" w:eastAsia="zh-CN" w:bidi="ar-SA"/>
    </w:rPr>
  </w:style>
  <w:style w:type="paragraph" w:customStyle="1" w:styleId="233">
    <w:name w:val="修订3"/>
    <w:autoRedefine/>
    <w:hidden/>
    <w:semiHidden/>
    <w:qFormat/>
    <w:uiPriority w:val="99"/>
    <w:rPr>
      <w:rFonts w:ascii="仿宋_GB2312" w:hAnsi="Times New Roman" w:eastAsia="仿宋_GB2312" w:cs="Times New Roman"/>
      <w:kern w:val="2"/>
      <w:sz w:val="21"/>
      <w:szCs w:val="24"/>
      <w:lang w:val="en-US" w:eastAsia="zh-CN" w:bidi="ar-SA"/>
    </w:rPr>
  </w:style>
  <w:style w:type="table" w:customStyle="1" w:styleId="234">
    <w:name w:val="Table Normal"/>
    <w:autoRedefine/>
    <w:qFormat/>
    <w:uiPriority w:val="0"/>
    <w:rPr>
      <w:rFonts w:eastAsia="Arial Unicode MS"/>
    </w:rPr>
    <w:tblPr>
      <w:tblCellMar>
        <w:top w:w="0" w:type="dxa"/>
        <w:left w:w="0" w:type="dxa"/>
        <w:bottom w:w="0" w:type="dxa"/>
        <w:right w:w="0" w:type="dxa"/>
      </w:tblCellMar>
    </w:tblPr>
  </w:style>
  <w:style w:type="paragraph" w:customStyle="1" w:styleId="235">
    <w:name w:val="正文1"/>
    <w:autoRedefine/>
    <w:qFormat/>
    <w:uiPriority w:val="0"/>
    <w:pPr>
      <w:widowControl w:val="0"/>
      <w:jc w:val="both"/>
    </w:pPr>
    <w:rPr>
      <w:rFonts w:ascii="宋体" w:hAnsi="宋体" w:eastAsia="宋体" w:cs="宋体"/>
      <w:color w:val="000000"/>
      <w:kern w:val="2"/>
      <w:sz w:val="24"/>
      <w:szCs w:val="24"/>
      <w:u w:color="000000"/>
      <w:lang w:val="en-US" w:eastAsia="zh-CN" w:bidi="ar-SA"/>
    </w:rPr>
  </w:style>
  <w:style w:type="character" w:customStyle="1" w:styleId="236">
    <w:name w:val="标题 2 字符1"/>
    <w:autoRedefine/>
    <w:qFormat/>
    <w:uiPriority w:val="0"/>
    <w:rPr>
      <w:rFonts w:ascii="Arial" w:hAnsi="Arial" w:eastAsia="黑体"/>
      <w:b/>
      <w:bCs/>
      <w:kern w:val="2"/>
      <w:sz w:val="32"/>
      <w:szCs w:val="32"/>
    </w:rPr>
  </w:style>
  <w:style w:type="paragraph" w:customStyle="1" w:styleId="237">
    <w:name w:val="修订4"/>
    <w:autoRedefine/>
    <w:hidden/>
    <w:semiHidden/>
    <w:qFormat/>
    <w:uiPriority w:val="99"/>
    <w:rPr>
      <w:rFonts w:ascii="仿宋_GB2312" w:hAnsi="Times New Roman" w:eastAsia="仿宋_GB2312" w:cs="Times New Roman"/>
      <w:kern w:val="2"/>
      <w:sz w:val="21"/>
      <w:szCs w:val="24"/>
      <w:lang w:val="en-US" w:eastAsia="zh-CN" w:bidi="ar-SA"/>
    </w:rPr>
  </w:style>
  <w:style w:type="character" w:customStyle="1" w:styleId="238">
    <w:name w:val="标题 3 字符1"/>
    <w:autoRedefine/>
    <w:qFormat/>
    <w:uiPriority w:val="0"/>
    <w:rPr>
      <w:rFonts w:ascii="Times New Roman" w:hAnsi="Times New Roman"/>
      <w:b/>
      <w:bCs/>
      <w:kern w:val="2"/>
      <w:sz w:val="32"/>
      <w:szCs w:val="32"/>
      <w:lang w:val="zh-CN"/>
    </w:rPr>
  </w:style>
  <w:style w:type="paragraph" w:customStyle="1" w:styleId="239">
    <w:name w:val="修订5"/>
    <w:autoRedefine/>
    <w:hidden/>
    <w:semiHidden/>
    <w:qFormat/>
    <w:uiPriority w:val="99"/>
    <w:rPr>
      <w:rFonts w:ascii="仿宋_GB2312" w:hAnsi="Times New Roman" w:eastAsia="仿宋_GB2312" w:cs="Times New Roman"/>
      <w:kern w:val="2"/>
      <w:sz w:val="21"/>
      <w:szCs w:val="24"/>
      <w:lang w:val="en-US" w:eastAsia="zh-CN" w:bidi="ar-SA"/>
    </w:rPr>
  </w:style>
  <w:style w:type="character" w:customStyle="1" w:styleId="240">
    <w:name w:val="6级正文 Char"/>
    <w:link w:val="74"/>
    <w:autoRedefine/>
    <w:qFormat/>
    <w:uiPriority w:val="0"/>
    <w:rPr>
      <w:rFonts w:ascii="宋体" w:hAnsi="宋体"/>
      <w:spacing w:val="6"/>
      <w:kern w:val="2"/>
      <w:sz w:val="28"/>
      <w:szCs w:val="21"/>
      <w:lang w:val="zh-CN"/>
    </w:rPr>
  </w:style>
  <w:style w:type="character" w:customStyle="1" w:styleId="241">
    <w:name w:val="列出段落 Char1"/>
    <w:autoRedefine/>
    <w:qFormat/>
    <w:uiPriority w:val="34"/>
    <w:rPr>
      <w:kern w:val="2"/>
      <w:sz w:val="24"/>
      <w:szCs w:val="22"/>
    </w:rPr>
  </w:style>
  <w:style w:type="paragraph" w:customStyle="1" w:styleId="242">
    <w:name w:val="正文博"/>
    <w:basedOn w:val="1"/>
    <w:autoRedefine/>
    <w:qFormat/>
    <w:uiPriority w:val="0"/>
    <w:pPr>
      <w:tabs>
        <w:tab w:val="left" w:pos="0"/>
      </w:tabs>
      <w:adjustRightInd w:val="0"/>
      <w:ind w:firstLine="600" w:firstLineChars="200"/>
      <w:jc w:val="left"/>
    </w:pPr>
    <w:rPr>
      <w:rFonts w:ascii="Times New Roman"/>
      <w:kern w:val="0"/>
      <w:sz w:val="32"/>
      <w:szCs w:val="20"/>
    </w:rPr>
  </w:style>
  <w:style w:type="paragraph" w:customStyle="1" w:styleId="243">
    <w:name w:val="修订6"/>
    <w:autoRedefine/>
    <w:hidden/>
    <w:semiHidden/>
    <w:qFormat/>
    <w:uiPriority w:val="99"/>
    <w:rPr>
      <w:rFonts w:ascii="仿宋_GB2312" w:hAnsi="Times New Roman" w:eastAsia="仿宋_GB2312" w:cs="Times New Roman"/>
      <w:kern w:val="2"/>
      <w:sz w:val="21"/>
      <w:szCs w:val="24"/>
      <w:lang w:val="en-US" w:eastAsia="zh-CN" w:bidi="ar-SA"/>
    </w:rPr>
  </w:style>
  <w:style w:type="paragraph" w:customStyle="1" w:styleId="244">
    <w:name w:val="修订7"/>
    <w:autoRedefine/>
    <w:hidden/>
    <w:semiHidden/>
    <w:qFormat/>
    <w:uiPriority w:val="99"/>
    <w:rPr>
      <w:rFonts w:ascii="仿宋_GB2312" w:hAnsi="Times New Roman" w:eastAsia="仿宋_GB2312" w:cs="Times New Roman"/>
      <w:kern w:val="2"/>
      <w:sz w:val="21"/>
      <w:szCs w:val="24"/>
      <w:lang w:val="en-US" w:eastAsia="zh-CN" w:bidi="ar-SA"/>
    </w:rPr>
  </w:style>
  <w:style w:type="paragraph" w:customStyle="1" w:styleId="245">
    <w:name w:val="*正文"/>
    <w:basedOn w:val="1"/>
    <w:link w:val="246"/>
    <w:autoRedefine/>
    <w:qFormat/>
    <w:uiPriority w:val="0"/>
    <w:pPr>
      <w:spacing w:line="360" w:lineRule="auto"/>
      <w:ind w:firstLine="640" w:firstLineChars="200"/>
    </w:pPr>
    <w:rPr>
      <w:rFonts w:ascii="仿宋" w:hAnsi="仿宋" w:eastAsia="仿宋"/>
      <w:kern w:val="0"/>
      <w:szCs w:val="28"/>
    </w:rPr>
  </w:style>
  <w:style w:type="character" w:customStyle="1" w:styleId="246">
    <w:name w:val="*正文 Char"/>
    <w:link w:val="245"/>
    <w:autoRedefine/>
    <w:qFormat/>
    <w:uiPriority w:val="0"/>
    <w:rPr>
      <w:rFonts w:ascii="仿宋" w:hAnsi="仿宋" w:eastAsia="仿宋"/>
      <w:sz w:val="21"/>
      <w:szCs w:val="28"/>
    </w:rPr>
  </w:style>
  <w:style w:type="paragraph" w:customStyle="1" w:styleId="247">
    <w:name w:val="样式10086"/>
    <w:basedOn w:val="1"/>
    <w:autoRedefine/>
    <w:qFormat/>
    <w:uiPriority w:val="1"/>
    <w:pPr>
      <w:tabs>
        <w:tab w:val="left" w:pos="720"/>
      </w:tabs>
      <w:spacing w:before="61" w:line="408" w:lineRule="auto"/>
      <w:ind w:left="119" w:right="193" w:firstLine="840" w:firstLineChars="300"/>
    </w:pPr>
    <w:rPr>
      <w:rFonts w:ascii="仿宋" w:hAnsi="仿宋" w:eastAsia="仿宋" w:cs="Arial"/>
      <w:sz w:val="28"/>
      <w:szCs w:val="28"/>
    </w:rPr>
  </w:style>
  <w:style w:type="character" w:customStyle="1" w:styleId="248">
    <w:name w:val="纯文本 字符"/>
    <w:basedOn w:val="42"/>
    <w:link w:val="24"/>
    <w:autoRedefine/>
    <w:qFormat/>
    <w:uiPriority w:val="99"/>
    <w:rPr>
      <w:rFonts w:ascii="宋体" w:hAnsi="Courier New" w:cs="宋体"/>
      <w:sz w:val="21"/>
      <w:szCs w:val="21"/>
    </w:rPr>
  </w:style>
  <w:style w:type="paragraph" w:customStyle="1" w:styleId="249">
    <w:name w:val="修订8"/>
    <w:autoRedefine/>
    <w:hidden/>
    <w:semiHidden/>
    <w:qFormat/>
    <w:uiPriority w:val="99"/>
    <w:rPr>
      <w:rFonts w:ascii="仿宋_GB2312" w:hAnsi="Times New Roman" w:eastAsia="仿宋_GB2312" w:cs="Times New Roman"/>
      <w:kern w:val="2"/>
      <w:sz w:val="21"/>
      <w:szCs w:val="24"/>
      <w:lang w:val="en-US" w:eastAsia="zh-CN" w:bidi="ar-SA"/>
    </w:rPr>
  </w:style>
  <w:style w:type="paragraph" w:customStyle="1" w:styleId="250">
    <w:name w:val="修订9"/>
    <w:autoRedefine/>
    <w:hidden/>
    <w:semiHidden/>
    <w:qFormat/>
    <w:uiPriority w:val="99"/>
    <w:rPr>
      <w:rFonts w:ascii="仿宋_GB2312" w:hAnsi="Times New Roman" w:eastAsia="仿宋_GB2312" w:cs="Times New Roman"/>
      <w:kern w:val="2"/>
      <w:sz w:val="21"/>
      <w:szCs w:val="24"/>
      <w:lang w:val="en-US" w:eastAsia="zh-CN" w:bidi="ar-SA"/>
    </w:rPr>
  </w:style>
  <w:style w:type="character" w:customStyle="1" w:styleId="251">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65C7C-C8A8-48A1-855C-26B0DDFB3AF4}">
  <ds:schemaRefs/>
</ds:datastoreItem>
</file>

<file path=docProps/app.xml><?xml version="1.0" encoding="utf-8"?>
<Properties xmlns="http://schemas.openxmlformats.org/officeDocument/2006/extended-properties" xmlns:vt="http://schemas.openxmlformats.org/officeDocument/2006/docPropsVTypes">
  <Template>Normal</Template>
  <Pages>47</Pages>
  <Words>20181</Words>
  <Characters>21054</Characters>
  <Lines>184</Lines>
  <Paragraphs>51</Paragraphs>
  <TotalTime>24</TotalTime>
  <ScaleCrop>false</ScaleCrop>
  <LinksUpToDate>false</LinksUpToDate>
  <CharactersWithSpaces>23914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2022-10-17T02:17:00Z</dcterms:created>
  <cp:lastPrinted>2021-05-28T11:04:00Z</cp:lastPrinted>
  <dcterms:modified xsi:type="dcterms:W3CDTF">2024-04-23T01:31:50Z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320D3A9DC1B840C4803E61FBBCBE4599_13</vt:lpwstr>
  </property>
</Properties>
</file>