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布沙分公司关于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吉华街道松石路等9处市政排水设施应急清疏项目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的采购请示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采购</w:t>
      </w:r>
      <w:r>
        <w:rPr>
          <w:rFonts w:ascii="仿宋" w:hAnsi="仿宋" w:eastAsia="仿宋"/>
          <w:b/>
          <w:color w:val="000000"/>
          <w:sz w:val="28"/>
          <w:szCs w:val="28"/>
        </w:rPr>
        <w:t>需求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（一）采购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项目名称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吉华街道松石路等9处市政排水设施应急清疏项目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的采购请示</w:t>
      </w:r>
    </w:p>
    <w:p>
      <w:pPr>
        <w:tabs>
          <w:tab w:val="left" w:pos="666"/>
        </w:tabs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56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（二）采购原因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经核实：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深圳市龙岗区吉华街道松石路DN400雨水管、华龙路上长120m、宽1.8m、高1.5m-长360m、宽2.3m、高1.5m-长25m、宽2m、高1.3m箱涵、华龙路DN1500雨水管、布龙路上水国际文化创意园对面DN300雨水管、等淤积严重，为了排水畅通，需安排紧急清疏。石场山路拐弯处DN400污水管、万科麓城石场山路DN400污水管、万科麓城石场山路DN400污水管、万科麓城石场山路DN400污水管、万科麓城石场山路DN400污水管等淤积严重，存在冒溢风险，需安排紧急清疏</w:t>
      </w: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420" w:firstLine="140" w:firstLineChars="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项目内容</w:t>
      </w:r>
    </w:p>
    <w:p>
      <w:pPr>
        <w:tabs>
          <w:tab w:val="left" w:pos="698"/>
        </w:tabs>
        <w:bidi w:val="0"/>
        <w:ind w:firstLine="560" w:firstLineChars="20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拟计划：</w:t>
      </w:r>
    </w:p>
    <w:p>
      <w:pPr>
        <w:tabs>
          <w:tab w:val="left" w:pos="784"/>
        </w:tabs>
        <w:bidi w:val="0"/>
        <w:ind w:firstLine="560" w:firstLineChars="20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深圳市龙岗区吉华街道松石路DN400雨水管约270m、淤积深度约约0.1m、总淤泥量约5.89m³。</w:t>
      </w:r>
    </w:p>
    <w:p>
      <w:pPr>
        <w:bidi w:val="0"/>
        <w:ind w:firstLine="564" w:firstLineChars="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石场山路拐弯处DN400污水管约45m、淤积深度约0.2m、总淤泥量约2.82m³。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万科麓城石场山路DN400污水管约48m、淤积深度约0.1m、总淤泥量约1.17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m³。</w:t>
      </w:r>
    </w:p>
    <w:p>
      <w:pPr>
        <w:tabs>
          <w:tab w:val="left" w:pos="633"/>
        </w:tabs>
        <w:bidi w:val="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万科麓城石场山路DN400污水管约50m、淤积深度约0.15m、总淤泥量约2.15m³。</w:t>
      </w:r>
    </w:p>
    <w:p>
      <w:pPr>
        <w:tabs>
          <w:tab w:val="left" w:pos="716"/>
        </w:tabs>
        <w:bidi w:val="0"/>
        <w:ind w:firstLine="840" w:firstLineChars="30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万科麓城石场山路DN400污水管约50m、淤积深度约0.1m、总淤泥量约1.22m³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。</w:t>
      </w:r>
    </w:p>
    <w:p>
      <w:pPr>
        <w:tabs>
          <w:tab w:val="left" w:pos="867"/>
        </w:tabs>
        <w:bidi w:val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万科麓城石场山路DN1500雨水管约30m、淤积深度约0.2m、总淤泥量约4.2m³。</w:t>
      </w:r>
    </w:p>
    <w:p>
      <w:pPr>
        <w:tabs>
          <w:tab w:val="left" w:pos="1004"/>
        </w:tabs>
        <w:bidi w:val="0"/>
        <w:ind w:firstLine="840" w:firstLineChars="30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7.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华龙路上长120m、宽1.8m、高1.5m、长360m、宽2.3m、高1.5m、长25m、宽2m、高1.3m箱涵、长120m、宽1.8m、高1.5m、淤积深度约0.2m、总淤泥量约43.2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m³、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长360m、宽2.3m、高1.5m、淤积深度约0.1m、总淤泥量约82.8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m³、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长25m、宽2m、高1.3m、淤积深度约0.15m、总淤泥量约7.5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m³。</w:t>
      </w:r>
    </w:p>
    <w:p>
      <w:pPr>
        <w:tabs>
          <w:tab w:val="left" w:pos="921"/>
        </w:tabs>
        <w:bidi w:val="0"/>
        <w:ind w:firstLine="840" w:firstLineChars="3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8.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华龙路DN1500雨水管约110m、淤积深度约0.5m、总淤泥量约56.72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m³。</w:t>
      </w:r>
    </w:p>
    <w:p>
      <w:pPr>
        <w:tabs>
          <w:tab w:val="left" w:pos="880"/>
        </w:tabs>
        <w:bidi w:val="0"/>
        <w:ind w:firstLine="840" w:firstLineChars="3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9.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布龙路上水国际文化创意园对面DN300雨水管约7m、淤积深度约0.1m、总淤泥量约0.14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m³。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ind w:left="105" w:leftChars="5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二、 采购方式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 xml:space="preserve">采购方式：择优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由深圳市泰源佳建设工程有限公司负责清疏。</w:t>
      </w:r>
    </w:p>
    <w:p>
      <w:pPr>
        <w:bidi w:val="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理由：</w:t>
      </w:r>
      <w:r>
        <w:rPr>
          <w:rFonts w:hint="eastAsia" w:ascii="仿宋" w:hAnsi="仿宋" w:eastAsia="仿宋"/>
          <w:color w:val="000000"/>
          <w:sz w:val="28"/>
          <w:szCs w:val="28"/>
        </w:rPr>
        <w:t>该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应急清疏项目</w:t>
      </w:r>
      <w:r>
        <w:rPr>
          <w:rFonts w:hint="eastAsia" w:ascii="仿宋" w:hAnsi="仿宋" w:eastAsia="仿宋"/>
          <w:color w:val="000000"/>
          <w:sz w:val="28"/>
          <w:szCs w:val="28"/>
        </w:rPr>
        <w:t>紧急，现已完成该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应急清疏</w:t>
      </w:r>
      <w:r>
        <w:rPr>
          <w:rFonts w:hint="eastAsia" w:ascii="仿宋" w:hAnsi="仿宋" w:eastAsia="仿宋"/>
          <w:color w:val="000000"/>
          <w:sz w:val="28"/>
          <w:szCs w:val="28"/>
        </w:rPr>
        <w:t>任务。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2023年04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28"/>
          <w:szCs w:val="28"/>
        </w:rPr>
        <w:t>日进场，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2023年05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日完成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深圳市水务（集团）有限公司于2022年公开招标确定集团2022-2024年排水管渠（含泵站）清疏工程年度承包商，中标单位共有10家。为顺利开展深圳市水务（集团）有限公司布沙分公司辖区应急及日常清疏业务，提高排水设施运行安全，保障响应速度及服务品质，布沙分公司于2023年2月开展2023-2024年度布沙分公司辖区排水管渠（含泵站）清疏工程年度承包商采购工作（项目编号：BSGC-2023-002），采取票决定标法于集团2022-2024年排水管渠（含泵站）清疏工程年度承包商名录中选取4家（深圳市天海建设科技集团有限公司、深圳市泰源佳建设工程有限公司、深圳市建宏达建设实业有限公司、深圳市名鹏建筑工程有限公司）承包商承担辖区内清疏业务。各业务部门根据响应效率、仓库及基地的交通情况、施工质量等多方面因素择优选择承包商。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三、招标控制价</w:t>
      </w:r>
    </w:p>
    <w:p>
      <w:pPr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该项目估算价为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18.01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万。</w:t>
      </w:r>
    </w:p>
    <w:p>
      <w:pPr>
        <w:ind w:firstLine="560" w:firstLineChars="200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因30万元以下工程项</w:t>
      </w:r>
      <w:r>
        <w:rPr>
          <w:rFonts w:hint="eastAsia" w:ascii="仿宋" w:hAnsi="仿宋" w:eastAsia="仿宋"/>
          <w:color w:val="000000"/>
          <w:sz w:val="28"/>
          <w:szCs w:val="28"/>
        </w:rPr>
        <w:t>目（除基建维修、装饰装修、绿化项目）、应急</w:t>
      </w:r>
      <w:r>
        <w:rPr>
          <w:rFonts w:ascii="仿宋" w:hAnsi="仿宋" w:eastAsia="仿宋"/>
          <w:color w:val="000000"/>
          <w:sz w:val="28"/>
          <w:szCs w:val="28"/>
        </w:rPr>
        <w:t>、抢修</w:t>
      </w:r>
      <w:r>
        <w:rPr>
          <w:rFonts w:hint="eastAsia" w:ascii="仿宋" w:hAnsi="仿宋" w:eastAsia="仿宋"/>
          <w:color w:val="000000"/>
          <w:sz w:val="28"/>
          <w:szCs w:val="28"/>
        </w:rPr>
        <w:t>工程</w:t>
      </w:r>
      <w:r>
        <w:rPr>
          <w:rFonts w:ascii="仿宋" w:hAnsi="仿宋" w:eastAsia="仿宋"/>
          <w:color w:val="000000"/>
          <w:sz w:val="28"/>
          <w:szCs w:val="28"/>
        </w:rPr>
        <w:t>项目</w:t>
      </w:r>
      <w:r>
        <w:rPr>
          <w:rFonts w:hint="eastAsia" w:ascii="仿宋" w:hAnsi="仿宋" w:eastAsia="仿宋"/>
          <w:color w:val="000000"/>
          <w:sz w:val="28"/>
          <w:szCs w:val="28"/>
        </w:rPr>
        <w:t>可不审</w:t>
      </w:r>
      <w:r>
        <w:rPr>
          <w:rFonts w:ascii="仿宋" w:hAnsi="仿宋" w:eastAsia="仿宋"/>
          <w:color w:val="000000"/>
          <w:sz w:val="28"/>
          <w:szCs w:val="28"/>
        </w:rPr>
        <w:t>预算，</w:t>
      </w:r>
      <w:r>
        <w:rPr>
          <w:rFonts w:hint="eastAsia" w:ascii="仿宋" w:hAnsi="仿宋" w:eastAsia="仿宋"/>
          <w:color w:val="000000"/>
          <w:sz w:val="28"/>
          <w:szCs w:val="28"/>
        </w:rPr>
        <w:t>先行</w:t>
      </w:r>
      <w:r>
        <w:rPr>
          <w:rFonts w:ascii="仿宋" w:hAnsi="仿宋" w:eastAsia="仿宋"/>
          <w:color w:val="000000"/>
          <w:sz w:val="28"/>
          <w:szCs w:val="28"/>
        </w:rPr>
        <w:t>发包</w:t>
      </w:r>
      <w:r>
        <w:rPr>
          <w:rFonts w:hint="eastAsia" w:ascii="仿宋" w:hAnsi="仿宋" w:eastAsia="仿宋"/>
          <w:color w:val="000000"/>
          <w:sz w:val="28"/>
          <w:szCs w:val="28"/>
        </w:rPr>
        <w:t>实施</w:t>
      </w:r>
      <w:r>
        <w:rPr>
          <w:rFonts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待工程竣工后依照合同按实结算。不需</w:t>
      </w:r>
      <w:r>
        <w:rPr>
          <w:rFonts w:ascii="仿宋" w:hAnsi="仿宋" w:eastAsia="仿宋"/>
          <w:color w:val="000000"/>
          <w:sz w:val="28"/>
          <w:szCs w:val="28"/>
        </w:rPr>
        <w:t>第三方</w:t>
      </w:r>
      <w:r>
        <w:rPr>
          <w:rFonts w:hint="eastAsia" w:ascii="仿宋" w:hAnsi="仿宋" w:eastAsia="仿宋"/>
          <w:color w:val="000000"/>
          <w:sz w:val="28"/>
          <w:szCs w:val="28"/>
        </w:rPr>
        <w:t>造价</w:t>
      </w:r>
      <w:r>
        <w:rPr>
          <w:rFonts w:ascii="仿宋" w:hAnsi="仿宋" w:eastAsia="仿宋"/>
          <w:color w:val="000000"/>
          <w:sz w:val="28"/>
          <w:szCs w:val="28"/>
        </w:rPr>
        <w:t>咨询单位对估算</w:t>
      </w:r>
      <w:r>
        <w:rPr>
          <w:rFonts w:hint="eastAsia" w:ascii="仿宋" w:hAnsi="仿宋" w:eastAsia="仿宋"/>
          <w:color w:val="000000"/>
          <w:sz w:val="28"/>
          <w:szCs w:val="28"/>
        </w:rPr>
        <w:t>价</w:t>
      </w:r>
      <w:r>
        <w:rPr>
          <w:rFonts w:ascii="仿宋" w:hAnsi="仿宋" w:eastAsia="仿宋"/>
          <w:color w:val="000000"/>
          <w:sz w:val="28"/>
          <w:szCs w:val="28"/>
        </w:rPr>
        <w:t>或预算</w:t>
      </w:r>
      <w:r>
        <w:rPr>
          <w:rFonts w:hint="eastAsia" w:ascii="仿宋" w:hAnsi="仿宋" w:eastAsia="仿宋"/>
          <w:color w:val="000000"/>
          <w:sz w:val="28"/>
          <w:szCs w:val="28"/>
        </w:rPr>
        <w:t>价</w:t>
      </w:r>
      <w:r>
        <w:rPr>
          <w:rFonts w:ascii="仿宋" w:hAnsi="仿宋" w:eastAsia="仿宋"/>
          <w:color w:val="000000"/>
          <w:sz w:val="28"/>
          <w:szCs w:val="28"/>
        </w:rPr>
        <w:t>进行审核，直接按估算价或预算价</w:t>
      </w:r>
      <w:r>
        <w:rPr>
          <w:rFonts w:hint="eastAsia" w:ascii="仿宋" w:hAnsi="仿宋" w:eastAsia="仿宋"/>
          <w:color w:val="000000"/>
          <w:sz w:val="28"/>
          <w:szCs w:val="28"/>
        </w:rPr>
        <w:t>作为招标</w:t>
      </w:r>
      <w:r>
        <w:rPr>
          <w:rFonts w:ascii="仿宋" w:hAnsi="仿宋" w:eastAsia="仿宋"/>
          <w:color w:val="000000"/>
          <w:sz w:val="28"/>
          <w:szCs w:val="28"/>
        </w:rPr>
        <w:t>控制价和签订合同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color w:val="000000"/>
          <w:sz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合同特殊条款</w:t>
      </w:r>
    </w:p>
    <w:p>
      <w:pPr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因甲方内部分工安排，由甲方下属分支机构（户名：深圳市水务（集团）有限公司布沙分公司，账号：44250100003300001265，开户行：建设银行深南中路支行。）支付合同价款的，乙方不得拒绝，同时乙方应认可甲方已按合同约定履行付款义务。</w:t>
      </w:r>
    </w:p>
    <w:p>
      <w:pPr>
        <w:ind w:firstLine="5320" w:firstLineChars="19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布沙分公司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吉华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水务所</w:t>
      </w:r>
    </w:p>
    <w:p>
      <w:pPr>
        <w:bidi w:val="0"/>
        <w:ind w:firstLine="6160" w:firstLineChars="220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</w:p>
    <w:p>
      <w:pPr>
        <w:bidi w:val="0"/>
        <w:ind w:firstLine="305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0D2D0C"/>
    <w:multiLevelType w:val="singleLevel"/>
    <w:tmpl w:val="2A0D2D0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5D22055"/>
    <w:multiLevelType w:val="multilevel"/>
    <w:tmpl w:val="55D22055"/>
    <w:lvl w:ilvl="0" w:tentative="0">
      <w:start w:val="1"/>
      <w:numFmt w:val="chineseCountingThousand"/>
      <w:lvlText w:val="%1、"/>
      <w:lvlJc w:val="left"/>
      <w:pPr>
        <w:ind w:left="630" w:hanging="42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ZTE1MTcxYjA1ZmIyMzhmYjY0NzY3YjVlY2NhZGYifQ=="/>
  </w:docVars>
  <w:rsids>
    <w:rsidRoot w:val="300C5E43"/>
    <w:rsid w:val="0F621C35"/>
    <w:rsid w:val="1B720F62"/>
    <w:rsid w:val="300C5E43"/>
    <w:rsid w:val="38C757D0"/>
    <w:rsid w:val="46CA375C"/>
    <w:rsid w:val="47B4517D"/>
    <w:rsid w:val="47C51B78"/>
    <w:rsid w:val="68091DC3"/>
    <w:rsid w:val="6D031033"/>
    <w:rsid w:val="6E625D89"/>
    <w:rsid w:val="79D90871"/>
    <w:rsid w:val="7FD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1268</Words>
  <Characters>1604</Characters>
  <Lines>0</Lines>
  <Paragraphs>0</Paragraphs>
  <TotalTime>87</TotalTime>
  <ScaleCrop>false</ScaleCrop>
  <LinksUpToDate>false</LinksUpToDate>
  <CharactersWithSpaces>1610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2023-04-28T04:30:00Z</dcterms:created>
  <dc:creator>淼</dc:creator>
  <cp:lastModifiedBy>淼</cp:lastModifiedBy>
  <dcterms:modified xsi:type="dcterms:W3CDTF">2023-05-26T07:09:30Z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64E7F59EF6E047A9AB3A7F3B22D31657</vt:lpwstr>
  </property>
</Properties>
</file>