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采购文件（环境水体高光谱水质在线检测</w:t>
      </w:r>
    </w:p>
    <w:p>
      <w:pPr>
        <w:jc w:val="center"/>
        <w:rPr>
          <w:rFonts w:hint="eastAsia" w:ascii="仿宋_GB2312" w:hAnsi="仿宋_GB2312" w:eastAsia="仿宋_GB2312" w:cs="仿宋_GB2312"/>
          <w:b/>
          <w:bCs/>
          <w:sz w:val="32"/>
          <w:szCs w:val="32"/>
          <w:lang w:val="en-US" w:eastAsia="zh-CN"/>
        </w:rPr>
      </w:pPr>
      <w:r>
        <w:rPr>
          <w:rFonts w:hint="eastAsia" w:ascii="方正小标宋简体" w:hAnsi="方正小标宋简体" w:eastAsia="方正小标宋简体" w:cs="方正小标宋简体"/>
          <w:sz w:val="44"/>
          <w:szCs w:val="52"/>
          <w:lang w:val="en-US" w:eastAsia="zh-CN"/>
        </w:rPr>
        <w:t>设备研发）</w:t>
      </w:r>
    </w:p>
    <w:p>
      <w:pPr>
        <w:pStyle w:val="7"/>
        <w:numPr>
          <w:ilvl w:val="0"/>
          <w:numId w:val="1"/>
        </w:numPr>
        <w:spacing w:line="560" w:lineRule="exact"/>
        <w:ind w:left="1350" w:leftChars="0" w:firstLineChars="0"/>
        <w:outlineLvl w:val="1"/>
        <w:rPr>
          <w:rFonts w:ascii="黑体" w:hAnsi="黑体" w:eastAsia="黑体" w:cs="黑体"/>
          <w:sz w:val="32"/>
          <w:szCs w:val="32"/>
        </w:rPr>
      </w:pPr>
      <w:r>
        <w:rPr>
          <w:rFonts w:hint="eastAsia" w:ascii="黑体" w:hAnsi="黑体" w:eastAsia="黑体" w:cs="黑体"/>
          <w:sz w:val="32"/>
          <w:szCs w:val="32"/>
        </w:rPr>
        <w:t>项目简介</w:t>
      </w:r>
    </w:p>
    <w:p>
      <w:pPr>
        <w:ind w:firstLine="640" w:firstLineChars="200"/>
        <w:rPr>
          <w:rFonts w:hint="default" w:ascii="黑体" w:hAnsi="黑体" w:eastAsia="黑体" w:cs="黑体"/>
          <w:sz w:val="32"/>
          <w:szCs w:val="32"/>
          <w:lang w:val="en-US"/>
        </w:rPr>
      </w:pPr>
      <w:r>
        <w:rPr>
          <w:rFonts w:hint="eastAsia" w:ascii="仿宋_GB2312" w:hAnsi="黑体" w:eastAsia="仿宋_GB2312" w:cs="黑体"/>
          <w:sz w:val="32"/>
          <w:szCs w:val="32"/>
        </w:rPr>
        <w:t>针对</w:t>
      </w:r>
      <w:r>
        <w:rPr>
          <w:rFonts w:hint="eastAsia" w:ascii="仿宋_GB2312" w:hAnsi="黑体" w:eastAsia="仿宋_GB2312" w:cs="黑体"/>
          <w:sz w:val="32"/>
          <w:szCs w:val="32"/>
          <w:lang w:val="en-US" w:eastAsia="zh-CN"/>
        </w:rPr>
        <w:t>水务生产业务水质监测场景下</w:t>
      </w:r>
      <w:r>
        <w:rPr>
          <w:rFonts w:hint="eastAsia" w:ascii="仿宋_GB2312" w:hAnsi="黑体" w:eastAsia="仿宋_GB2312" w:cs="黑体"/>
          <w:sz w:val="32"/>
          <w:szCs w:val="32"/>
        </w:rPr>
        <w:t>，</w:t>
      </w:r>
      <w:r>
        <w:rPr>
          <w:rFonts w:hint="eastAsia" w:ascii="仿宋_GB2312" w:hAnsi="黑体" w:eastAsia="仿宋_GB2312" w:cs="黑体"/>
          <w:sz w:val="32"/>
          <w:szCs w:val="32"/>
          <w:lang w:val="en-US" w:eastAsia="zh-CN"/>
        </w:rPr>
        <w:t>传统水质在线仪表国产化率低，检测</w:t>
      </w:r>
      <w:r>
        <w:rPr>
          <w:rFonts w:hint="eastAsia" w:ascii="仿宋_GB2312" w:hAnsi="黑体" w:eastAsia="仿宋_GB2312" w:cs="黑体"/>
          <w:sz w:val="32"/>
          <w:szCs w:val="32"/>
        </w:rPr>
        <w:t>实时性与连续性不足</w:t>
      </w:r>
      <w:r>
        <w:rPr>
          <w:rFonts w:hint="eastAsia" w:ascii="仿宋_GB2312" w:hAnsi="黑体" w:eastAsia="仿宋_GB2312" w:cs="黑体"/>
          <w:sz w:val="32"/>
          <w:szCs w:val="32"/>
          <w:lang w:val="en-US" w:eastAsia="zh-CN"/>
        </w:rPr>
        <w:t>、</w:t>
      </w:r>
      <w:r>
        <w:rPr>
          <w:rFonts w:hint="eastAsia" w:ascii="仿宋_GB2312" w:hAnsi="黑体" w:eastAsia="仿宋_GB2312" w:cs="黑体"/>
          <w:sz w:val="32"/>
          <w:szCs w:val="32"/>
        </w:rPr>
        <w:t>多参数同步监测能力弱</w:t>
      </w:r>
      <w:r>
        <w:rPr>
          <w:rFonts w:hint="eastAsia" w:ascii="仿宋_GB2312" w:hAnsi="黑体" w:eastAsia="仿宋_GB2312" w:cs="黑体"/>
          <w:sz w:val="32"/>
          <w:szCs w:val="32"/>
          <w:lang w:val="en-US" w:eastAsia="zh-CN"/>
        </w:rPr>
        <w:t>及</w:t>
      </w:r>
      <w:r>
        <w:rPr>
          <w:rFonts w:hint="eastAsia" w:ascii="仿宋_GB2312" w:hAnsi="黑体" w:eastAsia="仿宋_GB2312" w:cs="黑体"/>
          <w:sz w:val="32"/>
          <w:szCs w:val="32"/>
        </w:rPr>
        <w:t>运维成本高等短板</w:t>
      </w:r>
      <w:r>
        <w:rPr>
          <w:rFonts w:hint="eastAsia" w:ascii="仿宋_GB2312" w:hAnsi="黑体" w:eastAsia="仿宋_GB2312" w:cs="黑体"/>
          <w:sz w:val="32"/>
          <w:szCs w:val="32"/>
          <w:lang w:val="en-US" w:eastAsia="zh-CN"/>
        </w:rPr>
        <w:t>问题</w:t>
      </w:r>
      <w:r>
        <w:rPr>
          <w:rFonts w:hint="eastAsia" w:ascii="仿宋_GB2312" w:hAnsi="黑体" w:eastAsia="仿宋_GB2312" w:cs="黑体"/>
          <w:sz w:val="32"/>
          <w:szCs w:val="32"/>
        </w:rPr>
        <w:t>，拓展</w:t>
      </w:r>
      <w:r>
        <w:rPr>
          <w:rFonts w:hint="eastAsia" w:ascii="仿宋_GB2312" w:hAnsi="黑体" w:eastAsia="仿宋_GB2312" w:cs="黑体"/>
          <w:sz w:val="32"/>
          <w:szCs w:val="32"/>
          <w:lang w:val="en-US" w:eastAsia="zh-CN"/>
        </w:rPr>
        <w:t>高</w:t>
      </w:r>
      <w:r>
        <w:rPr>
          <w:rFonts w:hint="eastAsia" w:ascii="仿宋_GB2312" w:hAnsi="黑体" w:eastAsia="仿宋_GB2312" w:cs="黑体"/>
          <w:sz w:val="32"/>
          <w:szCs w:val="32"/>
        </w:rPr>
        <w:t>光谱新型水质在线监测技术，</w:t>
      </w:r>
      <w:r>
        <w:rPr>
          <w:rFonts w:hint="eastAsia" w:ascii="仿宋_GB2312" w:hAnsi="黑体" w:eastAsia="仿宋_GB2312" w:cs="黑体"/>
          <w:sz w:val="32"/>
          <w:szCs w:val="32"/>
          <w:lang w:val="en-US" w:eastAsia="zh-CN"/>
        </w:rPr>
        <w:t>通过算法研究、模型优化和硬件性能提升等方式解决</w:t>
      </w:r>
      <w:r>
        <w:rPr>
          <w:rFonts w:hint="eastAsia" w:ascii="仿宋_GB2312" w:hAnsi="黑体" w:eastAsia="仿宋_GB2312" w:cs="黑体"/>
          <w:sz w:val="32"/>
          <w:szCs w:val="32"/>
        </w:rPr>
        <w:t>高光谱</w:t>
      </w:r>
      <w:r>
        <w:rPr>
          <w:rFonts w:hint="eastAsia" w:ascii="仿宋_GB2312" w:hAnsi="黑体" w:eastAsia="仿宋_GB2312" w:cs="黑体"/>
          <w:sz w:val="32"/>
          <w:szCs w:val="32"/>
          <w:lang w:val="en-US" w:eastAsia="zh-CN"/>
        </w:rPr>
        <w:t>现有</w:t>
      </w:r>
      <w:r>
        <w:rPr>
          <w:rFonts w:hint="eastAsia" w:ascii="仿宋_GB2312" w:hAnsi="黑体" w:eastAsia="仿宋_GB2312" w:cs="黑体"/>
          <w:sz w:val="32"/>
          <w:szCs w:val="32"/>
        </w:rPr>
        <w:t>水质</w:t>
      </w:r>
      <w:r>
        <w:rPr>
          <w:rFonts w:hint="eastAsia" w:ascii="仿宋_GB2312" w:hAnsi="黑体" w:eastAsia="仿宋_GB2312" w:cs="黑体"/>
          <w:sz w:val="32"/>
          <w:szCs w:val="32"/>
          <w:lang w:val="en-US" w:eastAsia="zh-CN"/>
        </w:rPr>
        <w:t>检测技术在</w:t>
      </w:r>
      <w:r>
        <w:rPr>
          <w:rFonts w:hint="eastAsia" w:ascii="仿宋_GB2312" w:hAnsi="黑体" w:eastAsia="仿宋_GB2312" w:cs="黑体"/>
          <w:sz w:val="32"/>
          <w:szCs w:val="32"/>
        </w:rPr>
        <w:t>复杂</w:t>
      </w:r>
      <w:r>
        <w:rPr>
          <w:rFonts w:hint="eastAsia" w:ascii="仿宋_GB2312" w:hAnsi="黑体" w:eastAsia="仿宋_GB2312" w:cs="黑体"/>
          <w:sz w:val="32"/>
          <w:szCs w:val="32"/>
          <w:lang w:val="en-US" w:eastAsia="zh-CN"/>
        </w:rPr>
        <w:t>水质</w:t>
      </w:r>
      <w:r>
        <w:rPr>
          <w:rFonts w:hint="eastAsia" w:ascii="仿宋_GB2312" w:hAnsi="黑体" w:eastAsia="仿宋_GB2312" w:cs="黑体"/>
          <w:sz w:val="32"/>
          <w:szCs w:val="32"/>
        </w:rPr>
        <w:t>环境</w:t>
      </w:r>
      <w:r>
        <w:rPr>
          <w:rFonts w:hint="eastAsia" w:ascii="仿宋_GB2312" w:hAnsi="黑体" w:eastAsia="仿宋_GB2312" w:cs="黑体"/>
          <w:sz w:val="32"/>
          <w:szCs w:val="32"/>
          <w:lang w:val="en-US" w:eastAsia="zh-CN"/>
        </w:rPr>
        <w:t>下</w:t>
      </w:r>
      <w:r>
        <w:rPr>
          <w:rFonts w:hint="eastAsia" w:ascii="仿宋_GB2312" w:hAnsi="黑体" w:eastAsia="仿宋_GB2312" w:cs="黑体"/>
          <w:sz w:val="32"/>
          <w:szCs w:val="32"/>
        </w:rPr>
        <w:t>适应性</w:t>
      </w:r>
      <w:r>
        <w:rPr>
          <w:rFonts w:hint="eastAsia" w:ascii="仿宋_GB2312" w:hAnsi="黑体" w:eastAsia="仿宋_GB2312" w:cs="黑体"/>
          <w:sz w:val="32"/>
          <w:szCs w:val="32"/>
          <w:lang w:val="en-US" w:eastAsia="zh-CN"/>
        </w:rPr>
        <w:t>差、检测精度不足的</w:t>
      </w:r>
      <w:r>
        <w:rPr>
          <w:rFonts w:hint="eastAsia" w:ascii="仿宋_GB2312" w:hAnsi="黑体" w:eastAsia="仿宋_GB2312" w:cs="黑体"/>
          <w:sz w:val="32"/>
          <w:szCs w:val="32"/>
        </w:rPr>
        <w:t>难题</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lang w:val="en-US" w:eastAsia="zh-CN"/>
        </w:rPr>
        <w:t>研发适用于环境水务领域、拥有自主技术知识产权的高光谱在线检测设备，并依托集团信息化力量实现算法和模型的迭代升级、产业链公司完成设备总装生产线规划方案。提升我国水质在线检测设备的自主可控能力水平及水质预警监测水平</w:t>
      </w:r>
      <w:r>
        <w:rPr>
          <w:rFonts w:hint="eastAsia" w:ascii="仿宋_GB2312" w:hAnsi="黑体" w:eastAsia="仿宋_GB2312" w:cs="黑体"/>
          <w:sz w:val="32"/>
          <w:szCs w:val="32"/>
        </w:rPr>
        <w:t>。</w:t>
      </w:r>
      <w:r>
        <w:rPr>
          <w:rFonts w:hint="eastAsia" w:ascii="仿宋_GB2312" w:hAnsi="仿宋_GB2312" w:eastAsia="仿宋_GB2312" w:cs="仿宋_GB2312"/>
          <w:bCs/>
          <w:sz w:val="32"/>
          <w:szCs w:val="28"/>
          <w:highlight w:val="none"/>
          <w:lang w:val="en-US" w:eastAsia="zh-CN"/>
        </w:rPr>
        <w:t>项目实施周期为2年。</w:t>
      </w:r>
    </w:p>
    <w:p>
      <w:pPr>
        <w:spacing w:line="360" w:lineRule="auto"/>
        <w:ind w:firstLine="640" w:firstLineChars="200"/>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二、主要研发内容</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（一）在现有高光谱定量反演算法基础上进行二次开发，研究适用于污水厂处理场景下的高光谱反演算法；</w:t>
      </w:r>
    </w:p>
    <w:p>
      <w:pPr>
        <w:ind w:firstLine="640" w:firstLineChars="200"/>
        <w:rPr>
          <w:rFonts w:hint="default"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（二）针对环境监测体系中污水厂进水、出水等应用场景下进行高光谱反演模型训练优化研究。</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（三）适用于污水厂处理场景下高性能光谱成像核心模块研究。</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（四）适用于环境监测体系中污水厂进水、出水等应用场景下多参数高光谱水质在线检测设备研究。</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（五）高光谱水质在线检测设备在不同应用场景下标准化研究。</w:t>
      </w:r>
    </w:p>
    <w:p>
      <w:pPr>
        <w:spacing w:line="360" w:lineRule="auto"/>
        <w:ind w:firstLine="640" w:firstLineChars="200"/>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三、研发交付成果</w:t>
      </w:r>
    </w:p>
    <w:p>
      <w:pPr>
        <w:ind w:firstLine="640" w:firstLineChars="200"/>
        <w:rPr>
          <w:rFonts w:hint="eastAsia" w:ascii="黑体" w:hAnsi="黑体" w:eastAsia="黑体" w:cs="黑体"/>
          <w:sz w:val="32"/>
          <w:szCs w:val="32"/>
          <w:lang w:val="en-US" w:eastAsia="zh-CN"/>
        </w:rPr>
      </w:pPr>
      <w:r>
        <w:rPr>
          <w:rFonts w:hint="eastAsia" w:ascii="仿宋_GB2312" w:hAnsi="黑体" w:eastAsia="仿宋_GB2312" w:cs="黑体"/>
          <w:sz w:val="32"/>
          <w:szCs w:val="32"/>
          <w:lang w:val="en-US" w:eastAsia="zh-CN"/>
        </w:rPr>
        <w:t>拥有自主技术知识产权的高光谱水质在线检测设备，应用于环境监测体系中污水厂进水、出水等场景下多种水质参数指标在线实时监测与预警。同时，在研发过程中形成高光谱产品总装生产线规划方案。</w:t>
      </w:r>
    </w:p>
    <w:p>
      <w:pPr>
        <w:spacing w:line="360" w:lineRule="auto"/>
        <w:ind w:firstLine="640" w:firstLineChars="200"/>
        <w:outlineLvl w:val="1"/>
        <w:rPr>
          <w:rFonts w:ascii="楷体" w:hAnsi="楷体" w:eastAsia="楷体" w:cs="楷体"/>
          <w:bCs/>
          <w:sz w:val="32"/>
          <w:szCs w:val="28"/>
        </w:rPr>
      </w:pPr>
      <w:r>
        <w:rPr>
          <w:rFonts w:hint="eastAsia" w:ascii="黑体" w:hAnsi="黑体" w:eastAsia="黑体" w:cs="黑体"/>
          <w:sz w:val="32"/>
          <w:szCs w:val="32"/>
          <w:lang w:val="en-US" w:eastAsia="zh-CN"/>
        </w:rPr>
        <w:t>四</w:t>
      </w:r>
      <w:r>
        <w:rPr>
          <w:rFonts w:hint="eastAsia" w:ascii="黑体" w:hAnsi="黑体" w:eastAsia="黑体" w:cs="黑体"/>
          <w:sz w:val="32"/>
          <w:szCs w:val="32"/>
        </w:rPr>
        <w:t>、考核指标</w:t>
      </w:r>
    </w:p>
    <w:p>
      <w:pPr>
        <w:keepNext/>
        <w:keepLines/>
        <w:widowControl w:val="0"/>
        <w:bidi w:val="0"/>
        <w:spacing w:beforeLines="0" w:beforeAutospacing="0" w:afterLines="0" w:afterAutospacing="0" w:line="560" w:lineRule="exact"/>
        <w:ind w:firstLine="640" w:firstLineChars="200"/>
        <w:jc w:val="both"/>
        <w:outlineLvl w:val="2"/>
        <w:rPr>
          <w:rFonts w:hint="eastAsia" w:ascii="楷体" w:hAnsi="楷体" w:eastAsia="楷体" w:cs="楷体"/>
          <w:b w:val="0"/>
          <w:bCs/>
          <w:kern w:val="2"/>
          <w:sz w:val="32"/>
          <w:szCs w:val="24"/>
          <w:lang w:val="en-US" w:eastAsia="zh-CN" w:bidi="ar-SA"/>
        </w:rPr>
      </w:pPr>
      <w:r>
        <w:rPr>
          <w:rFonts w:hint="eastAsia" w:ascii="楷体" w:hAnsi="楷体" w:eastAsia="楷体" w:cs="楷体"/>
          <w:b w:val="0"/>
          <w:bCs/>
          <w:kern w:val="2"/>
          <w:sz w:val="32"/>
          <w:szCs w:val="24"/>
          <w:lang w:val="en-US" w:eastAsia="zh-CN" w:bidi="ar-SA"/>
        </w:rPr>
        <w:t>（一）技术指标</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污水厂进水和出水应用场景下高光谱在线检测设备技术指标：总磷、总氮、氨氮、COD、悬浮物、BOD5、色度，指标监测趋势误差优于现有主流高光谱在线检测产品：</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306"/>
        <w:gridCol w:w="1260"/>
        <w:gridCol w:w="1063"/>
        <w:gridCol w:w="1310"/>
        <w:gridCol w:w="1416"/>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指标</w:t>
            </w:r>
          </w:p>
        </w:tc>
        <w:tc>
          <w:tcPr>
            <w:tcW w:w="1306"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市面主流产品误差</w:t>
            </w:r>
          </w:p>
        </w:tc>
        <w:tc>
          <w:tcPr>
            <w:tcW w:w="3633" w:type="dxa"/>
            <w:gridSpan w:val="3"/>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出水拟研发产品</w:t>
            </w:r>
          </w:p>
        </w:tc>
        <w:tc>
          <w:tcPr>
            <w:tcW w:w="2499" w:type="dxa"/>
            <w:gridSpan w:val="2"/>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进水拟研发产品误差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监测范围</w:t>
            </w:r>
          </w:p>
        </w:tc>
        <w:tc>
          <w:tcPr>
            <w:tcW w:w="1063"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误差</w:t>
            </w:r>
          </w:p>
        </w:tc>
        <w:tc>
          <w:tcPr>
            <w:tcW w:w="131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检出限</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监测范围</w:t>
            </w:r>
          </w:p>
        </w:tc>
        <w:tc>
          <w:tcPr>
            <w:tcW w:w="1083"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总磷</w:t>
            </w:r>
          </w:p>
        </w:tc>
        <w:tc>
          <w:tcPr>
            <w:tcW w:w="1306"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水环境复杂时约40%以上</w:t>
            </w: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0-5mg/L</w:t>
            </w:r>
          </w:p>
        </w:tc>
        <w:tc>
          <w:tcPr>
            <w:tcW w:w="1063"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25%以内</w:t>
            </w:r>
          </w:p>
        </w:tc>
        <w:tc>
          <w:tcPr>
            <w:tcW w:w="1310" w:type="dxa"/>
            <w:vAlign w:val="center"/>
          </w:tcPr>
          <w:p>
            <w:pPr>
              <w:keepNext w:val="0"/>
              <w:keepLines w:val="0"/>
              <w:widowControl/>
              <w:suppressLineNumbers w:val="0"/>
              <w:jc w:val="center"/>
              <w:textAlignment w:val="center"/>
              <w:rPr>
                <w:rStyle w:val="8"/>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0.01mg/L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0-50mg/L</w:t>
            </w:r>
          </w:p>
        </w:tc>
        <w:tc>
          <w:tcPr>
            <w:tcW w:w="1083"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30%以内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氨氮</w:t>
            </w: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0-20mg/L</w:t>
            </w:r>
          </w:p>
        </w:tc>
        <w:tc>
          <w:tcPr>
            <w:tcW w:w="106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310" w:type="dxa"/>
            <w:vAlign w:val="center"/>
          </w:tcPr>
          <w:p>
            <w:pPr>
              <w:keepNext w:val="0"/>
              <w:keepLines w:val="0"/>
              <w:widowControl/>
              <w:suppressLineNumbers w:val="0"/>
              <w:jc w:val="center"/>
              <w:textAlignment w:val="center"/>
              <w:rPr>
                <w:rStyle w:val="8"/>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0.01mg/L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0-100mg/L</w:t>
            </w:r>
          </w:p>
        </w:tc>
        <w:tc>
          <w:tcPr>
            <w:tcW w:w="108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总氮</w:t>
            </w: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bookmarkStart w:id="0" w:name="OLE_LINK2"/>
            <w:r>
              <w:rPr>
                <w:rStyle w:val="8"/>
                <w:rFonts w:hint="eastAsia" w:hAnsi="仿宋_GB2312" w:eastAsia="仿宋_GB2312"/>
                <w:sz w:val="24"/>
                <w:szCs w:val="24"/>
                <w:vertAlign w:val="baseline"/>
                <w:lang w:val="en-US" w:eastAsia="zh-CN" w:bidi="ar"/>
              </w:rPr>
              <w:t>0-20mg/L</w:t>
            </w:r>
            <w:bookmarkEnd w:id="0"/>
          </w:p>
        </w:tc>
        <w:tc>
          <w:tcPr>
            <w:tcW w:w="106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p>
        </w:tc>
        <w:tc>
          <w:tcPr>
            <w:tcW w:w="1310" w:type="dxa"/>
            <w:vAlign w:val="center"/>
          </w:tcPr>
          <w:p>
            <w:pPr>
              <w:keepNext w:val="0"/>
              <w:keepLines w:val="0"/>
              <w:widowControl/>
              <w:suppressLineNumbers w:val="0"/>
              <w:jc w:val="center"/>
              <w:textAlignment w:val="center"/>
              <w:rPr>
                <w:rStyle w:val="8"/>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0-100mg/L</w:t>
            </w:r>
          </w:p>
        </w:tc>
        <w:tc>
          <w:tcPr>
            <w:tcW w:w="108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sz w:val="24"/>
                <w:szCs w:val="24"/>
                <w:lang w:bidi="ar"/>
              </w:rPr>
              <w:t>COD</w:t>
            </w:r>
          </w:p>
        </w:tc>
        <w:tc>
          <w:tcPr>
            <w:tcW w:w="1306"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约25%以上</w:t>
            </w: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0-50mg/L</w:t>
            </w:r>
          </w:p>
        </w:tc>
        <w:tc>
          <w:tcPr>
            <w:tcW w:w="1063"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15%以内</w:t>
            </w:r>
          </w:p>
        </w:tc>
        <w:tc>
          <w:tcPr>
            <w:tcW w:w="131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0-1000mg/L</w:t>
            </w:r>
          </w:p>
        </w:tc>
        <w:tc>
          <w:tcPr>
            <w:tcW w:w="1083"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15%以内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sz w:val="24"/>
                <w:szCs w:val="24"/>
                <w:lang w:bidi="ar"/>
              </w:rPr>
            </w:pPr>
            <w:r>
              <w:rPr>
                <w:rStyle w:val="8"/>
                <w:rFonts w:hint="eastAsia" w:hAnsi="仿宋_GB2312"/>
                <w:sz w:val="24"/>
                <w:szCs w:val="24"/>
                <w:lang w:bidi="ar"/>
              </w:rPr>
              <w:t>悬浮物</w:t>
            </w: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0-20mg/L</w:t>
            </w:r>
          </w:p>
        </w:tc>
        <w:tc>
          <w:tcPr>
            <w:tcW w:w="106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31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0-1000mg/L</w:t>
            </w:r>
          </w:p>
        </w:tc>
        <w:tc>
          <w:tcPr>
            <w:tcW w:w="108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lang w:val="en-US" w:eastAsia="zh-CN" w:bidi="ar"/>
              </w:rPr>
            </w:pPr>
            <w:r>
              <w:rPr>
                <w:rStyle w:val="8"/>
                <w:rFonts w:hint="eastAsia" w:hAnsi="仿宋_GB2312" w:eastAsia="仿宋_GB2312"/>
                <w:sz w:val="24"/>
                <w:szCs w:val="24"/>
                <w:lang w:val="en-US" w:eastAsia="zh-CN" w:bidi="ar"/>
              </w:rPr>
              <w:t>BOD5</w:t>
            </w: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0-50mg/L</w:t>
            </w:r>
          </w:p>
        </w:tc>
        <w:tc>
          <w:tcPr>
            <w:tcW w:w="106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31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0.01mg/L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0-1000mg/L</w:t>
            </w:r>
          </w:p>
        </w:tc>
        <w:tc>
          <w:tcPr>
            <w:tcW w:w="108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lang w:val="en-US" w:eastAsia="zh-CN" w:bidi="ar"/>
              </w:rPr>
            </w:pPr>
            <w:r>
              <w:rPr>
                <w:rStyle w:val="8"/>
                <w:rFonts w:hint="eastAsia" w:hAnsi="仿宋_GB2312" w:eastAsia="仿宋_GB2312"/>
                <w:sz w:val="24"/>
                <w:szCs w:val="24"/>
                <w:lang w:val="en-US" w:eastAsia="zh-CN" w:bidi="ar"/>
              </w:rPr>
              <w:t>色度</w:t>
            </w: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0-30</w:t>
            </w:r>
          </w:p>
        </w:tc>
        <w:tc>
          <w:tcPr>
            <w:tcW w:w="106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31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1</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0-50</w:t>
            </w:r>
          </w:p>
        </w:tc>
        <w:tc>
          <w:tcPr>
            <w:tcW w:w="108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p>
        </w:tc>
      </w:tr>
    </w:tbl>
    <w:p>
      <w:pPr>
        <w:keepNext/>
        <w:keepLines/>
        <w:widowControl w:val="0"/>
        <w:bidi w:val="0"/>
        <w:spacing w:beforeLines="0" w:beforeAutospacing="0" w:afterLines="0" w:afterAutospacing="0" w:line="560" w:lineRule="exact"/>
        <w:ind w:firstLine="640" w:firstLineChars="200"/>
        <w:jc w:val="both"/>
        <w:outlineLvl w:val="2"/>
        <w:rPr>
          <w:rFonts w:hint="eastAsia" w:ascii="楷体" w:hAnsi="楷体" w:eastAsia="楷体" w:cs="楷体"/>
          <w:b w:val="0"/>
          <w:bCs/>
          <w:kern w:val="2"/>
          <w:sz w:val="32"/>
          <w:szCs w:val="24"/>
          <w:lang w:val="en-US" w:eastAsia="zh-CN" w:bidi="ar-SA"/>
        </w:rPr>
      </w:pPr>
      <w:r>
        <w:rPr>
          <w:rFonts w:hint="eastAsia" w:ascii="楷体" w:hAnsi="楷体" w:eastAsia="楷体" w:cs="楷体"/>
          <w:b w:val="0"/>
          <w:bCs/>
          <w:kern w:val="2"/>
          <w:sz w:val="32"/>
          <w:szCs w:val="24"/>
          <w:lang w:val="en-US" w:eastAsia="zh-CN" w:bidi="ar-SA"/>
        </w:rPr>
        <w:t>（二）学术指标</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1.申请专利≥3件，其中发明专利（进入实质审查阶段）≥2件；</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2.软件著作权≥1项；</w:t>
      </w:r>
    </w:p>
    <w:p>
      <w:pPr>
        <w:ind w:firstLine="640" w:firstLineChars="200"/>
        <w:rPr>
          <w:rFonts w:hint="default"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3.高光谱水质检测技术标准（企业标准）1项。</w:t>
      </w:r>
    </w:p>
    <w:p>
      <w:pPr>
        <w:spacing w:line="360" w:lineRule="auto"/>
        <w:ind w:firstLine="640" w:firstLineChars="200"/>
        <w:outlineLvl w:val="1"/>
        <w:rPr>
          <w:rFonts w:ascii="楷体" w:hAnsi="楷体" w:eastAsia="楷体" w:cs="楷体"/>
          <w:bCs/>
          <w:sz w:val="32"/>
          <w:szCs w:val="28"/>
        </w:rPr>
      </w:pPr>
      <w:r>
        <w:rPr>
          <w:rFonts w:hint="eastAsia" w:ascii="黑体" w:hAnsi="黑体" w:eastAsia="黑体" w:cs="黑体"/>
          <w:sz w:val="32"/>
          <w:szCs w:val="32"/>
          <w:lang w:val="en-US" w:eastAsia="zh-CN"/>
        </w:rPr>
        <w:t>五</w:t>
      </w:r>
      <w:r>
        <w:rPr>
          <w:rFonts w:hint="eastAsia" w:ascii="黑体" w:hAnsi="黑体" w:eastAsia="黑体" w:cs="黑体"/>
          <w:sz w:val="32"/>
          <w:szCs w:val="32"/>
        </w:rPr>
        <w:t>、外部协作单位研发内容及考核指标</w:t>
      </w:r>
    </w:p>
    <w:p>
      <w:pPr>
        <w:ind w:firstLine="640" w:firstLineChars="200"/>
        <w:rPr>
          <w:rFonts w:hint="default"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外部协作单位需提供</w:t>
      </w:r>
      <w:bookmarkStart w:id="1" w:name="OLE_LINK3"/>
      <w:r>
        <w:rPr>
          <w:rFonts w:hint="eastAsia" w:ascii="仿宋_GB2312" w:hAnsi="黑体" w:eastAsia="仿宋_GB2312" w:cs="黑体"/>
          <w:sz w:val="32"/>
          <w:szCs w:val="32"/>
          <w:lang w:val="en-US" w:eastAsia="zh-CN"/>
        </w:rPr>
        <w:t>总磷、总氮、氨氮、COD、悬浮物、BOD5、色度、高锰酸盐指数、浊度、硝酸盐</w:t>
      </w:r>
      <w:bookmarkEnd w:id="1"/>
      <w:r>
        <w:rPr>
          <w:rFonts w:hint="eastAsia" w:ascii="仿宋_GB2312" w:hAnsi="黑体" w:eastAsia="仿宋_GB2312" w:cs="黑体"/>
          <w:sz w:val="32"/>
          <w:szCs w:val="32"/>
          <w:lang w:val="en-US" w:eastAsia="zh-CN"/>
        </w:rPr>
        <w:t>氮、亚硝酸盐氮和TOC的反演算法和模型，并主要负责高性能成像模块与移动化、小型化设备硬件研究。</w:t>
      </w:r>
    </w:p>
    <w:p>
      <w:pPr>
        <w:keepNext/>
        <w:keepLines/>
        <w:widowControl w:val="0"/>
        <w:bidi w:val="0"/>
        <w:spacing w:beforeLines="0" w:beforeAutospacing="0" w:afterLines="0" w:afterAutospacing="0" w:line="560" w:lineRule="exact"/>
        <w:ind w:firstLine="640" w:firstLineChars="200"/>
        <w:jc w:val="both"/>
        <w:outlineLvl w:val="2"/>
        <w:rPr>
          <w:rFonts w:hint="eastAsia" w:ascii="楷体" w:hAnsi="楷体" w:eastAsia="楷体" w:cs="楷体"/>
          <w:b w:val="0"/>
          <w:bCs/>
          <w:kern w:val="2"/>
          <w:sz w:val="32"/>
          <w:szCs w:val="24"/>
          <w:lang w:val="en-US" w:eastAsia="zh-CN" w:bidi="ar-SA"/>
        </w:rPr>
      </w:pPr>
      <w:r>
        <w:rPr>
          <w:rFonts w:hint="eastAsia" w:ascii="楷体" w:hAnsi="楷体" w:eastAsia="楷体" w:cs="楷体"/>
          <w:b w:val="0"/>
          <w:bCs/>
          <w:kern w:val="2"/>
          <w:sz w:val="32"/>
          <w:szCs w:val="24"/>
          <w:lang w:val="en-US" w:eastAsia="zh-CN" w:bidi="ar-SA"/>
        </w:rPr>
        <w:t>（一）研发内容</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1.适用于环境监测体系中污水厂进出水等应用场景下的高性能光谱成像核心模块研究。</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2.适用于环境监测体系中污水厂进出水等应用场景下多参数高光谱水质在线检测设备硬件和性能定型；</w:t>
      </w:r>
    </w:p>
    <w:p>
      <w:pPr>
        <w:keepNext/>
        <w:keepLines/>
        <w:widowControl w:val="0"/>
        <w:bidi w:val="0"/>
        <w:spacing w:beforeLines="0" w:beforeAutospacing="0" w:afterLines="0" w:afterAutospacing="0" w:line="560" w:lineRule="exact"/>
        <w:ind w:firstLine="640" w:firstLineChars="200"/>
        <w:jc w:val="both"/>
        <w:outlineLvl w:val="2"/>
        <w:rPr>
          <w:rFonts w:hint="eastAsia" w:ascii="楷体" w:hAnsi="楷体" w:eastAsia="楷体" w:cs="楷体"/>
          <w:b w:val="0"/>
          <w:bCs/>
          <w:kern w:val="2"/>
          <w:sz w:val="32"/>
          <w:szCs w:val="24"/>
          <w:lang w:val="en-US" w:eastAsia="zh-CN" w:bidi="ar-SA"/>
        </w:rPr>
      </w:pPr>
      <w:r>
        <w:rPr>
          <w:rFonts w:hint="eastAsia" w:ascii="楷体" w:hAnsi="楷体" w:eastAsia="楷体" w:cs="楷体"/>
          <w:b w:val="0"/>
          <w:bCs/>
          <w:kern w:val="2"/>
          <w:sz w:val="32"/>
          <w:szCs w:val="24"/>
          <w:lang w:val="en-US" w:eastAsia="zh-CN" w:bidi="ar-SA"/>
        </w:rPr>
        <w:t>（二）技术指标</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协助集团公司总装高光谱水质在线检测设备样机，设备硬件和性能定型。</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1.设备关键技术性能：</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光谱覆盖范围不少于：200～1000nm；</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光谱分辨率：不低于2nm；</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监测响应时间≦1S；</w:t>
      </w:r>
    </w:p>
    <w:p>
      <w:pPr>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光源寿命支持≧109次；</w:t>
      </w:r>
    </w:p>
    <w:p>
      <w:pPr>
        <w:ind w:firstLine="640" w:firstLineChars="200"/>
        <w:rPr>
          <w:rFonts w:hint="default"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采用多光束补偿设计，可实时在线校准。</w:t>
      </w:r>
    </w:p>
    <w:p>
      <w:pPr>
        <w:ind w:firstLine="640" w:firstLineChars="200"/>
        <w:rPr>
          <w:rStyle w:val="8"/>
          <w:rFonts w:hint="eastAsia" w:hAnsi="仿宋_GB2312" w:eastAsia="仿宋_GB2312"/>
          <w:sz w:val="32"/>
          <w:szCs w:val="32"/>
          <w:lang w:val="en-US" w:eastAsia="zh-CN" w:bidi="ar"/>
        </w:rPr>
      </w:pPr>
      <w:r>
        <w:rPr>
          <w:rFonts w:hint="eastAsia" w:ascii="仿宋_GB2312" w:hAnsi="黑体" w:eastAsia="仿宋_GB2312" w:cs="黑体"/>
          <w:sz w:val="32"/>
          <w:szCs w:val="32"/>
          <w:lang w:val="en-US" w:eastAsia="zh-CN"/>
        </w:rPr>
        <w:t>2.协助完成设备技术指标验收要求：</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306"/>
        <w:gridCol w:w="1260"/>
        <w:gridCol w:w="1063"/>
        <w:gridCol w:w="1310"/>
        <w:gridCol w:w="1416"/>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指标</w:t>
            </w:r>
          </w:p>
        </w:tc>
        <w:tc>
          <w:tcPr>
            <w:tcW w:w="1306"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市面主流产品误差</w:t>
            </w:r>
          </w:p>
        </w:tc>
        <w:tc>
          <w:tcPr>
            <w:tcW w:w="3633" w:type="dxa"/>
            <w:gridSpan w:val="3"/>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出水拟研发产品</w:t>
            </w:r>
          </w:p>
        </w:tc>
        <w:tc>
          <w:tcPr>
            <w:tcW w:w="2499" w:type="dxa"/>
            <w:gridSpan w:val="2"/>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进水拟研发产品误差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监测范围</w:t>
            </w:r>
          </w:p>
        </w:tc>
        <w:tc>
          <w:tcPr>
            <w:tcW w:w="1063"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误差</w:t>
            </w:r>
          </w:p>
        </w:tc>
        <w:tc>
          <w:tcPr>
            <w:tcW w:w="131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检出限</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监测范围</w:t>
            </w:r>
          </w:p>
        </w:tc>
        <w:tc>
          <w:tcPr>
            <w:tcW w:w="1083"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总磷</w:t>
            </w:r>
          </w:p>
        </w:tc>
        <w:tc>
          <w:tcPr>
            <w:tcW w:w="1306"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水环境复杂时约40%以上</w:t>
            </w: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0-5mg/L</w:t>
            </w:r>
          </w:p>
        </w:tc>
        <w:tc>
          <w:tcPr>
            <w:tcW w:w="1063"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25%以内</w:t>
            </w:r>
          </w:p>
        </w:tc>
        <w:tc>
          <w:tcPr>
            <w:tcW w:w="1310" w:type="dxa"/>
            <w:vAlign w:val="center"/>
          </w:tcPr>
          <w:p>
            <w:pPr>
              <w:keepNext w:val="0"/>
              <w:keepLines w:val="0"/>
              <w:widowControl/>
              <w:suppressLineNumbers w:val="0"/>
              <w:jc w:val="center"/>
              <w:textAlignment w:val="center"/>
              <w:rPr>
                <w:rStyle w:val="8"/>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0.01mg/L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0-50mg/L</w:t>
            </w:r>
          </w:p>
        </w:tc>
        <w:tc>
          <w:tcPr>
            <w:tcW w:w="1083"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30%以内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氨氮</w:t>
            </w: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0-20mg/L</w:t>
            </w:r>
          </w:p>
        </w:tc>
        <w:tc>
          <w:tcPr>
            <w:tcW w:w="106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310" w:type="dxa"/>
            <w:vAlign w:val="center"/>
          </w:tcPr>
          <w:p>
            <w:pPr>
              <w:keepNext w:val="0"/>
              <w:keepLines w:val="0"/>
              <w:widowControl/>
              <w:suppressLineNumbers w:val="0"/>
              <w:jc w:val="center"/>
              <w:textAlignment w:val="center"/>
              <w:rPr>
                <w:rStyle w:val="8"/>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0.01mg/L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0-100mg/L</w:t>
            </w:r>
          </w:p>
        </w:tc>
        <w:tc>
          <w:tcPr>
            <w:tcW w:w="108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总氮</w:t>
            </w: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0-20mg/L</w:t>
            </w:r>
          </w:p>
        </w:tc>
        <w:tc>
          <w:tcPr>
            <w:tcW w:w="106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p>
        </w:tc>
        <w:tc>
          <w:tcPr>
            <w:tcW w:w="1310" w:type="dxa"/>
            <w:vAlign w:val="center"/>
          </w:tcPr>
          <w:p>
            <w:pPr>
              <w:keepNext w:val="0"/>
              <w:keepLines w:val="0"/>
              <w:widowControl/>
              <w:suppressLineNumbers w:val="0"/>
              <w:jc w:val="center"/>
              <w:textAlignment w:val="center"/>
              <w:rPr>
                <w:rStyle w:val="8"/>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0-100mg/L</w:t>
            </w:r>
          </w:p>
        </w:tc>
        <w:tc>
          <w:tcPr>
            <w:tcW w:w="108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sz w:val="24"/>
                <w:szCs w:val="24"/>
                <w:lang w:bidi="ar"/>
              </w:rPr>
              <w:t>COD</w:t>
            </w:r>
          </w:p>
        </w:tc>
        <w:tc>
          <w:tcPr>
            <w:tcW w:w="1306"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约25%以上</w:t>
            </w: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0-50mg/L</w:t>
            </w:r>
          </w:p>
        </w:tc>
        <w:tc>
          <w:tcPr>
            <w:tcW w:w="1063"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15%以内</w:t>
            </w:r>
          </w:p>
        </w:tc>
        <w:tc>
          <w:tcPr>
            <w:tcW w:w="131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0-1000mg/L</w:t>
            </w:r>
          </w:p>
        </w:tc>
        <w:tc>
          <w:tcPr>
            <w:tcW w:w="1083" w:type="dxa"/>
            <w:vMerge w:val="restart"/>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15%以内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sz w:val="24"/>
                <w:szCs w:val="24"/>
                <w:lang w:bidi="ar"/>
              </w:rPr>
            </w:pPr>
            <w:r>
              <w:rPr>
                <w:rStyle w:val="8"/>
                <w:rFonts w:hint="eastAsia" w:hAnsi="仿宋_GB2312"/>
                <w:sz w:val="24"/>
                <w:szCs w:val="24"/>
                <w:lang w:bidi="ar"/>
              </w:rPr>
              <w:t>悬浮物</w:t>
            </w: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0-20mg/L</w:t>
            </w:r>
          </w:p>
        </w:tc>
        <w:tc>
          <w:tcPr>
            <w:tcW w:w="106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31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0-1000mg/L</w:t>
            </w:r>
          </w:p>
        </w:tc>
        <w:tc>
          <w:tcPr>
            <w:tcW w:w="108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lang w:val="en-US" w:eastAsia="zh-CN" w:bidi="ar"/>
              </w:rPr>
            </w:pPr>
            <w:r>
              <w:rPr>
                <w:rStyle w:val="8"/>
                <w:rFonts w:hint="eastAsia" w:hAnsi="仿宋_GB2312" w:eastAsia="仿宋_GB2312"/>
                <w:sz w:val="24"/>
                <w:szCs w:val="24"/>
                <w:lang w:val="en-US" w:eastAsia="zh-CN" w:bidi="ar"/>
              </w:rPr>
              <w:t>BOD5</w:t>
            </w: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0-50mg/L</w:t>
            </w:r>
          </w:p>
        </w:tc>
        <w:tc>
          <w:tcPr>
            <w:tcW w:w="106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31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0.01mg/L</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0-1000mg/L</w:t>
            </w:r>
          </w:p>
        </w:tc>
        <w:tc>
          <w:tcPr>
            <w:tcW w:w="108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lang w:val="en-US" w:eastAsia="zh-CN" w:bidi="ar"/>
              </w:rPr>
            </w:pPr>
            <w:r>
              <w:rPr>
                <w:rStyle w:val="8"/>
                <w:rFonts w:hint="eastAsia" w:hAnsi="仿宋_GB2312" w:eastAsia="仿宋_GB2312"/>
                <w:sz w:val="24"/>
                <w:szCs w:val="24"/>
                <w:lang w:val="en-US" w:eastAsia="zh-CN" w:bidi="ar"/>
              </w:rPr>
              <w:t>色度</w:t>
            </w:r>
          </w:p>
        </w:tc>
        <w:tc>
          <w:tcPr>
            <w:tcW w:w="1306"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26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0-30</w:t>
            </w:r>
          </w:p>
        </w:tc>
        <w:tc>
          <w:tcPr>
            <w:tcW w:w="106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2"/>
              <w:rPr>
                <w:rStyle w:val="8"/>
                <w:rFonts w:hint="eastAsia" w:hAnsi="仿宋_GB2312" w:eastAsia="仿宋_GB2312"/>
                <w:sz w:val="24"/>
                <w:szCs w:val="24"/>
                <w:vertAlign w:val="baseline"/>
                <w:lang w:val="en-US" w:eastAsia="zh-CN" w:bidi="ar"/>
              </w:rPr>
            </w:pPr>
          </w:p>
        </w:tc>
        <w:tc>
          <w:tcPr>
            <w:tcW w:w="1310"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1</w:t>
            </w:r>
          </w:p>
        </w:tc>
        <w:tc>
          <w:tcPr>
            <w:tcW w:w="1416" w:type="dxa"/>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default" w:hAnsi="仿宋_GB2312" w:eastAsia="仿宋_GB2312"/>
                <w:sz w:val="24"/>
                <w:szCs w:val="24"/>
                <w:vertAlign w:val="baseline"/>
                <w:lang w:val="en-US" w:eastAsia="zh-CN" w:bidi="ar"/>
              </w:rPr>
            </w:pPr>
            <w:r>
              <w:rPr>
                <w:rStyle w:val="8"/>
                <w:rFonts w:hint="eastAsia" w:hAnsi="仿宋_GB2312" w:eastAsia="仿宋_GB2312"/>
                <w:sz w:val="24"/>
                <w:szCs w:val="24"/>
                <w:vertAlign w:val="baseline"/>
                <w:lang w:val="en-US" w:eastAsia="zh-CN" w:bidi="ar"/>
              </w:rPr>
              <w:t>0-50</w:t>
            </w:r>
          </w:p>
        </w:tc>
        <w:tc>
          <w:tcPr>
            <w:tcW w:w="1083" w:type="dxa"/>
            <w:vMerge w:val="continue"/>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outlineLvl w:val="2"/>
              <w:rPr>
                <w:rStyle w:val="8"/>
                <w:rFonts w:hint="eastAsia" w:hAnsi="仿宋_GB2312" w:eastAsia="仿宋_GB2312"/>
                <w:sz w:val="24"/>
                <w:szCs w:val="24"/>
                <w:vertAlign w:val="baseline"/>
                <w:lang w:val="en-US" w:eastAsia="zh-CN" w:bidi="ar"/>
              </w:rPr>
            </w:pPr>
          </w:p>
        </w:tc>
      </w:tr>
    </w:tbl>
    <w:p>
      <w:pPr>
        <w:jc w:val="both"/>
        <w:rPr>
          <w:rFonts w:hint="eastAsia" w:ascii="方正小标宋简体" w:hAnsi="方正小标宋简体" w:eastAsia="方正小标宋简体" w:cs="方正小标宋简体"/>
          <w:sz w:val="44"/>
          <w:szCs w:val="52"/>
          <w:lang w:val="en-US" w:eastAsia="zh-CN"/>
        </w:rPr>
      </w:pPr>
      <w:bookmarkStart w:id="2" w:name="_GoBack"/>
      <w:bookmarkEnd w:id="2"/>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4498E"/>
    <w:multiLevelType w:val="multilevel"/>
    <w:tmpl w:val="2FB4498E"/>
    <w:lvl w:ilvl="0" w:tentative="0">
      <w:start w:val="1"/>
      <w:numFmt w:val="japaneseCounting"/>
      <w:lvlText w:val="%1、"/>
      <w:lvlJc w:val="left"/>
      <w:pPr>
        <w:ind w:left="135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17E5C"/>
    <w:rsid w:val="3639011F"/>
    <w:rsid w:val="36587B5F"/>
    <w:rsid w:val="4E586201"/>
    <w:rsid w:val="58CE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Lines="0" w:beforeAutospacing="0" w:afterLines="0" w:afterAutospacing="0" w:line="560" w:lineRule="exact"/>
      <w:ind w:firstLine="723" w:firstLineChars="200"/>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99"/>
    <w:pPr>
      <w:ind w:firstLine="420" w:firstLineChars="200"/>
    </w:pPr>
  </w:style>
  <w:style w:type="character" w:customStyle="1" w:styleId="8">
    <w:name w:val="font11"/>
    <w:basedOn w:val="6"/>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2025-08-28T03:17:00Z</dcterms:created>
  <dc:creator>lenovo</dc:creator>
  <cp:lastModifiedBy>lenovo</cp:lastModifiedBy>
  <dcterms:modified xsi:type="dcterms:W3CDTF">2025-10-20T07:18:43Z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273EF37061834D58B781E17B20B4849B</vt:lpwstr>
  </property>
</Properties>
</file>