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采购文件（二供泵房数智一体机项目指南）</w:t>
      </w:r>
    </w:p>
    <w:p>
      <w:pPr>
        <w:pStyle w:val="2"/>
        <w:bidi w:val="0"/>
        <w:rPr>
          <w:rFonts w:hint="eastAsia" w:ascii="仿宋" w:hAnsi="仿宋" w:eastAsia="仿宋" w:cstheme="minorBidi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/>
          <w:b w:val="0"/>
          <w:bCs/>
        </w:rPr>
        <w:t>一、项目简介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bookmarkStart w:id="0" w:name="OLE_LINK5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当前全国二次供水泵房数量已超过21万座，是城市供水系统“最后一公里”的关键支撑。但泵房管理水平普遍滞后，行业智能化改造迫在眉睫。自2020年以来，智能化二供设备市场规模已从数十亿元快速增长至百亿级，市场需求与技术升级空间巨大，预计年复合增长率将达18%至22%，到2029年有望达到约523亿元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现行管理中，二次供水泵房面临三大突出问题：一是应急响应迟缓，停电等突发情况下缺乏应急电源或备用方案，修复周期长；二是水质保障薄弱，设施易受冲击且缺少实时监测预警，导致居民投诉和用水舆情事件频发；三是能源效率低下，泵房整体能效不足40%，长期处于高耗能、低效率运行状态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管理不到位带来的问题已经从“隐性风险”演变为“显性痛点”：供水中断事件增加，居民生活稳定性下降；水质波动引发公众关注，舆情风险提升；高能耗运行造成企业资源浪费和成本增加。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为破解行业困局，本项目创新提出“设备物联 + 边缘智能 + 云端调控”三位一体数字化解决方案，打造“二供泵房数智一体机”。通过引入AI技术和智能边端控制，助力集团切实提升运营韧性与安全性、保障水质安全降低舆情风险、实现节能降耗与成本优化。项目实施周期两年。</w:t>
      </w:r>
    </w:p>
    <w:bookmarkEnd w:id="0"/>
    <w:p>
      <w:pPr>
        <w:pStyle w:val="2"/>
        <w:bidi w:val="0"/>
        <w:ind w:firstLine="723"/>
        <w:rPr>
          <w:rFonts w:hint="eastAsia" w:ascii="Arial" w:hAnsi="Arial"/>
          <w:b w:val="0"/>
          <w:bCs/>
          <w:lang w:val="en-US" w:eastAsia="zh-CN"/>
        </w:rPr>
      </w:pPr>
      <w:r>
        <w:rPr>
          <w:rFonts w:hint="eastAsia" w:ascii="Arial" w:hAnsi="Arial"/>
          <w:b w:val="0"/>
          <w:bCs/>
          <w:lang w:val="en-US" w:eastAsia="zh-CN"/>
        </w:rPr>
        <w:t>二、</w:t>
      </w:r>
      <w:r>
        <w:rPr>
          <w:rFonts w:hint="eastAsia" w:ascii="Arial" w:hAnsi="Arial"/>
          <w:b w:val="0"/>
          <w:bCs/>
        </w:rPr>
        <w:t>研发内容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（一）创新研发部分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1.研发泵组智能节能控制系统:通过智能节能控制系统，优化泵组的能耗，基于末端恒压泵组控制技术调整泵组运行模式，降低电能消耗，减轻运营成本。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2.构建二供运管智能体：基于大量行业规则与业务运营数据，构建二供运管智能体，支持智能问数、智能问答与辅助决策功能。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完成数智一体机终端设备的集成研发：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在硬件方面，集成所有传感器、执行器和控制系统，实现设备与智能算法的深度融合。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（二）应用集成部分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1.研发集中运营管控的云原生数字化管控云平台：该平台将实现统一运维、远程调度、数据融合和智能分析，支撑数智一体机的全生命周期管理。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2.研发多参数水泵故障分析诊断专家系统：通过边端硬件诊断设备状态并预测潜在故障，集成温度、流量、压力等多参数，实现关键泵组状态感知、趋势预测与多维度诊断。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3.研发低成本水质监测装置：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lang w:val="en-US" w:eastAsia="zh-CN" w:bidi="ar-SA"/>
        </w:rPr>
        <w:t>实现低成本对浑浊度、游离氯、pH值及颜色的监测，提升水质管理精度。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4.研发视频AI算法分析系统：开发的视频AI算法将实现泵房场景的实时监控和异常状态识别，支持违规作业、淹水等多种突发情况的自动识别与报警。通过与云平台的结合，确保现场问题能迅速响应并采取相应措施。</w:t>
      </w:r>
    </w:p>
    <w:p>
      <w:pPr>
        <w:pStyle w:val="2"/>
        <w:bidi w:val="0"/>
        <w:ind w:firstLine="723"/>
        <w:rPr>
          <w:rFonts w:hint="eastAsia" w:ascii="Arial" w:hAnsi="Arial"/>
          <w:b w:val="0"/>
          <w:bCs/>
        </w:rPr>
      </w:pPr>
      <w:r>
        <w:rPr>
          <w:rFonts w:hint="eastAsia" w:ascii="Arial" w:hAnsi="Arial"/>
          <w:b w:val="0"/>
          <w:bCs/>
        </w:rPr>
        <w:t>三、研发交付成果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依托“深水云脑”，开发面向二供泵房的数智一体机，实现对二供泵房运行状态的多维感知、关键故障智能识别、节能策略精准执行和大模型辅助决策等核心能力，构建泵房“端边云”一体化管理体系。</w:t>
      </w:r>
    </w:p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四、考核指标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（一）技术指标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1.节能控制方面：实现节电率≥5%，吨水能耗效率提升≥5%。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2.二供泵房关键泵组故障诊断方面：实现故障报警率达到100%，并具备预警提前时间＞6小时的能力；误报率应≤3%，同时支持历史故障数据的深度学习与趋势预测分析。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3.视频AI分析方面：识别不少于5类典型异常场景（包括未戴安全帽、火光、越界入侵、水浸识别、漏水/爆管识别等），识别准确率≥95%，漏识率＜10%。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4.知识大模型方面：集成行业数据≥1万条、法规标准≥100项，覆盖典型运维场景≥10类，并实现问答准确率≥90%。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5.水质监测能力：实现浑浊度、游离氯相对误差≤±10%，颜色标准曲线R²＞0.99，pH相对误差≤±0.1，且耗水量＜0.3m³/d。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lang w:val="en-US" w:eastAsia="zh-CN"/>
        </w:rPr>
        <w:t>6.云平台能力方面：支持≥3000个泵房、≥10万个测点的数据接入、处理与智能分析。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（二）学术指标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申请专利≥2件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发明专利进入实审阶段）；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发表高质量论文≥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1篇。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（三）应用推广</w:t>
      </w:r>
    </w:p>
    <w:p>
      <w:pPr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在深圳市建立2项典型应用示范工程，试运行时间≥6个月。</w:t>
      </w:r>
    </w:p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五、外部协作单位研发内容及考核指标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（一）研发内容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基于大量行业规则与业务运营数据，构建二供运管智能体，支持智能问数、智能问答与辅助决策功能。智能体能够为操作人员提供快速、准确的解决方案，提高应急响应能力并优化日常运维决策。</w:t>
      </w:r>
    </w:p>
    <w:p>
      <w:pPr>
        <w:keepNext/>
        <w:keepLines/>
        <w:widowControl w:val="0"/>
        <w:bidi w:val="0"/>
        <w:spacing w:beforeLines="0" w:beforeAutospacing="0" w:afterLines="0" w:afterAutospacing="0" w:line="560" w:lineRule="exact"/>
        <w:ind w:firstLine="640" w:firstLineChars="200"/>
        <w:jc w:val="both"/>
        <w:outlineLvl w:val="2"/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2"/>
          <w:sz w:val="32"/>
          <w:szCs w:val="24"/>
          <w:lang w:val="en-US" w:eastAsia="zh-CN" w:bidi="ar-SA"/>
        </w:rPr>
        <w:t>（二）技术指标</w:t>
      </w:r>
    </w:p>
    <w:p>
      <w:pPr>
        <w:bidi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知识库集成行业数据</w:t>
      </w:r>
      <w:r>
        <w:rPr>
          <w:rFonts w:hint="eastAsia" w:ascii="仿宋_GB2312" w:hAnsi="仿宋_GB2312" w:eastAsia="仿宋_GB2312" w:cs="仿宋_GB2312"/>
          <w:b/>
          <w:bCs/>
          <w:sz w:val="32"/>
        </w:rPr>
        <w:t>≥1万条</w:t>
      </w:r>
      <w:r>
        <w:rPr>
          <w:rFonts w:hint="eastAsia" w:ascii="仿宋_GB2312" w:hAnsi="仿宋_GB2312" w:eastAsia="仿宋_GB2312" w:cs="仿宋_GB2312"/>
          <w:sz w:val="32"/>
        </w:rPr>
        <w:t>，覆盖法规标准</w:t>
      </w:r>
      <w:r>
        <w:rPr>
          <w:rFonts w:hint="eastAsia" w:ascii="仿宋_GB2312" w:hAnsi="仿宋_GB2312" w:eastAsia="仿宋_GB2312" w:cs="仿宋_GB2312"/>
          <w:b/>
          <w:bCs/>
          <w:sz w:val="32"/>
        </w:rPr>
        <w:t>≥100项</w:t>
      </w:r>
      <w:r>
        <w:rPr>
          <w:rFonts w:hint="eastAsia" w:ascii="仿宋_GB2312" w:hAnsi="仿宋_GB2312" w:eastAsia="仿宋_GB2312" w:cs="仿宋_GB2312"/>
          <w:sz w:val="32"/>
        </w:rPr>
        <w:t>、运维场景</w:t>
      </w:r>
      <w:r>
        <w:rPr>
          <w:rFonts w:hint="eastAsia" w:ascii="仿宋_GB2312" w:hAnsi="仿宋_GB2312" w:eastAsia="仿宋_GB2312" w:cs="仿宋_GB2312"/>
          <w:b/>
          <w:bCs/>
          <w:sz w:val="32"/>
        </w:rPr>
        <w:t>≥10类</w:t>
      </w:r>
      <w:r>
        <w:rPr>
          <w:rFonts w:hint="eastAsia" w:ascii="仿宋_GB2312" w:hAnsi="仿宋_GB2312" w:eastAsia="仿宋_GB2312" w:cs="仿宋_GB2312"/>
          <w:sz w:val="32"/>
        </w:rPr>
        <w:t>；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智能问数准确率</w:t>
      </w:r>
      <w:r>
        <w:rPr>
          <w:rFonts w:hint="eastAsia" w:ascii="仿宋_GB2312" w:hAnsi="仿宋_GB2312" w:eastAsia="仿宋_GB2312" w:cs="仿宋_GB2312"/>
          <w:b/>
          <w:bCs/>
          <w:sz w:val="32"/>
        </w:rPr>
        <w:t>≥90%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</w:rPr>
        <w:t>智能问答准确率</w:t>
      </w:r>
      <w:r>
        <w:rPr>
          <w:rFonts w:hint="eastAsia" w:ascii="仿宋_GB2312" w:hAnsi="仿宋_GB2312" w:eastAsia="仿宋_GB2312" w:cs="仿宋_GB2312"/>
          <w:b/>
          <w:bCs/>
          <w:sz w:val="32"/>
        </w:rPr>
        <w:t>≥90%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bookmarkStart w:id="1" w:name="_GoBack"/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17E5C"/>
    <w:rsid w:val="3639011F"/>
    <w:rsid w:val="36587B5F"/>
    <w:rsid w:val="4E5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ind w:firstLine="723" w:firstLineChars="200"/>
      <w:jc w:val="both"/>
      <w:outlineLvl w:val="1"/>
    </w:pPr>
    <w:rPr>
      <w:rFonts w:ascii="Arial" w:hAnsi="Arial" w:eastAsia="黑体" w:cstheme="minorBidi"/>
      <w:b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2025-08-28T03:17:00Z</dcterms:created>
  <dc:creator>lenovo</dc:creator>
  <cp:lastModifiedBy>lenovo</cp:lastModifiedBy>
  <dcterms:modified xsi:type="dcterms:W3CDTF">2025-10-20T07:14:30Z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273EF37061834D58B781E17B20B4849B</vt:lpwstr>
  </property>
</Properties>
</file>