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spacing w:line="360" w:lineRule="auto"/>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评分细则</w:t>
      </w:r>
    </w:p>
    <w:tbl>
      <w:tblPr>
        <w:tblStyle w:val="5"/>
        <w:tblW w:w="7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
        <w:gridCol w:w="441"/>
        <w:gridCol w:w="1322"/>
        <w:gridCol w:w="720"/>
        <w:gridCol w:w="675"/>
        <w:gridCol w:w="4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99" w:type="dxa"/>
            <w:vAlign w:val="center"/>
          </w:tcPr>
          <w:p>
            <w:pPr>
              <w:spacing w:line="240" w:lineRule="auto"/>
              <w:jc w:val="center"/>
              <w:rPr>
                <w:szCs w:val="21"/>
              </w:rPr>
            </w:pPr>
            <w:r>
              <w:rPr>
                <w:rFonts w:hint="eastAsia"/>
                <w:szCs w:val="21"/>
              </w:rPr>
              <w:t>序号</w:t>
            </w:r>
          </w:p>
        </w:tc>
        <w:tc>
          <w:tcPr>
            <w:tcW w:w="3158" w:type="dxa"/>
            <w:gridSpan w:val="4"/>
            <w:vAlign w:val="center"/>
          </w:tcPr>
          <w:p>
            <w:pPr>
              <w:spacing w:line="240" w:lineRule="auto"/>
              <w:jc w:val="center"/>
              <w:rPr>
                <w:szCs w:val="21"/>
              </w:rPr>
            </w:pPr>
            <w:r>
              <w:rPr>
                <w:rFonts w:hint="eastAsia"/>
                <w:szCs w:val="21"/>
              </w:rPr>
              <w:t>评分项</w:t>
            </w:r>
          </w:p>
        </w:tc>
        <w:tc>
          <w:tcPr>
            <w:tcW w:w="4441" w:type="dxa"/>
            <w:vAlign w:val="center"/>
          </w:tcPr>
          <w:p>
            <w:pPr>
              <w:spacing w:line="240" w:lineRule="auto"/>
              <w:jc w:val="center"/>
              <w:rPr>
                <w:szCs w:val="21"/>
              </w:rPr>
            </w:pPr>
            <w:r>
              <w:rPr>
                <w:rFonts w:hint="eastAsia"/>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dxa"/>
            <w:vAlign w:val="center"/>
          </w:tcPr>
          <w:p>
            <w:pPr>
              <w:spacing w:line="240" w:lineRule="auto"/>
              <w:jc w:val="center"/>
              <w:rPr>
                <w:rFonts w:hint="eastAsia" w:eastAsiaTheme="minorEastAsia"/>
                <w:szCs w:val="21"/>
                <w:lang w:val="en-US" w:eastAsia="zh-CN"/>
              </w:rPr>
            </w:pPr>
            <w:r>
              <w:rPr>
                <w:rFonts w:hint="eastAsia"/>
                <w:szCs w:val="21"/>
                <w:lang w:val="en-US" w:eastAsia="zh-CN"/>
              </w:rPr>
              <w:t>1</w:t>
            </w:r>
          </w:p>
        </w:tc>
        <w:tc>
          <w:tcPr>
            <w:tcW w:w="441" w:type="dxa"/>
            <w:vAlign w:val="center"/>
          </w:tcPr>
          <w:p>
            <w:pPr>
              <w:spacing w:line="240" w:lineRule="auto"/>
              <w:jc w:val="center"/>
              <w:rPr>
                <w:rFonts w:hint="eastAsia" w:eastAsiaTheme="minorEastAsia"/>
                <w:szCs w:val="21"/>
                <w:lang w:val="en-US" w:eastAsia="zh-CN"/>
              </w:rPr>
            </w:pPr>
            <w:r>
              <w:rPr>
                <w:rFonts w:hint="eastAsia"/>
                <w:szCs w:val="21"/>
                <w:lang w:val="en-US" w:eastAsia="zh-CN"/>
              </w:rPr>
              <w:t>序号</w:t>
            </w:r>
          </w:p>
        </w:tc>
        <w:tc>
          <w:tcPr>
            <w:tcW w:w="1322" w:type="dxa"/>
            <w:vAlign w:val="center"/>
          </w:tcPr>
          <w:p>
            <w:pPr>
              <w:spacing w:line="240" w:lineRule="auto"/>
              <w:jc w:val="center"/>
              <w:rPr>
                <w:rFonts w:hint="eastAsia" w:eastAsiaTheme="minorEastAsia"/>
                <w:szCs w:val="21"/>
                <w:lang w:val="en-US" w:eastAsia="zh-CN"/>
              </w:rPr>
            </w:pPr>
            <w:r>
              <w:rPr>
                <w:rFonts w:hint="eastAsia"/>
                <w:szCs w:val="21"/>
                <w:lang w:val="en-US" w:eastAsia="zh-CN"/>
              </w:rPr>
              <w:t>评分因素</w:t>
            </w:r>
          </w:p>
        </w:tc>
        <w:tc>
          <w:tcPr>
            <w:tcW w:w="720" w:type="dxa"/>
            <w:vAlign w:val="center"/>
          </w:tcPr>
          <w:p>
            <w:pPr>
              <w:spacing w:line="240" w:lineRule="auto"/>
              <w:jc w:val="center"/>
              <w:rPr>
                <w:rFonts w:hint="eastAsia" w:eastAsiaTheme="minorEastAsia"/>
                <w:szCs w:val="21"/>
                <w:lang w:val="en-US" w:eastAsia="zh-CN"/>
              </w:rPr>
            </w:pPr>
            <w:r>
              <w:rPr>
                <w:rFonts w:hint="eastAsia"/>
                <w:szCs w:val="21"/>
                <w:lang w:val="en-US" w:eastAsia="zh-CN"/>
              </w:rPr>
              <w:t>分值</w:t>
            </w:r>
          </w:p>
        </w:tc>
        <w:tc>
          <w:tcPr>
            <w:tcW w:w="675" w:type="dxa"/>
            <w:vAlign w:val="center"/>
          </w:tcPr>
          <w:p>
            <w:pPr>
              <w:spacing w:line="240" w:lineRule="auto"/>
              <w:jc w:val="center"/>
              <w:rPr>
                <w:rFonts w:hint="eastAsia" w:eastAsiaTheme="minorEastAsia"/>
                <w:szCs w:val="21"/>
                <w:lang w:val="en-US" w:eastAsia="zh-CN"/>
              </w:rPr>
            </w:pPr>
            <w:r>
              <w:rPr>
                <w:rFonts w:hint="eastAsia"/>
                <w:szCs w:val="21"/>
                <w:lang w:val="en-US" w:eastAsia="zh-CN"/>
              </w:rPr>
              <w:t>评分方式</w:t>
            </w:r>
          </w:p>
        </w:tc>
        <w:tc>
          <w:tcPr>
            <w:tcW w:w="4441" w:type="dxa"/>
            <w:vAlign w:val="center"/>
          </w:tcPr>
          <w:p>
            <w:pPr>
              <w:spacing w:line="240" w:lineRule="auto"/>
              <w:jc w:val="center"/>
              <w:rPr>
                <w:rFonts w:hint="eastAsia"/>
                <w:szCs w:val="21"/>
              </w:rPr>
            </w:pPr>
            <w:r>
              <w:rPr>
                <w:rFonts w:hint="eastAsia"/>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399" w:type="dxa"/>
            <w:vAlign w:val="center"/>
          </w:tcPr>
          <w:p>
            <w:pPr>
              <w:spacing w:line="240" w:lineRule="auto"/>
              <w:jc w:val="center"/>
              <w:rPr>
                <w:szCs w:val="21"/>
              </w:rPr>
            </w:pPr>
          </w:p>
        </w:tc>
        <w:tc>
          <w:tcPr>
            <w:tcW w:w="441" w:type="dxa"/>
            <w:vAlign w:val="center"/>
          </w:tcPr>
          <w:p>
            <w:pPr>
              <w:spacing w:line="240" w:lineRule="auto"/>
              <w:jc w:val="center"/>
              <w:rPr>
                <w:rFonts w:hint="default" w:eastAsiaTheme="minorEastAsia"/>
                <w:szCs w:val="21"/>
                <w:lang w:val="en-US" w:eastAsia="zh-CN"/>
              </w:rPr>
            </w:pPr>
            <w:r>
              <w:rPr>
                <w:rFonts w:hint="eastAsia"/>
                <w:szCs w:val="21"/>
                <w:lang w:val="en-US" w:eastAsia="zh-CN"/>
              </w:rPr>
              <w:t>1</w:t>
            </w:r>
          </w:p>
        </w:tc>
        <w:tc>
          <w:tcPr>
            <w:tcW w:w="1322" w:type="dxa"/>
            <w:vAlign w:val="center"/>
          </w:tcPr>
          <w:p>
            <w:pPr>
              <w:spacing w:line="240" w:lineRule="auto"/>
              <w:jc w:val="center"/>
              <w:rPr>
                <w:rFonts w:hint="default" w:eastAsiaTheme="minorEastAsia"/>
                <w:szCs w:val="21"/>
                <w:lang w:val="en-US" w:eastAsia="zh-CN"/>
              </w:rPr>
            </w:pPr>
            <w:r>
              <w:rPr>
                <w:rFonts w:hint="eastAsia"/>
                <w:szCs w:val="21"/>
                <w:lang w:val="en-US" w:eastAsia="zh-CN"/>
              </w:rPr>
              <w:t>价格</w:t>
            </w:r>
          </w:p>
        </w:tc>
        <w:tc>
          <w:tcPr>
            <w:tcW w:w="720" w:type="dxa"/>
            <w:vAlign w:val="center"/>
          </w:tcPr>
          <w:p>
            <w:pPr>
              <w:spacing w:line="240" w:lineRule="auto"/>
              <w:jc w:val="center"/>
              <w:rPr>
                <w:rFonts w:hint="default" w:eastAsiaTheme="minorEastAsia"/>
                <w:szCs w:val="21"/>
                <w:lang w:val="en-US" w:eastAsia="zh-CN"/>
              </w:rPr>
            </w:pPr>
            <w:r>
              <w:rPr>
                <w:rFonts w:hint="eastAsia"/>
                <w:szCs w:val="21"/>
                <w:lang w:val="en-US" w:eastAsia="zh-CN"/>
              </w:rPr>
              <w:t>20</w:t>
            </w:r>
          </w:p>
        </w:tc>
        <w:tc>
          <w:tcPr>
            <w:tcW w:w="675" w:type="dxa"/>
            <w:vAlign w:val="center"/>
          </w:tcPr>
          <w:p>
            <w:pPr>
              <w:spacing w:line="240" w:lineRule="auto"/>
              <w:jc w:val="center"/>
              <w:rPr>
                <w:rFonts w:hint="default" w:eastAsiaTheme="minorEastAsia"/>
                <w:szCs w:val="21"/>
                <w:lang w:val="en-US" w:eastAsia="zh-CN"/>
              </w:rPr>
            </w:pPr>
            <w:r>
              <w:rPr>
                <w:rFonts w:hint="eastAsia"/>
                <w:szCs w:val="21"/>
                <w:lang w:val="en-US" w:eastAsia="zh-CN"/>
              </w:rPr>
              <w:t>专家评分</w:t>
            </w:r>
          </w:p>
        </w:tc>
        <w:tc>
          <w:tcPr>
            <w:tcW w:w="4441" w:type="dxa"/>
            <w:vAlign w:val="center"/>
          </w:tcPr>
          <w:p>
            <w:pPr>
              <w:spacing w:line="240" w:lineRule="auto"/>
              <w:jc w:val="left"/>
              <w:rPr>
                <w:rFonts w:hint="default" w:eastAsia="宋体"/>
                <w:szCs w:val="21"/>
                <w:highlight w:val="none"/>
                <w:lang w:val="en-US" w:eastAsia="zh-CN"/>
              </w:rPr>
            </w:pPr>
            <w:r>
              <w:rPr>
                <w:rFonts w:hint="default" w:eastAsia="宋体"/>
                <w:szCs w:val="21"/>
                <w:highlight w:val="none"/>
                <w:lang w:val="en-US" w:eastAsia="zh-CN"/>
              </w:rPr>
              <w:t>确定评标基准价：可将通过资格审查的投标人的投标价格中的</w:t>
            </w:r>
            <w:r>
              <w:rPr>
                <w:color w:val="auto"/>
              </w:rPr>
              <w:t>次低价</w:t>
            </w:r>
            <w:r>
              <w:rPr>
                <w:rFonts w:hint="default" w:eastAsia="宋体"/>
                <w:szCs w:val="21"/>
                <w:highlight w:val="none"/>
                <w:lang w:val="en-US" w:eastAsia="zh-CN"/>
              </w:rPr>
              <w:t>作为评标基准价。</w:t>
            </w:r>
          </w:p>
          <w:p>
            <w:pPr>
              <w:spacing w:line="240" w:lineRule="auto"/>
              <w:jc w:val="left"/>
              <w:rPr>
                <w:rFonts w:hint="default" w:eastAsia="宋体"/>
                <w:szCs w:val="21"/>
                <w:highlight w:val="none"/>
                <w:lang w:val="en-US" w:eastAsia="zh-CN"/>
              </w:rPr>
            </w:pPr>
            <w:r>
              <w:rPr>
                <w:rFonts w:hint="default" w:eastAsia="宋体"/>
                <w:szCs w:val="21"/>
                <w:highlight w:val="none"/>
                <w:lang w:val="en-US" w:eastAsia="zh-CN"/>
              </w:rPr>
              <w:t>价格分=（评标基准价/投标报价）×</w:t>
            </w:r>
            <w:r>
              <w:rPr>
                <w:rFonts w:hint="eastAsia" w:eastAsia="宋体"/>
                <w:szCs w:val="21"/>
                <w:highlight w:val="no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dxa"/>
            <w:vAlign w:val="center"/>
          </w:tcPr>
          <w:p>
            <w:pPr>
              <w:spacing w:line="240" w:lineRule="auto"/>
              <w:jc w:val="center"/>
              <w:rPr>
                <w:szCs w:val="21"/>
              </w:rPr>
            </w:pPr>
            <w:r>
              <w:rPr>
                <w:szCs w:val="21"/>
              </w:rPr>
              <w:t>2</w:t>
            </w:r>
          </w:p>
        </w:tc>
        <w:tc>
          <w:tcPr>
            <w:tcW w:w="3158" w:type="dxa"/>
            <w:gridSpan w:val="4"/>
            <w:vAlign w:val="center"/>
          </w:tcPr>
          <w:p>
            <w:pPr>
              <w:spacing w:line="240" w:lineRule="auto"/>
              <w:jc w:val="center"/>
              <w:rPr>
                <w:szCs w:val="21"/>
              </w:rPr>
            </w:pPr>
            <w:r>
              <w:rPr>
                <w:rFonts w:hint="eastAsia"/>
                <w:szCs w:val="21"/>
              </w:rPr>
              <w:t>技术部分</w:t>
            </w:r>
          </w:p>
        </w:tc>
        <w:tc>
          <w:tcPr>
            <w:tcW w:w="4441" w:type="dxa"/>
            <w:vAlign w:val="center"/>
          </w:tcPr>
          <w:p>
            <w:pPr>
              <w:spacing w:line="240" w:lineRule="auto"/>
              <w:jc w:val="center"/>
              <w:rPr>
                <w:rFonts w:hint="default" w:eastAsia="宋体"/>
                <w:szCs w:val="21"/>
                <w:lang w:val="en-US" w:eastAsia="zh-CN"/>
              </w:rPr>
            </w:pPr>
            <w:r>
              <w:rPr>
                <w:rFonts w:hint="eastAsia"/>
                <w:szCs w:val="21"/>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99" w:type="dxa"/>
            <w:vMerge w:val="restart"/>
            <w:vAlign w:val="center"/>
          </w:tcPr>
          <w:p>
            <w:pPr>
              <w:spacing w:line="240" w:lineRule="auto"/>
              <w:jc w:val="center"/>
              <w:rPr>
                <w:szCs w:val="21"/>
              </w:rPr>
            </w:pPr>
          </w:p>
        </w:tc>
        <w:tc>
          <w:tcPr>
            <w:tcW w:w="441" w:type="dxa"/>
            <w:vAlign w:val="center"/>
          </w:tcPr>
          <w:p>
            <w:pPr>
              <w:spacing w:line="240" w:lineRule="auto"/>
              <w:jc w:val="center"/>
              <w:rPr>
                <w:szCs w:val="21"/>
              </w:rPr>
            </w:pPr>
            <w:r>
              <w:rPr>
                <w:rFonts w:hint="eastAsia"/>
                <w:szCs w:val="21"/>
              </w:rPr>
              <w:t>序号</w:t>
            </w:r>
          </w:p>
        </w:tc>
        <w:tc>
          <w:tcPr>
            <w:tcW w:w="1322" w:type="dxa"/>
            <w:vAlign w:val="center"/>
          </w:tcPr>
          <w:p>
            <w:pPr>
              <w:spacing w:line="240" w:lineRule="auto"/>
              <w:jc w:val="center"/>
              <w:rPr>
                <w:szCs w:val="21"/>
              </w:rPr>
            </w:pPr>
            <w:r>
              <w:rPr>
                <w:rFonts w:hint="eastAsia"/>
                <w:szCs w:val="21"/>
              </w:rPr>
              <w:t>评分因素</w:t>
            </w:r>
          </w:p>
        </w:tc>
        <w:tc>
          <w:tcPr>
            <w:tcW w:w="720" w:type="dxa"/>
            <w:vAlign w:val="center"/>
          </w:tcPr>
          <w:p>
            <w:pPr>
              <w:spacing w:line="240" w:lineRule="auto"/>
              <w:jc w:val="center"/>
              <w:rPr>
                <w:szCs w:val="21"/>
              </w:rPr>
            </w:pPr>
            <w:r>
              <w:rPr>
                <w:rFonts w:hint="eastAsia"/>
                <w:szCs w:val="21"/>
              </w:rPr>
              <w:t>分值</w:t>
            </w:r>
          </w:p>
        </w:tc>
        <w:tc>
          <w:tcPr>
            <w:tcW w:w="675" w:type="dxa"/>
            <w:vAlign w:val="center"/>
          </w:tcPr>
          <w:p>
            <w:pPr>
              <w:spacing w:line="240" w:lineRule="auto"/>
              <w:jc w:val="center"/>
              <w:rPr>
                <w:szCs w:val="21"/>
              </w:rPr>
            </w:pPr>
            <w:r>
              <w:rPr>
                <w:rFonts w:hint="eastAsia"/>
                <w:szCs w:val="21"/>
              </w:rPr>
              <w:t>评分方式</w:t>
            </w:r>
          </w:p>
        </w:tc>
        <w:tc>
          <w:tcPr>
            <w:tcW w:w="4441" w:type="dxa"/>
            <w:vAlign w:val="center"/>
          </w:tcPr>
          <w:p>
            <w:pPr>
              <w:spacing w:line="240" w:lineRule="auto"/>
              <w:jc w:val="center"/>
              <w:rPr>
                <w:szCs w:val="21"/>
              </w:rPr>
            </w:pPr>
            <w:r>
              <w:rPr>
                <w:rFonts w:hint="eastAsia"/>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0" w:hRule="atLeast"/>
          <w:jc w:val="center"/>
        </w:trPr>
        <w:tc>
          <w:tcPr>
            <w:tcW w:w="399" w:type="dxa"/>
            <w:vMerge w:val="continue"/>
            <w:vAlign w:val="center"/>
          </w:tcPr>
          <w:p>
            <w:pPr>
              <w:spacing w:line="240" w:lineRule="auto"/>
              <w:jc w:val="center"/>
              <w:rPr>
                <w:szCs w:val="21"/>
              </w:rPr>
            </w:pPr>
          </w:p>
        </w:tc>
        <w:tc>
          <w:tcPr>
            <w:tcW w:w="441" w:type="dxa"/>
            <w:vAlign w:val="center"/>
          </w:tcPr>
          <w:p>
            <w:pPr>
              <w:tabs>
                <w:tab w:val="left" w:pos="426"/>
              </w:tabs>
              <w:spacing w:line="240" w:lineRule="auto"/>
              <w:jc w:val="center"/>
              <w:rPr>
                <w:rFonts w:hint="eastAsia" w:eastAsiaTheme="minorEastAsia"/>
                <w:szCs w:val="21"/>
                <w:lang w:eastAsia="zh-CN"/>
              </w:rPr>
            </w:pPr>
            <w:r>
              <w:rPr>
                <w:rFonts w:hint="eastAsia"/>
                <w:szCs w:val="21"/>
                <w:lang w:val="en-US" w:eastAsia="zh-CN"/>
              </w:rPr>
              <w:t>1</w:t>
            </w:r>
          </w:p>
        </w:tc>
        <w:tc>
          <w:tcPr>
            <w:tcW w:w="1322" w:type="dxa"/>
            <w:vAlign w:val="center"/>
          </w:tcPr>
          <w:p>
            <w:pPr>
              <w:pStyle w:val="3"/>
              <w:pBdr>
                <w:bottom w:val="none" w:color="auto" w:sz="0" w:space="0"/>
              </w:pBdr>
              <w:tabs>
                <w:tab w:val="clear" w:pos="4153"/>
                <w:tab w:val="clear" w:pos="8306"/>
              </w:tabs>
              <w:spacing w:line="240" w:lineRule="auto"/>
              <w:jc w:val="center"/>
              <w:rPr>
                <w:rFonts w:ascii="宋体" w:hAnsi="宋体"/>
                <w:sz w:val="21"/>
                <w:szCs w:val="21"/>
              </w:rPr>
            </w:pPr>
            <w:r>
              <w:rPr>
                <w:rFonts w:hint="eastAsia" w:ascii="宋体" w:hAnsi="宋体"/>
                <w:sz w:val="21"/>
                <w:szCs w:val="21"/>
              </w:rPr>
              <w:t>售后服务方案</w:t>
            </w:r>
          </w:p>
        </w:tc>
        <w:tc>
          <w:tcPr>
            <w:tcW w:w="720" w:type="dxa"/>
            <w:vAlign w:val="center"/>
          </w:tcPr>
          <w:p>
            <w:pPr>
              <w:pStyle w:val="3"/>
              <w:pBdr>
                <w:bottom w:val="none" w:color="auto" w:sz="0" w:space="0"/>
              </w:pBdr>
              <w:tabs>
                <w:tab w:val="clear" w:pos="4153"/>
                <w:tab w:val="clear" w:pos="8306"/>
              </w:tabs>
              <w:spacing w:line="240" w:lineRule="auto"/>
              <w:jc w:val="center"/>
              <w:rPr>
                <w:rFonts w:hint="default" w:ascii="宋体" w:hAnsi="宋体" w:eastAsia="宋体"/>
                <w:sz w:val="21"/>
                <w:szCs w:val="21"/>
                <w:lang w:val="en-US" w:eastAsia="zh-CN"/>
              </w:rPr>
            </w:pPr>
            <w:r>
              <w:rPr>
                <w:rFonts w:hint="eastAsia" w:ascii="宋体" w:hAnsi="宋体" w:eastAsia="宋体"/>
                <w:sz w:val="21"/>
                <w:szCs w:val="21"/>
                <w:lang w:val="en-US" w:eastAsia="zh-CN"/>
              </w:rPr>
              <w:t>25</w:t>
            </w:r>
          </w:p>
        </w:tc>
        <w:tc>
          <w:tcPr>
            <w:tcW w:w="675" w:type="dxa"/>
            <w:vAlign w:val="center"/>
          </w:tcPr>
          <w:p>
            <w:pPr>
              <w:tabs>
                <w:tab w:val="left" w:pos="426"/>
              </w:tabs>
              <w:spacing w:line="240" w:lineRule="auto"/>
              <w:jc w:val="center"/>
              <w:rPr>
                <w:szCs w:val="21"/>
              </w:rPr>
            </w:pPr>
            <w:r>
              <w:rPr>
                <w:rFonts w:hint="eastAsia"/>
                <w:szCs w:val="21"/>
              </w:rPr>
              <w:t>专家评分</w:t>
            </w:r>
          </w:p>
        </w:tc>
        <w:tc>
          <w:tcPr>
            <w:tcW w:w="4441" w:type="dxa"/>
            <w:vAlign w:val="center"/>
          </w:tcPr>
          <w:p>
            <w:pPr>
              <w:widowControl w:val="0"/>
              <w:shd w:val="clear" w:color="auto" w:fill="auto"/>
              <w:tabs>
                <w:tab w:val="left" w:pos="426"/>
              </w:tabs>
              <w:adjustRightInd/>
              <w:snapToGrid/>
              <w:spacing w:line="240" w:lineRule="auto"/>
              <w:rPr>
                <w:b/>
                <w:kern w:val="2"/>
                <w:szCs w:val="21"/>
              </w:rPr>
            </w:pPr>
            <w:r>
              <w:rPr>
                <w:rFonts w:hint="eastAsia"/>
                <w:b/>
                <w:kern w:val="2"/>
                <w:szCs w:val="21"/>
              </w:rPr>
              <w:t>（一）评分内容：</w:t>
            </w:r>
          </w:p>
          <w:p>
            <w:pPr>
              <w:widowControl w:val="0"/>
              <w:shd w:val="clear" w:color="auto" w:fill="auto"/>
              <w:tabs>
                <w:tab w:val="left" w:pos="426"/>
              </w:tabs>
              <w:adjustRightInd/>
              <w:snapToGrid/>
              <w:spacing w:line="240" w:lineRule="auto"/>
              <w:rPr>
                <w:kern w:val="2"/>
                <w:szCs w:val="21"/>
              </w:rPr>
            </w:pPr>
            <w:r>
              <w:rPr>
                <w:rFonts w:hint="eastAsia"/>
                <w:kern w:val="2"/>
                <w:szCs w:val="21"/>
              </w:rPr>
              <w:t>投标人根据本项目的需求</w:t>
            </w:r>
            <w:r>
              <w:rPr>
                <w:rFonts w:hint="eastAsia"/>
                <w:kern w:val="2"/>
                <w:szCs w:val="21"/>
                <w:lang w:eastAsia="zh-CN"/>
              </w:rPr>
              <w:t>（</w:t>
            </w:r>
            <w:r>
              <w:rPr>
                <w:rFonts w:hint="eastAsia"/>
                <w:kern w:val="2"/>
                <w:szCs w:val="21"/>
                <w:lang w:val="en-US" w:eastAsia="zh-CN"/>
              </w:rPr>
              <w:t>需要制作的物品</w:t>
            </w:r>
            <w:r>
              <w:rPr>
                <w:rFonts w:hint="eastAsia"/>
                <w:kern w:val="2"/>
                <w:szCs w:val="21"/>
                <w:lang w:eastAsia="zh-CN"/>
              </w:rPr>
              <w:t>）</w:t>
            </w:r>
            <w:r>
              <w:rPr>
                <w:rFonts w:hint="eastAsia"/>
                <w:kern w:val="2"/>
                <w:szCs w:val="21"/>
              </w:rPr>
              <w:t>制定售后服务方案（包括但不限于售后服务机构及维护人员配置、售后服务响应时间及备品备件支持计划），根据响应情况进行评审：</w:t>
            </w:r>
          </w:p>
          <w:p>
            <w:pPr>
              <w:widowControl w:val="0"/>
              <w:shd w:val="clear" w:color="auto" w:fill="auto"/>
              <w:tabs>
                <w:tab w:val="left" w:pos="426"/>
              </w:tabs>
              <w:adjustRightInd/>
              <w:snapToGrid/>
              <w:spacing w:line="240" w:lineRule="auto"/>
              <w:rPr>
                <w:kern w:val="2"/>
                <w:szCs w:val="21"/>
              </w:rPr>
            </w:pPr>
            <w:r>
              <w:rPr>
                <w:rFonts w:hint="eastAsia"/>
                <w:kern w:val="2"/>
                <w:szCs w:val="21"/>
              </w:rPr>
              <w:t>（</w:t>
            </w:r>
            <w:r>
              <w:rPr>
                <w:kern w:val="2"/>
                <w:szCs w:val="21"/>
              </w:rPr>
              <w:t>1）售后服务机构及维护人员配置合理；</w:t>
            </w:r>
          </w:p>
          <w:p>
            <w:pPr>
              <w:widowControl w:val="0"/>
              <w:shd w:val="clear" w:color="auto" w:fill="auto"/>
              <w:tabs>
                <w:tab w:val="left" w:pos="426"/>
              </w:tabs>
              <w:adjustRightInd/>
              <w:snapToGrid/>
              <w:spacing w:line="240" w:lineRule="auto"/>
              <w:rPr>
                <w:kern w:val="2"/>
                <w:szCs w:val="21"/>
              </w:rPr>
            </w:pPr>
            <w:r>
              <w:rPr>
                <w:rFonts w:hint="eastAsia"/>
                <w:kern w:val="2"/>
                <w:szCs w:val="21"/>
              </w:rPr>
              <w:t>（</w:t>
            </w:r>
            <w:r>
              <w:rPr>
                <w:kern w:val="2"/>
                <w:szCs w:val="21"/>
              </w:rPr>
              <w:t>2）</w:t>
            </w:r>
            <w:r>
              <w:rPr>
                <w:rFonts w:hint="eastAsia"/>
                <w:bCs/>
                <w:szCs w:val="21"/>
              </w:rPr>
              <w:t>设有售后服务机构，</w:t>
            </w:r>
            <w:r>
              <w:rPr>
                <w:rFonts w:hint="eastAsia" w:cs="仿宋"/>
                <w:szCs w:val="21"/>
              </w:rPr>
              <w:t>售后服务现场</w:t>
            </w:r>
            <w:r>
              <w:rPr>
                <w:rFonts w:hint="eastAsia"/>
              </w:rPr>
              <w:t>响应时间满足半小时内响应</w:t>
            </w:r>
            <w:r>
              <w:rPr>
                <w:rFonts w:hint="eastAsia"/>
                <w:lang w:eastAsia="zh-CN"/>
              </w:rPr>
              <w:t>，</w:t>
            </w:r>
            <w:r>
              <w:rPr>
                <w:rFonts w:hint="eastAsia"/>
                <w:bCs/>
                <w:szCs w:val="21"/>
              </w:rPr>
              <w:t>并提供其服务机构、响应时间的证明材料及详细的地址、联系方式</w:t>
            </w:r>
            <w:r>
              <w:rPr>
                <w:rFonts w:hint="eastAsia" w:cs="仿宋"/>
                <w:szCs w:val="21"/>
              </w:rPr>
              <w:t>；</w:t>
            </w:r>
          </w:p>
          <w:p>
            <w:pPr>
              <w:widowControl w:val="0"/>
              <w:shd w:val="clear" w:color="auto" w:fill="auto"/>
              <w:tabs>
                <w:tab w:val="left" w:pos="426"/>
              </w:tabs>
              <w:adjustRightInd/>
              <w:snapToGrid/>
              <w:spacing w:line="240" w:lineRule="auto"/>
              <w:rPr>
                <w:kern w:val="2"/>
                <w:szCs w:val="21"/>
              </w:rPr>
            </w:pPr>
            <w:r>
              <w:rPr>
                <w:rFonts w:hint="eastAsia"/>
                <w:kern w:val="2"/>
                <w:szCs w:val="21"/>
              </w:rPr>
              <w:t>（</w:t>
            </w:r>
            <w:r>
              <w:rPr>
                <w:kern w:val="2"/>
                <w:szCs w:val="21"/>
              </w:rPr>
              <w:t>3）备品备件支持计划内容具体，可行性高。</w:t>
            </w:r>
          </w:p>
          <w:p>
            <w:pPr>
              <w:widowControl w:val="0"/>
              <w:shd w:val="clear" w:color="auto" w:fill="auto"/>
              <w:tabs>
                <w:tab w:val="left" w:pos="426"/>
              </w:tabs>
              <w:adjustRightInd/>
              <w:snapToGrid/>
              <w:spacing w:line="240" w:lineRule="auto"/>
              <w:rPr>
                <w:rFonts w:hint="eastAsia" w:eastAsiaTheme="minorEastAsia"/>
                <w:b/>
                <w:kern w:val="2"/>
                <w:szCs w:val="21"/>
                <w:lang w:eastAsia="zh-CN"/>
              </w:rPr>
            </w:pPr>
            <w:r>
              <w:rPr>
                <w:rFonts w:hint="eastAsia"/>
                <w:b/>
                <w:kern w:val="2"/>
                <w:szCs w:val="21"/>
              </w:rPr>
              <w:t>（二）评分依据</w:t>
            </w:r>
          </w:p>
          <w:p>
            <w:pPr>
              <w:widowControl w:val="0"/>
              <w:shd w:val="clear" w:color="auto" w:fill="auto"/>
              <w:tabs>
                <w:tab w:val="left" w:pos="426"/>
              </w:tabs>
              <w:adjustRightInd/>
              <w:snapToGrid/>
              <w:spacing w:line="240" w:lineRule="auto"/>
              <w:rPr>
                <w:kern w:val="2"/>
                <w:szCs w:val="21"/>
              </w:rPr>
            </w:pPr>
            <w:r>
              <w:rPr>
                <w:kern w:val="2"/>
                <w:szCs w:val="21"/>
              </w:rPr>
              <w:t>1.</w:t>
            </w:r>
            <w:r>
              <w:rPr>
                <w:rFonts w:hint="eastAsia"/>
                <w:kern w:val="2"/>
                <w:szCs w:val="21"/>
              </w:rPr>
              <w:t>每</w:t>
            </w:r>
            <w:r>
              <w:rPr>
                <w:kern w:val="2"/>
                <w:szCs w:val="21"/>
              </w:rPr>
              <w:t>满足以上一项要求得</w:t>
            </w:r>
            <w:r>
              <w:rPr>
                <w:rFonts w:hint="eastAsia"/>
                <w:kern w:val="2"/>
                <w:szCs w:val="21"/>
                <w:lang w:val="en-US" w:eastAsia="zh-CN"/>
              </w:rPr>
              <w:t>2</w:t>
            </w:r>
            <w:r>
              <w:rPr>
                <w:kern w:val="2"/>
                <w:szCs w:val="21"/>
              </w:rPr>
              <w:t>分，三项全部提供得</w:t>
            </w:r>
            <w:r>
              <w:rPr>
                <w:rFonts w:hint="eastAsia"/>
                <w:kern w:val="2"/>
                <w:szCs w:val="21"/>
                <w:lang w:val="en-US" w:eastAsia="zh-CN"/>
              </w:rPr>
              <w:t>6</w:t>
            </w:r>
            <w:r>
              <w:rPr>
                <w:kern w:val="2"/>
                <w:szCs w:val="21"/>
              </w:rPr>
              <w:t>分。</w:t>
            </w:r>
          </w:p>
          <w:p>
            <w:pPr>
              <w:widowControl w:val="0"/>
              <w:shd w:val="clear" w:color="auto" w:fill="auto"/>
              <w:tabs>
                <w:tab w:val="left" w:pos="426"/>
              </w:tabs>
              <w:adjustRightInd/>
              <w:snapToGrid/>
              <w:spacing w:line="240" w:lineRule="auto"/>
              <w:rPr>
                <w:kern w:val="2"/>
                <w:szCs w:val="21"/>
              </w:rPr>
            </w:pPr>
            <w:r>
              <w:rPr>
                <w:kern w:val="2"/>
                <w:szCs w:val="21"/>
              </w:rPr>
              <w:t>2.在此基础上，评审委员会根据响应情况进一步评审：</w:t>
            </w:r>
          </w:p>
          <w:p>
            <w:pPr>
              <w:widowControl w:val="0"/>
              <w:shd w:val="clear" w:color="auto" w:fill="auto"/>
              <w:tabs>
                <w:tab w:val="left" w:pos="426"/>
              </w:tabs>
              <w:adjustRightInd/>
              <w:snapToGrid/>
              <w:spacing w:line="240" w:lineRule="auto"/>
              <w:rPr>
                <w:kern w:val="2"/>
                <w:szCs w:val="21"/>
              </w:rPr>
            </w:pPr>
            <w:r>
              <w:rPr>
                <w:rFonts w:hint="eastAsia"/>
                <w:kern w:val="2"/>
                <w:szCs w:val="21"/>
              </w:rPr>
              <w:t>（</w:t>
            </w:r>
            <w:r>
              <w:rPr>
                <w:kern w:val="2"/>
                <w:szCs w:val="21"/>
              </w:rPr>
              <w:t>1）项目售后服务方案可行性高，科学合理性强，内容完整的，评价为优，</w:t>
            </w:r>
            <w:r>
              <w:rPr>
                <w:rFonts w:hint="eastAsia"/>
                <w:kern w:val="2"/>
                <w:szCs w:val="21"/>
              </w:rPr>
              <w:t>加</w:t>
            </w:r>
            <w:r>
              <w:rPr>
                <w:rFonts w:hint="eastAsia"/>
                <w:kern w:val="2"/>
                <w:szCs w:val="21"/>
                <w:lang w:val="en-US" w:eastAsia="zh-CN"/>
              </w:rPr>
              <w:t>16~19</w:t>
            </w:r>
            <w:r>
              <w:rPr>
                <w:kern w:val="2"/>
                <w:szCs w:val="21"/>
              </w:rPr>
              <w:t>分；</w:t>
            </w:r>
          </w:p>
          <w:p>
            <w:pPr>
              <w:widowControl w:val="0"/>
              <w:shd w:val="clear" w:color="auto" w:fill="auto"/>
              <w:tabs>
                <w:tab w:val="left" w:pos="426"/>
              </w:tabs>
              <w:adjustRightInd/>
              <w:snapToGrid/>
              <w:spacing w:line="240" w:lineRule="auto"/>
              <w:rPr>
                <w:kern w:val="2"/>
                <w:szCs w:val="21"/>
              </w:rPr>
            </w:pPr>
            <w:r>
              <w:rPr>
                <w:rFonts w:hint="eastAsia"/>
                <w:kern w:val="2"/>
                <w:szCs w:val="21"/>
              </w:rPr>
              <w:t>（</w:t>
            </w:r>
            <w:r>
              <w:rPr>
                <w:kern w:val="2"/>
                <w:szCs w:val="21"/>
              </w:rPr>
              <w:t>2）项目售后服务方案可行性较高，科学合理性较强，内容较完整的，评价为良，</w:t>
            </w:r>
            <w:r>
              <w:rPr>
                <w:rFonts w:hint="eastAsia"/>
                <w:kern w:val="2"/>
                <w:szCs w:val="21"/>
              </w:rPr>
              <w:t>加</w:t>
            </w:r>
            <w:r>
              <w:rPr>
                <w:rFonts w:hint="eastAsia"/>
                <w:kern w:val="2"/>
                <w:szCs w:val="21"/>
                <w:lang w:val="en-US" w:eastAsia="zh-CN"/>
              </w:rPr>
              <w:t>9~15</w:t>
            </w:r>
            <w:r>
              <w:rPr>
                <w:kern w:val="2"/>
                <w:szCs w:val="21"/>
              </w:rPr>
              <w:t>分；</w:t>
            </w:r>
          </w:p>
          <w:p>
            <w:pPr>
              <w:widowControl w:val="0"/>
              <w:shd w:val="clear" w:color="auto" w:fill="auto"/>
              <w:tabs>
                <w:tab w:val="left" w:pos="426"/>
              </w:tabs>
              <w:adjustRightInd/>
              <w:snapToGrid/>
              <w:spacing w:line="240" w:lineRule="auto"/>
              <w:rPr>
                <w:kern w:val="2"/>
                <w:szCs w:val="21"/>
              </w:rPr>
            </w:pPr>
            <w:r>
              <w:rPr>
                <w:rFonts w:hint="eastAsia"/>
                <w:kern w:val="2"/>
                <w:szCs w:val="21"/>
              </w:rPr>
              <w:t>（</w:t>
            </w:r>
            <w:r>
              <w:rPr>
                <w:kern w:val="2"/>
                <w:szCs w:val="21"/>
              </w:rPr>
              <w:t>3）项目售后服务方案可行性一般，科学合理性一般，内容基本响应的，评价为中，</w:t>
            </w:r>
            <w:r>
              <w:rPr>
                <w:rFonts w:hint="eastAsia"/>
                <w:kern w:val="2"/>
                <w:szCs w:val="21"/>
              </w:rPr>
              <w:t>加</w:t>
            </w:r>
            <w:r>
              <w:rPr>
                <w:rFonts w:hint="eastAsia"/>
                <w:kern w:val="2"/>
                <w:szCs w:val="21"/>
                <w:lang w:val="en-US" w:eastAsia="zh-CN"/>
              </w:rPr>
              <w:t>1~8</w:t>
            </w:r>
            <w:r>
              <w:rPr>
                <w:kern w:val="2"/>
                <w:szCs w:val="21"/>
              </w:rPr>
              <w:t>分；</w:t>
            </w:r>
          </w:p>
          <w:p>
            <w:pPr>
              <w:widowControl w:val="0"/>
              <w:shd w:val="clear" w:color="auto" w:fill="auto"/>
              <w:tabs>
                <w:tab w:val="left" w:pos="426"/>
              </w:tabs>
              <w:adjustRightInd/>
              <w:snapToGrid/>
              <w:spacing w:line="240" w:lineRule="auto"/>
              <w:rPr>
                <w:kern w:val="2"/>
                <w:szCs w:val="21"/>
              </w:rPr>
            </w:pPr>
            <w:r>
              <w:rPr>
                <w:rFonts w:hint="eastAsia"/>
                <w:kern w:val="2"/>
                <w:szCs w:val="21"/>
              </w:rPr>
              <w:t>（</w:t>
            </w:r>
            <w:r>
              <w:rPr>
                <w:kern w:val="2"/>
                <w:szCs w:val="21"/>
              </w:rPr>
              <w:t>4）项目售后服务方案可行性、科学合理性差，内容欠缺的，评价为差，不得分。</w:t>
            </w:r>
          </w:p>
          <w:p>
            <w:pPr>
              <w:widowControl w:val="0"/>
              <w:shd w:val="clear" w:color="auto" w:fill="auto"/>
              <w:tabs>
                <w:tab w:val="left" w:pos="426"/>
              </w:tabs>
              <w:adjustRightInd/>
              <w:snapToGrid/>
              <w:spacing w:line="240" w:lineRule="auto"/>
              <w:rPr>
                <w:rFonts w:hint="eastAsia"/>
                <w:kern w:val="2"/>
                <w:szCs w:val="21"/>
              </w:rPr>
            </w:pPr>
            <w:r>
              <w:rPr>
                <w:rFonts w:hint="eastAsia"/>
                <w:kern w:val="2"/>
                <w:szCs w:val="21"/>
              </w:rPr>
              <w:t>要求提供承诺（格式自定）作为得分依据，未提供承诺或承诺内容不满足要求不得分。</w:t>
            </w:r>
          </w:p>
          <w:p>
            <w:pPr>
              <w:tabs>
                <w:tab w:val="left" w:pos="426"/>
              </w:tabs>
              <w:spacing w:line="240" w:lineRule="auto"/>
              <w:jc w:val="left"/>
              <w:rPr>
                <w:b/>
                <w:bCs/>
                <w:szCs w:val="21"/>
              </w:rPr>
            </w:pPr>
            <w:r>
              <w:rPr>
                <w:kern w:val="2"/>
                <w:szCs w:val="21"/>
              </w:rPr>
              <w:t>3.以上2项得分累计，最高得</w:t>
            </w:r>
            <w:r>
              <w:rPr>
                <w:rFonts w:hint="eastAsia"/>
                <w:kern w:val="2"/>
                <w:szCs w:val="21"/>
                <w:lang w:val="en-US" w:eastAsia="zh-CN"/>
              </w:rPr>
              <w:t>25</w:t>
            </w:r>
            <w:r>
              <w:rPr>
                <w:kern w:val="2"/>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jc w:val="center"/>
        </w:trPr>
        <w:tc>
          <w:tcPr>
            <w:tcW w:w="399" w:type="dxa"/>
            <w:vAlign w:val="center"/>
          </w:tcPr>
          <w:p>
            <w:pPr>
              <w:spacing w:line="240" w:lineRule="auto"/>
              <w:jc w:val="center"/>
              <w:rPr>
                <w:szCs w:val="21"/>
              </w:rPr>
            </w:pPr>
          </w:p>
        </w:tc>
        <w:tc>
          <w:tcPr>
            <w:tcW w:w="441" w:type="dxa"/>
            <w:vAlign w:val="center"/>
          </w:tcPr>
          <w:p>
            <w:pPr>
              <w:tabs>
                <w:tab w:val="left" w:pos="426"/>
              </w:tabs>
              <w:spacing w:line="240" w:lineRule="auto"/>
              <w:jc w:val="center"/>
              <w:rPr>
                <w:rFonts w:hint="eastAsia" w:eastAsiaTheme="minorEastAsia"/>
                <w:szCs w:val="21"/>
                <w:lang w:eastAsia="zh-CN"/>
              </w:rPr>
            </w:pPr>
            <w:r>
              <w:rPr>
                <w:rFonts w:hint="eastAsia"/>
                <w:szCs w:val="21"/>
                <w:lang w:val="en-US" w:eastAsia="zh-CN"/>
              </w:rPr>
              <w:t>2</w:t>
            </w:r>
          </w:p>
        </w:tc>
        <w:tc>
          <w:tcPr>
            <w:tcW w:w="1322" w:type="dxa"/>
            <w:vAlign w:val="center"/>
          </w:tcPr>
          <w:p>
            <w:pPr>
              <w:wordWrap w:val="0"/>
              <w:jc w:val="center"/>
              <w:rPr>
                <w:rFonts w:ascii="Times New Roman" w:hAnsi="Times New Roman" w:eastAsia="宋体" w:cs="Times New Roman"/>
                <w:kern w:val="2"/>
                <w:sz w:val="21"/>
                <w:szCs w:val="21"/>
                <w:lang w:val="en-US" w:eastAsia="zh-CN" w:bidi="ar-SA"/>
              </w:rPr>
            </w:pPr>
            <w:r>
              <w:rPr>
                <w:szCs w:val="21"/>
              </w:rPr>
              <w:t>排版设计制作方案</w:t>
            </w:r>
          </w:p>
        </w:tc>
        <w:tc>
          <w:tcPr>
            <w:tcW w:w="720" w:type="dxa"/>
            <w:vAlign w:val="center"/>
          </w:tcPr>
          <w:p>
            <w:pPr>
              <w:wordWrap w:val="0"/>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30</w:t>
            </w:r>
          </w:p>
        </w:tc>
        <w:tc>
          <w:tcPr>
            <w:tcW w:w="675" w:type="dxa"/>
            <w:vAlign w:val="center"/>
          </w:tcPr>
          <w:p>
            <w:pPr>
              <w:wordWrap w:val="0"/>
              <w:jc w:val="center"/>
              <w:rPr>
                <w:rFonts w:ascii="Times New Roman" w:hAnsi="Times New Roman" w:eastAsia="宋体" w:cs="Times New Roman"/>
                <w:kern w:val="2"/>
                <w:sz w:val="21"/>
                <w:szCs w:val="21"/>
                <w:lang w:val="en-US" w:eastAsia="zh-CN" w:bidi="ar-SA"/>
              </w:rPr>
            </w:pPr>
            <w:r>
              <w:rPr>
                <w:rFonts w:hint="eastAsia"/>
                <w:szCs w:val="21"/>
              </w:rPr>
              <w:t>专家评分</w:t>
            </w:r>
          </w:p>
        </w:tc>
        <w:tc>
          <w:tcPr>
            <w:tcW w:w="4441" w:type="dxa"/>
            <w:vAlign w:val="top"/>
          </w:tcPr>
          <w:p>
            <w:pPr>
              <w:wordWrap w:val="0"/>
              <w:jc w:val="left"/>
              <w:rPr>
                <w:szCs w:val="21"/>
              </w:rPr>
            </w:pPr>
            <w:r>
              <w:rPr>
                <w:szCs w:val="21"/>
              </w:rPr>
              <w:t xml:space="preserve">（一）评分内容： </w:t>
            </w:r>
          </w:p>
          <w:p>
            <w:pPr>
              <w:wordWrap w:val="0"/>
              <w:rPr>
                <w:szCs w:val="21"/>
              </w:rPr>
            </w:pPr>
            <w:r>
              <w:rPr>
                <w:szCs w:val="21"/>
              </w:rPr>
              <w:t xml:space="preserve">考察投标人对本项目的排版设计制作方案，包含： </w:t>
            </w:r>
          </w:p>
          <w:p>
            <w:pPr>
              <w:wordWrap w:val="0"/>
              <w:rPr>
                <w:szCs w:val="21"/>
              </w:rPr>
            </w:pPr>
            <w:r>
              <w:rPr>
                <w:szCs w:val="21"/>
              </w:rPr>
              <w:t xml:space="preserve">1、排版设计； </w:t>
            </w:r>
          </w:p>
          <w:p>
            <w:pPr>
              <w:wordWrap w:val="0"/>
              <w:rPr>
                <w:szCs w:val="21"/>
              </w:rPr>
            </w:pPr>
            <w:r>
              <w:rPr>
                <w:szCs w:val="21"/>
              </w:rPr>
              <w:t>2、</w:t>
            </w:r>
            <w:r>
              <w:rPr>
                <w:rFonts w:hint="eastAsia"/>
                <w:szCs w:val="21"/>
                <w:lang w:val="en-US" w:eastAsia="zh-CN"/>
              </w:rPr>
              <w:t>制作材料质量</w:t>
            </w:r>
            <w:r>
              <w:rPr>
                <w:szCs w:val="21"/>
              </w:rPr>
              <w:t xml:space="preserve">； </w:t>
            </w:r>
          </w:p>
          <w:p>
            <w:pPr>
              <w:wordWrap w:val="0"/>
              <w:rPr>
                <w:szCs w:val="21"/>
              </w:rPr>
            </w:pPr>
            <w:r>
              <w:rPr>
                <w:szCs w:val="21"/>
              </w:rPr>
              <w:t>3、</w:t>
            </w:r>
            <w:r>
              <w:rPr>
                <w:rFonts w:hint="eastAsia"/>
                <w:szCs w:val="21"/>
                <w:lang w:val="en-US" w:eastAsia="zh-CN"/>
              </w:rPr>
              <w:t>印刷装订质量</w:t>
            </w:r>
            <w:r>
              <w:rPr>
                <w:szCs w:val="21"/>
              </w:rPr>
              <w:t xml:space="preserve">； </w:t>
            </w:r>
          </w:p>
          <w:p>
            <w:pPr>
              <w:wordWrap w:val="0"/>
              <w:rPr>
                <w:szCs w:val="21"/>
              </w:rPr>
            </w:pPr>
            <w:r>
              <w:rPr>
                <w:szCs w:val="21"/>
              </w:rPr>
              <w:t xml:space="preserve">4、定稿时需要组织专业核对人员为所承印印刷品专行校对。 </w:t>
            </w:r>
          </w:p>
          <w:p>
            <w:pPr>
              <w:wordWrap w:val="0"/>
              <w:rPr>
                <w:szCs w:val="21"/>
              </w:rPr>
            </w:pPr>
            <w:r>
              <w:rPr>
                <w:szCs w:val="21"/>
              </w:rPr>
              <w:t xml:space="preserve">（二）评分依据： </w:t>
            </w:r>
          </w:p>
          <w:p>
            <w:pPr>
              <w:wordWrap w:val="0"/>
              <w:rPr>
                <w:szCs w:val="21"/>
              </w:rPr>
            </w:pPr>
            <w:r>
              <w:rPr>
                <w:szCs w:val="21"/>
              </w:rPr>
              <w:t>1、每提供上述一项内容的得</w:t>
            </w:r>
            <w:r>
              <w:rPr>
                <w:rFonts w:hint="eastAsia"/>
                <w:szCs w:val="21"/>
                <w:lang w:val="en-US" w:eastAsia="zh-CN"/>
              </w:rPr>
              <w:t>2分</w:t>
            </w:r>
            <w:r>
              <w:rPr>
                <w:szCs w:val="21"/>
              </w:rPr>
              <w:t>，最高得</w:t>
            </w:r>
            <w:r>
              <w:rPr>
                <w:rFonts w:hint="eastAsia"/>
                <w:szCs w:val="21"/>
                <w:lang w:val="en-US" w:eastAsia="zh-CN"/>
              </w:rPr>
              <w:t>8分</w:t>
            </w:r>
            <w:r>
              <w:rPr>
                <w:szCs w:val="21"/>
              </w:rPr>
              <w:t xml:space="preserve">； </w:t>
            </w:r>
          </w:p>
          <w:p>
            <w:pPr>
              <w:wordWrap w:val="0"/>
              <w:rPr>
                <w:szCs w:val="21"/>
              </w:rPr>
            </w:pPr>
            <w:r>
              <w:rPr>
                <w:szCs w:val="21"/>
              </w:rPr>
              <w:t xml:space="preserve">2、在此基础上，由评审委员进行评价： </w:t>
            </w:r>
          </w:p>
          <w:p>
            <w:pPr>
              <w:wordWrap w:val="0"/>
              <w:rPr>
                <w:szCs w:val="21"/>
              </w:rPr>
            </w:pPr>
            <w:r>
              <w:rPr>
                <w:szCs w:val="21"/>
              </w:rPr>
              <w:t>（1）方案整体科学合理、针对性强、可操作性强，评审为优，加</w:t>
            </w:r>
            <w:r>
              <w:rPr>
                <w:rFonts w:hint="eastAsia"/>
                <w:szCs w:val="21"/>
                <w:lang w:val="en-US" w:eastAsia="zh-CN"/>
              </w:rPr>
              <w:t>16~22分</w:t>
            </w:r>
            <w:r>
              <w:rPr>
                <w:szCs w:val="21"/>
              </w:rPr>
              <w:t xml:space="preserve">； </w:t>
            </w:r>
          </w:p>
          <w:p>
            <w:pPr>
              <w:wordWrap w:val="0"/>
              <w:rPr>
                <w:szCs w:val="21"/>
              </w:rPr>
            </w:pPr>
            <w:r>
              <w:rPr>
                <w:szCs w:val="21"/>
              </w:rPr>
              <w:t>（2）方案较合理、有一定针对性、一定可操作性，评审为良，加</w:t>
            </w:r>
            <w:r>
              <w:rPr>
                <w:rFonts w:hint="eastAsia"/>
                <w:szCs w:val="21"/>
                <w:lang w:val="en-US" w:eastAsia="zh-CN"/>
              </w:rPr>
              <w:t>9~15分</w:t>
            </w:r>
            <w:r>
              <w:rPr>
                <w:szCs w:val="21"/>
              </w:rPr>
              <w:t xml:space="preserve">； </w:t>
            </w:r>
          </w:p>
          <w:p>
            <w:pPr>
              <w:wordWrap w:val="0"/>
              <w:rPr>
                <w:szCs w:val="21"/>
              </w:rPr>
            </w:pPr>
            <w:r>
              <w:rPr>
                <w:szCs w:val="21"/>
              </w:rPr>
              <w:t>（3）方案不尽合理、针对性一般、可操作性一般，评审为中，加</w:t>
            </w:r>
            <w:r>
              <w:rPr>
                <w:rFonts w:hint="eastAsia"/>
                <w:szCs w:val="21"/>
                <w:lang w:val="en-US" w:eastAsia="zh-CN"/>
              </w:rPr>
              <w:t>1~8分</w:t>
            </w:r>
            <w:r>
              <w:rPr>
                <w:szCs w:val="21"/>
              </w:rPr>
              <w:t xml:space="preserve">； </w:t>
            </w:r>
          </w:p>
          <w:p>
            <w:pPr>
              <w:wordWrap w:val="0"/>
              <w:rPr>
                <w:rFonts w:ascii="Times New Roman" w:hAnsi="Times New Roman" w:eastAsia="宋体" w:cs="Times New Roman"/>
                <w:kern w:val="2"/>
                <w:sz w:val="21"/>
                <w:szCs w:val="21"/>
                <w:lang w:val="en-US" w:eastAsia="zh-CN" w:bidi="ar-SA"/>
              </w:rPr>
            </w:pPr>
            <w:r>
              <w:rPr>
                <w:szCs w:val="21"/>
              </w:rPr>
              <w:t>（4）方案不合理、无针对性、无可操作性，评审为差，不加分。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99" w:type="dxa"/>
            <w:vAlign w:val="center"/>
          </w:tcPr>
          <w:p>
            <w:pPr>
              <w:spacing w:line="240" w:lineRule="auto"/>
              <w:jc w:val="center"/>
              <w:rPr>
                <w:szCs w:val="21"/>
              </w:rPr>
            </w:pPr>
            <w:r>
              <w:rPr>
                <w:szCs w:val="21"/>
              </w:rPr>
              <w:t>3</w:t>
            </w:r>
          </w:p>
        </w:tc>
        <w:tc>
          <w:tcPr>
            <w:tcW w:w="3158" w:type="dxa"/>
            <w:gridSpan w:val="4"/>
            <w:vAlign w:val="center"/>
          </w:tcPr>
          <w:p>
            <w:pPr>
              <w:spacing w:line="240" w:lineRule="auto"/>
              <w:jc w:val="center"/>
              <w:rPr>
                <w:szCs w:val="21"/>
              </w:rPr>
            </w:pPr>
            <w:r>
              <w:rPr>
                <w:rFonts w:hint="eastAsia"/>
                <w:szCs w:val="21"/>
              </w:rPr>
              <w:t>综合实力部分</w:t>
            </w:r>
          </w:p>
        </w:tc>
        <w:tc>
          <w:tcPr>
            <w:tcW w:w="4441" w:type="dxa"/>
            <w:vAlign w:val="center"/>
          </w:tcPr>
          <w:p>
            <w:pPr>
              <w:spacing w:line="240" w:lineRule="auto"/>
              <w:jc w:val="center"/>
              <w:rPr>
                <w:rFonts w:hint="default" w:eastAsia="宋体"/>
                <w:szCs w:val="21"/>
                <w:lang w:val="en-US" w:eastAsia="zh-CN"/>
              </w:rPr>
            </w:pPr>
            <w:r>
              <w:rPr>
                <w:rFonts w:hint="eastAsia"/>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99" w:type="dxa"/>
            <w:vMerge w:val="restart"/>
            <w:tcBorders>
              <w:left w:val="single" w:color="auto" w:sz="4" w:space="0"/>
            </w:tcBorders>
            <w:vAlign w:val="center"/>
          </w:tcPr>
          <w:p>
            <w:pPr>
              <w:spacing w:line="240" w:lineRule="auto"/>
              <w:jc w:val="center"/>
              <w:rPr>
                <w:szCs w:val="21"/>
              </w:rPr>
            </w:pPr>
          </w:p>
        </w:tc>
        <w:tc>
          <w:tcPr>
            <w:tcW w:w="441" w:type="dxa"/>
            <w:vAlign w:val="center"/>
          </w:tcPr>
          <w:p>
            <w:pPr>
              <w:spacing w:line="240" w:lineRule="auto"/>
              <w:jc w:val="center"/>
              <w:rPr>
                <w:szCs w:val="21"/>
              </w:rPr>
            </w:pPr>
            <w:r>
              <w:rPr>
                <w:rFonts w:hint="eastAsia"/>
                <w:szCs w:val="21"/>
              </w:rPr>
              <w:t>序号</w:t>
            </w:r>
          </w:p>
        </w:tc>
        <w:tc>
          <w:tcPr>
            <w:tcW w:w="1322" w:type="dxa"/>
            <w:vAlign w:val="center"/>
          </w:tcPr>
          <w:p>
            <w:pPr>
              <w:spacing w:line="240" w:lineRule="auto"/>
              <w:jc w:val="center"/>
              <w:rPr>
                <w:szCs w:val="21"/>
              </w:rPr>
            </w:pPr>
            <w:r>
              <w:rPr>
                <w:rFonts w:hint="eastAsia"/>
                <w:szCs w:val="21"/>
              </w:rPr>
              <w:t>评分因素</w:t>
            </w:r>
          </w:p>
        </w:tc>
        <w:tc>
          <w:tcPr>
            <w:tcW w:w="720" w:type="dxa"/>
            <w:vAlign w:val="center"/>
          </w:tcPr>
          <w:p>
            <w:pPr>
              <w:spacing w:line="240" w:lineRule="auto"/>
              <w:jc w:val="center"/>
              <w:rPr>
                <w:szCs w:val="21"/>
              </w:rPr>
            </w:pPr>
            <w:r>
              <w:rPr>
                <w:rFonts w:hint="eastAsia"/>
                <w:szCs w:val="21"/>
              </w:rPr>
              <w:t>分值</w:t>
            </w:r>
          </w:p>
        </w:tc>
        <w:tc>
          <w:tcPr>
            <w:tcW w:w="675" w:type="dxa"/>
            <w:vAlign w:val="center"/>
          </w:tcPr>
          <w:p>
            <w:pPr>
              <w:spacing w:line="240" w:lineRule="auto"/>
              <w:jc w:val="center"/>
              <w:rPr>
                <w:szCs w:val="21"/>
              </w:rPr>
            </w:pPr>
            <w:r>
              <w:rPr>
                <w:rFonts w:hint="eastAsia"/>
                <w:szCs w:val="21"/>
              </w:rPr>
              <w:t>评分方式</w:t>
            </w:r>
          </w:p>
        </w:tc>
        <w:tc>
          <w:tcPr>
            <w:tcW w:w="4441" w:type="dxa"/>
            <w:vAlign w:val="center"/>
          </w:tcPr>
          <w:p>
            <w:pPr>
              <w:spacing w:line="240" w:lineRule="auto"/>
              <w:jc w:val="center"/>
              <w:rPr>
                <w:szCs w:val="21"/>
              </w:rPr>
            </w:pPr>
            <w:r>
              <w:rPr>
                <w:rFonts w:hint="eastAsia"/>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3" w:hRule="atLeast"/>
          <w:jc w:val="center"/>
        </w:trPr>
        <w:tc>
          <w:tcPr>
            <w:tcW w:w="399" w:type="dxa"/>
            <w:vMerge w:val="continue"/>
            <w:tcBorders>
              <w:left w:val="single" w:color="auto" w:sz="4" w:space="0"/>
            </w:tcBorders>
            <w:vAlign w:val="center"/>
          </w:tcPr>
          <w:p>
            <w:pPr>
              <w:spacing w:line="240" w:lineRule="auto"/>
              <w:jc w:val="center"/>
              <w:rPr>
                <w:szCs w:val="21"/>
              </w:rPr>
            </w:pPr>
            <w:bookmarkStart w:id="0" w:name="_Hlk65770619"/>
          </w:p>
        </w:tc>
        <w:tc>
          <w:tcPr>
            <w:tcW w:w="441" w:type="dxa"/>
            <w:vAlign w:val="center"/>
          </w:tcPr>
          <w:p>
            <w:pPr>
              <w:tabs>
                <w:tab w:val="left" w:pos="426"/>
              </w:tabs>
              <w:spacing w:line="240" w:lineRule="auto"/>
              <w:jc w:val="center"/>
              <w:rPr>
                <w:szCs w:val="21"/>
              </w:rPr>
            </w:pPr>
            <w:r>
              <w:rPr>
                <w:rFonts w:hint="eastAsia"/>
                <w:szCs w:val="21"/>
              </w:rPr>
              <w:t>1</w:t>
            </w:r>
          </w:p>
        </w:tc>
        <w:tc>
          <w:tcPr>
            <w:tcW w:w="1322" w:type="dxa"/>
            <w:vAlign w:val="center"/>
          </w:tcPr>
          <w:p>
            <w:pPr>
              <w:tabs>
                <w:tab w:val="left" w:pos="426"/>
              </w:tabs>
              <w:spacing w:line="240" w:lineRule="auto"/>
              <w:jc w:val="center"/>
              <w:rPr>
                <w:rFonts w:ascii="Times New Roman" w:hAnsi="Times New Roman" w:eastAsia="宋体" w:cs="Times New Roman"/>
                <w:kern w:val="2"/>
                <w:sz w:val="21"/>
                <w:szCs w:val="21"/>
                <w:lang w:val="en-US" w:eastAsia="zh-CN" w:bidi="ar-SA"/>
              </w:rPr>
            </w:pPr>
            <w:r>
              <w:rPr>
                <w:rFonts w:hint="eastAsia"/>
                <w:szCs w:val="21"/>
              </w:rPr>
              <w:t>同类项目业绩情况</w:t>
            </w:r>
          </w:p>
        </w:tc>
        <w:tc>
          <w:tcPr>
            <w:tcW w:w="720" w:type="dxa"/>
            <w:vAlign w:val="center"/>
          </w:tcPr>
          <w:p>
            <w:pPr>
              <w:tabs>
                <w:tab w:val="left" w:pos="426"/>
              </w:tabs>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10</w:t>
            </w:r>
          </w:p>
        </w:tc>
        <w:tc>
          <w:tcPr>
            <w:tcW w:w="675" w:type="dxa"/>
            <w:vAlign w:val="center"/>
          </w:tcPr>
          <w:p>
            <w:pPr>
              <w:tabs>
                <w:tab w:val="left" w:pos="426"/>
              </w:tabs>
              <w:spacing w:line="240" w:lineRule="auto"/>
              <w:jc w:val="center"/>
              <w:rPr>
                <w:rFonts w:ascii="Times New Roman" w:hAnsi="Times New Roman" w:eastAsia="宋体" w:cs="Times New Roman"/>
                <w:kern w:val="2"/>
                <w:sz w:val="21"/>
                <w:szCs w:val="21"/>
                <w:lang w:val="en-US" w:eastAsia="zh-CN" w:bidi="ar-SA"/>
              </w:rPr>
            </w:pPr>
            <w:r>
              <w:rPr>
                <w:rFonts w:hint="eastAsia"/>
                <w:szCs w:val="21"/>
              </w:rPr>
              <w:t>专家打分</w:t>
            </w:r>
          </w:p>
        </w:tc>
        <w:tc>
          <w:tcPr>
            <w:tcW w:w="4441" w:type="dxa"/>
            <w:vAlign w:val="top"/>
          </w:tcPr>
          <w:p>
            <w:pPr>
              <w:pStyle w:val="7"/>
            </w:pPr>
            <w:r>
              <w:rPr>
                <w:rFonts w:hint="eastAsia"/>
                <w:b/>
                <w:bCs/>
              </w:rPr>
              <w:t>评分标准：</w:t>
            </w:r>
          </w:p>
          <w:p>
            <w:pPr>
              <w:pStyle w:val="7"/>
            </w:pPr>
            <w:r>
              <w:t>20</w:t>
            </w:r>
            <w:r>
              <w:rPr>
                <w:rFonts w:hint="eastAsia"/>
                <w:lang w:val="en-US" w:eastAsia="zh-CN"/>
              </w:rPr>
              <w:t>24</w:t>
            </w:r>
            <w:r>
              <w:t>年1月1日至本项目投标截止日，投标人具有</w:t>
            </w:r>
            <w:r>
              <w:rPr>
                <w:rFonts w:hint="eastAsia"/>
                <w:lang w:val="en-US" w:eastAsia="zh-CN"/>
              </w:rPr>
              <w:t>每单8万以上</w:t>
            </w:r>
            <w:r>
              <w:rPr>
                <w:rFonts w:hint="eastAsia"/>
                <w:lang w:eastAsia="zh-CN"/>
              </w:rPr>
              <w:t>采购</w:t>
            </w:r>
            <w:r>
              <w:t>合同的，每提供1个</w:t>
            </w:r>
            <w:r>
              <w:rPr>
                <w:rFonts w:hint="eastAsia"/>
                <w:lang w:val="en-US" w:eastAsia="zh-CN"/>
              </w:rPr>
              <w:t>每单8万以上</w:t>
            </w:r>
            <w:r>
              <w:rPr>
                <w:rFonts w:hint="eastAsia"/>
                <w:lang w:eastAsia="zh-CN"/>
              </w:rPr>
              <w:t>采购合同</w:t>
            </w:r>
            <w:r>
              <w:t>得</w:t>
            </w:r>
            <w:r>
              <w:rPr>
                <w:rFonts w:hint="eastAsia"/>
                <w:lang w:val="en-US" w:eastAsia="zh-CN"/>
              </w:rPr>
              <w:t>2.5</w:t>
            </w:r>
            <w:r>
              <w:t>分</w:t>
            </w:r>
            <w:r>
              <w:rPr>
                <w:rFonts w:hint="eastAsia"/>
                <w:lang w:eastAsia="zh-CN"/>
              </w:rPr>
              <w:t>（同一个单位最多只能得</w:t>
            </w:r>
            <w:r>
              <w:rPr>
                <w:rFonts w:hint="eastAsia"/>
                <w:lang w:val="en-US" w:eastAsia="zh-CN"/>
              </w:rPr>
              <w:t>5分</w:t>
            </w:r>
            <w:r>
              <w:rPr>
                <w:rFonts w:hint="eastAsia"/>
                <w:lang w:eastAsia="zh-CN"/>
              </w:rPr>
              <w:t>）</w:t>
            </w:r>
            <w:r>
              <w:t>，最高得</w:t>
            </w:r>
            <w:r>
              <w:rPr>
                <w:rFonts w:hint="eastAsia"/>
                <w:lang w:val="en-US" w:eastAsia="zh-CN"/>
              </w:rPr>
              <w:t>10</w:t>
            </w:r>
            <w:r>
              <w:t>分。</w:t>
            </w:r>
          </w:p>
          <w:p>
            <w:pPr>
              <w:pStyle w:val="7"/>
              <w:rPr>
                <w:rFonts w:ascii="Times New Roman" w:hAnsi="Times New Roman" w:eastAsia="宋体" w:cs="Times New Roman"/>
                <w:b/>
                <w:bCs/>
                <w:kern w:val="2"/>
                <w:sz w:val="21"/>
                <w:szCs w:val="21"/>
                <w:lang w:val="en-US" w:eastAsia="zh-CN" w:bidi="ar-SA"/>
              </w:rPr>
            </w:pPr>
            <w:r>
              <w:rPr>
                <w:rFonts w:hint="eastAsia"/>
              </w:rPr>
              <w:t>（提供合同关键页复印件并加盖投标人公章，原件备查。未按要求提供有效证明文件或提供不清晰导致评委无法识别的不计得分。）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399" w:type="dxa"/>
            <w:tcBorders>
              <w:left w:val="single" w:color="auto" w:sz="4" w:space="0"/>
            </w:tcBorders>
            <w:vAlign w:val="center"/>
          </w:tcPr>
          <w:p>
            <w:pPr>
              <w:spacing w:line="240" w:lineRule="auto"/>
              <w:jc w:val="center"/>
              <w:rPr>
                <w:szCs w:val="21"/>
              </w:rPr>
            </w:pPr>
          </w:p>
        </w:tc>
        <w:tc>
          <w:tcPr>
            <w:tcW w:w="441" w:type="dxa"/>
            <w:vAlign w:val="center"/>
          </w:tcPr>
          <w:p>
            <w:pPr>
              <w:tabs>
                <w:tab w:val="left" w:pos="426"/>
              </w:tabs>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2</w:t>
            </w:r>
          </w:p>
        </w:tc>
        <w:tc>
          <w:tcPr>
            <w:tcW w:w="1322" w:type="dxa"/>
            <w:vAlign w:val="center"/>
          </w:tcPr>
          <w:p>
            <w:pPr>
              <w:tabs>
                <w:tab w:val="left" w:pos="426"/>
              </w:tabs>
              <w:spacing w:line="240" w:lineRule="auto"/>
              <w:jc w:val="center"/>
              <w:rPr>
                <w:rFonts w:ascii="Times New Roman" w:hAnsi="Times New Roman" w:eastAsia="宋体" w:cs="Times New Roman"/>
                <w:kern w:val="2"/>
                <w:sz w:val="21"/>
                <w:szCs w:val="21"/>
                <w:lang w:val="en-US" w:eastAsia="zh-CN" w:bidi="ar-SA"/>
              </w:rPr>
            </w:pPr>
            <w:r>
              <w:rPr>
                <w:szCs w:val="21"/>
              </w:rPr>
              <w:t>诚信</w:t>
            </w:r>
          </w:p>
        </w:tc>
        <w:tc>
          <w:tcPr>
            <w:tcW w:w="720" w:type="dxa"/>
            <w:vAlign w:val="center"/>
          </w:tcPr>
          <w:p>
            <w:pPr>
              <w:tabs>
                <w:tab w:val="left" w:pos="426"/>
              </w:tabs>
              <w:spacing w:line="240" w:lineRule="auto"/>
              <w:jc w:val="center"/>
              <w:rPr>
                <w:rFonts w:hint="eastAsia" w:ascii="Times New Roman" w:hAnsi="Times New Roman" w:eastAsia="宋体" w:cs="Times New Roman"/>
                <w:kern w:val="2"/>
                <w:sz w:val="21"/>
                <w:szCs w:val="21"/>
                <w:lang w:val="en-US" w:eastAsia="zh-CN" w:bidi="ar-SA"/>
              </w:rPr>
            </w:pPr>
            <w:r>
              <w:rPr>
                <w:rFonts w:hint="eastAsia"/>
                <w:szCs w:val="21"/>
              </w:rPr>
              <w:t>5</w:t>
            </w:r>
          </w:p>
        </w:tc>
        <w:tc>
          <w:tcPr>
            <w:tcW w:w="675" w:type="dxa"/>
            <w:vAlign w:val="center"/>
          </w:tcPr>
          <w:p>
            <w:pPr>
              <w:tabs>
                <w:tab w:val="left" w:pos="426"/>
              </w:tabs>
              <w:spacing w:line="240" w:lineRule="auto"/>
              <w:jc w:val="center"/>
              <w:rPr>
                <w:rFonts w:hint="eastAsia" w:ascii="Times New Roman" w:hAnsi="Times New Roman" w:eastAsia="宋体" w:cs="Times New Roman"/>
                <w:kern w:val="2"/>
                <w:sz w:val="21"/>
                <w:szCs w:val="21"/>
                <w:lang w:val="en-US" w:eastAsia="zh-CN" w:bidi="ar-SA"/>
              </w:rPr>
            </w:pPr>
            <w:r>
              <w:rPr>
                <w:rFonts w:hint="eastAsia"/>
                <w:szCs w:val="21"/>
              </w:rPr>
              <w:t>专家打分</w:t>
            </w:r>
          </w:p>
        </w:tc>
        <w:tc>
          <w:tcPr>
            <w:tcW w:w="4441" w:type="dxa"/>
            <w:vAlign w:val="top"/>
          </w:tcPr>
          <w:p>
            <w:pPr>
              <w:pStyle w:val="7"/>
              <w:rPr>
                <w:rFonts w:ascii="Times New Roman" w:hAnsi="Times New Roman" w:eastAsia="宋体" w:cs="Times New Roman"/>
                <w:b/>
                <w:bCs/>
                <w:kern w:val="2"/>
                <w:sz w:val="21"/>
                <w:szCs w:val="21"/>
                <w:lang w:val="en-US" w:eastAsia="zh-CN" w:bidi="ar-SA"/>
              </w:rPr>
            </w:pPr>
            <w:r>
              <w:t>投标人在参与政</w:t>
            </w:r>
            <w:r>
              <w:rPr>
                <w:rFonts w:hint="eastAsia"/>
              </w:rPr>
              <w:t>府</w:t>
            </w:r>
            <w:bookmarkStart w:id="1" w:name="_GoBack"/>
            <w:bookmarkEnd w:id="1"/>
            <w:r>
              <w:rPr>
                <w:rFonts w:hint="eastAsia"/>
              </w:rPr>
              <w:t>采购活动中存在诚信相关问题且在主管部门相关处理措施实施期限内的，本项不得分，否则得满分。投标人需</w:t>
            </w:r>
            <w:r>
              <w:rPr>
                <w:rFonts w:hint="eastAsia"/>
                <w:lang w:val="en-US" w:eastAsia="zh-CN"/>
              </w:rPr>
              <w:t>凭借中国政府采购网诚信情况</w:t>
            </w:r>
            <w:r>
              <w:rPr>
                <w:rFonts w:hint="eastAsia"/>
              </w:rPr>
              <w:t>提供</w:t>
            </w:r>
            <w:r>
              <w:rPr>
                <w:rFonts w:hint="eastAsia"/>
                <w:lang w:val="en-US" w:eastAsia="zh-CN"/>
              </w:rPr>
              <w:t>图片</w:t>
            </w:r>
            <w:r>
              <w:rPr>
                <w:rFonts w:hint="eastAsia"/>
              </w:rPr>
              <w:t>证明材料，</w:t>
            </w:r>
            <w:r>
              <w:rPr>
                <w:rFonts w:hint="eastAsia"/>
                <w:lang w:val="en-US" w:eastAsia="zh-CN"/>
              </w:rPr>
              <w:t>专家凭证明材料打分</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atLeast"/>
          <w:jc w:val="center"/>
        </w:trPr>
        <w:tc>
          <w:tcPr>
            <w:tcW w:w="399" w:type="dxa"/>
            <w:tcBorders>
              <w:left w:val="single" w:color="auto" w:sz="4" w:space="0"/>
            </w:tcBorders>
            <w:vAlign w:val="center"/>
          </w:tcPr>
          <w:p>
            <w:pPr>
              <w:spacing w:line="240" w:lineRule="auto"/>
              <w:jc w:val="center"/>
              <w:rPr>
                <w:szCs w:val="21"/>
              </w:rPr>
            </w:pPr>
          </w:p>
        </w:tc>
        <w:tc>
          <w:tcPr>
            <w:tcW w:w="441" w:type="dxa"/>
            <w:vAlign w:val="center"/>
          </w:tcPr>
          <w:p>
            <w:pPr>
              <w:tabs>
                <w:tab w:val="left" w:pos="426"/>
              </w:tabs>
              <w:spacing w:line="240" w:lineRule="auto"/>
              <w:jc w:val="center"/>
              <w:rPr>
                <w:rFonts w:hint="default" w:cs="Times New Roman"/>
                <w:kern w:val="2"/>
                <w:sz w:val="21"/>
                <w:szCs w:val="21"/>
                <w:lang w:val="en-US" w:eastAsia="zh-CN" w:bidi="ar-SA"/>
              </w:rPr>
            </w:pPr>
            <w:r>
              <w:rPr>
                <w:rFonts w:hint="eastAsia" w:cs="Times New Roman"/>
                <w:kern w:val="2"/>
                <w:sz w:val="21"/>
                <w:szCs w:val="21"/>
                <w:lang w:val="en-US" w:eastAsia="zh-CN" w:bidi="ar-SA"/>
              </w:rPr>
              <w:t>3</w:t>
            </w:r>
          </w:p>
        </w:tc>
        <w:tc>
          <w:tcPr>
            <w:tcW w:w="1322" w:type="dxa"/>
            <w:vAlign w:val="center"/>
          </w:tcPr>
          <w:p>
            <w:pPr>
              <w:tabs>
                <w:tab w:val="left" w:pos="426"/>
              </w:tabs>
              <w:spacing w:line="240" w:lineRule="auto"/>
              <w:jc w:val="center"/>
              <w:rPr>
                <w:szCs w:val="21"/>
              </w:rPr>
            </w:pPr>
            <w:r>
              <w:rPr>
                <w:rFonts w:hint="eastAsia"/>
                <w:szCs w:val="21"/>
              </w:rPr>
              <w:t>供货期长短</w:t>
            </w:r>
          </w:p>
        </w:tc>
        <w:tc>
          <w:tcPr>
            <w:tcW w:w="720" w:type="dxa"/>
            <w:vAlign w:val="center"/>
          </w:tcPr>
          <w:p>
            <w:pPr>
              <w:tabs>
                <w:tab w:val="left" w:pos="426"/>
              </w:tabs>
              <w:spacing w:line="240" w:lineRule="auto"/>
              <w:jc w:val="center"/>
              <w:rPr>
                <w:rFonts w:hint="default" w:eastAsiaTheme="minorEastAsia"/>
                <w:szCs w:val="21"/>
                <w:lang w:val="en-US" w:eastAsia="zh-CN"/>
              </w:rPr>
            </w:pPr>
            <w:r>
              <w:rPr>
                <w:rFonts w:hint="eastAsia"/>
                <w:szCs w:val="21"/>
                <w:lang w:val="en-US" w:eastAsia="zh-CN"/>
              </w:rPr>
              <w:t>5</w:t>
            </w:r>
          </w:p>
        </w:tc>
        <w:tc>
          <w:tcPr>
            <w:tcW w:w="675" w:type="dxa"/>
            <w:vAlign w:val="center"/>
          </w:tcPr>
          <w:p>
            <w:pPr>
              <w:tabs>
                <w:tab w:val="left" w:pos="426"/>
              </w:tabs>
              <w:spacing w:line="240" w:lineRule="auto"/>
              <w:jc w:val="center"/>
              <w:rPr>
                <w:rFonts w:hint="default" w:eastAsiaTheme="minorEastAsia"/>
                <w:szCs w:val="21"/>
                <w:lang w:val="en-US" w:eastAsia="zh-CN"/>
              </w:rPr>
            </w:pPr>
            <w:r>
              <w:rPr>
                <w:rFonts w:hint="eastAsia"/>
                <w:szCs w:val="21"/>
                <w:lang w:val="en-US" w:eastAsia="zh-CN"/>
              </w:rPr>
              <w:t>专家打分</w:t>
            </w:r>
          </w:p>
        </w:tc>
        <w:tc>
          <w:tcPr>
            <w:tcW w:w="4441" w:type="dxa"/>
            <w:vAlign w:val="top"/>
          </w:tcPr>
          <w:p>
            <w:pPr>
              <w:pStyle w:val="7"/>
              <w:numPr>
                <w:ilvl w:val="0"/>
                <w:numId w:val="1"/>
              </w:numPr>
              <w:rPr>
                <w:rFonts w:hint="eastAsia"/>
              </w:rPr>
            </w:pPr>
            <w:r>
              <w:rPr>
                <w:rFonts w:hint="eastAsia"/>
              </w:rPr>
              <w:t xml:space="preserve">评分内容： </w:t>
            </w:r>
          </w:p>
          <w:p>
            <w:pPr>
              <w:pStyle w:val="7"/>
              <w:numPr>
                <w:ilvl w:val="0"/>
                <w:numId w:val="0"/>
              </w:numPr>
              <w:rPr>
                <w:rFonts w:hint="eastAsia"/>
                <w:lang w:val="en-US" w:eastAsia="zh-CN"/>
              </w:rPr>
            </w:pPr>
            <w:r>
              <w:rPr>
                <w:rFonts w:hint="eastAsia"/>
                <w:lang w:val="en-US" w:eastAsia="zh-CN"/>
              </w:rPr>
              <w:t>供货期＜2天，得5分；</w:t>
            </w:r>
          </w:p>
          <w:p>
            <w:pPr>
              <w:pStyle w:val="7"/>
              <w:numPr>
                <w:ilvl w:val="0"/>
                <w:numId w:val="0"/>
              </w:numPr>
              <w:rPr>
                <w:rFonts w:hint="eastAsia"/>
                <w:lang w:val="en-US" w:eastAsia="zh-CN"/>
              </w:rPr>
            </w:pPr>
            <w:r>
              <w:rPr>
                <w:rFonts w:hint="eastAsia"/>
                <w:lang w:val="en-US" w:eastAsia="zh-CN"/>
              </w:rPr>
              <w:t>供货期2~5天，得3分；</w:t>
            </w:r>
          </w:p>
          <w:p>
            <w:pPr>
              <w:pStyle w:val="7"/>
              <w:numPr>
                <w:ilvl w:val="0"/>
                <w:numId w:val="0"/>
              </w:numPr>
              <w:rPr>
                <w:rFonts w:hint="default"/>
                <w:lang w:val="en-US" w:eastAsia="zh-CN"/>
              </w:rPr>
            </w:pPr>
            <w:r>
              <w:rPr>
                <w:rFonts w:hint="eastAsia"/>
                <w:lang w:val="en-US" w:eastAsia="zh-CN"/>
              </w:rPr>
              <w:t>供货期＞5天，得1分；</w:t>
            </w:r>
          </w:p>
          <w:p>
            <w:pPr>
              <w:pStyle w:val="7"/>
              <w:numPr>
                <w:ilvl w:val="0"/>
                <w:numId w:val="1"/>
              </w:numPr>
              <w:ind w:left="0" w:leftChars="0" w:firstLine="0" w:firstLineChars="0"/>
              <w:rPr>
                <w:rFonts w:hint="default"/>
                <w:lang w:val="en-US" w:eastAsia="zh-CN"/>
              </w:rPr>
            </w:pPr>
            <w:r>
              <w:rPr>
                <w:rFonts w:hint="default"/>
                <w:lang w:val="en-US" w:eastAsia="zh-CN"/>
              </w:rPr>
              <w:t>评分依据：</w:t>
            </w:r>
          </w:p>
          <w:p>
            <w:pPr>
              <w:pStyle w:val="7"/>
              <w:numPr>
                <w:ilvl w:val="0"/>
                <w:numId w:val="0"/>
              </w:numPr>
              <w:ind w:leftChars="0"/>
              <w:rPr>
                <w:rFonts w:hint="default"/>
                <w:lang w:val="en-US" w:eastAsia="zh-CN"/>
              </w:rPr>
            </w:pPr>
            <w:r>
              <w:rPr>
                <w:rFonts w:hint="eastAsia"/>
                <w:lang w:val="en-US" w:eastAsia="zh-CN"/>
              </w:rPr>
              <w:t>投标人提供供货承诺函所显示的供货日期及按时交付货物和提供服务的能力。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atLeast"/>
          <w:jc w:val="center"/>
        </w:trPr>
        <w:tc>
          <w:tcPr>
            <w:tcW w:w="399" w:type="dxa"/>
            <w:tcBorders>
              <w:left w:val="single" w:color="auto" w:sz="4" w:space="0"/>
            </w:tcBorders>
            <w:vAlign w:val="center"/>
          </w:tcPr>
          <w:p>
            <w:pPr>
              <w:spacing w:line="240" w:lineRule="auto"/>
              <w:jc w:val="center"/>
              <w:rPr>
                <w:szCs w:val="21"/>
              </w:rPr>
            </w:pPr>
          </w:p>
        </w:tc>
        <w:tc>
          <w:tcPr>
            <w:tcW w:w="441" w:type="dxa"/>
            <w:vAlign w:val="center"/>
          </w:tcPr>
          <w:p>
            <w:pPr>
              <w:tabs>
                <w:tab w:val="left" w:pos="426"/>
              </w:tabs>
              <w:spacing w:line="240" w:lineRule="auto"/>
              <w:jc w:val="center"/>
              <w:rPr>
                <w:rFonts w:hint="default" w:cs="Times New Roman"/>
                <w:kern w:val="2"/>
                <w:sz w:val="21"/>
                <w:szCs w:val="21"/>
                <w:lang w:val="en-US" w:eastAsia="zh-CN" w:bidi="ar-SA"/>
              </w:rPr>
            </w:pPr>
            <w:r>
              <w:rPr>
                <w:rFonts w:hint="eastAsia" w:cs="Times New Roman"/>
                <w:kern w:val="2"/>
                <w:sz w:val="21"/>
                <w:szCs w:val="21"/>
                <w:lang w:val="en-US" w:eastAsia="zh-CN" w:bidi="ar-SA"/>
              </w:rPr>
              <w:t>4</w:t>
            </w:r>
          </w:p>
        </w:tc>
        <w:tc>
          <w:tcPr>
            <w:tcW w:w="1322" w:type="dxa"/>
            <w:vAlign w:val="center"/>
          </w:tcPr>
          <w:p>
            <w:pPr>
              <w:tabs>
                <w:tab w:val="left" w:pos="426"/>
              </w:tabs>
              <w:spacing w:line="240" w:lineRule="auto"/>
              <w:jc w:val="center"/>
              <w:rPr>
                <w:rFonts w:hint="default" w:eastAsiaTheme="minorEastAsia"/>
                <w:szCs w:val="21"/>
                <w:lang w:val="en-US" w:eastAsia="zh-CN"/>
              </w:rPr>
            </w:pPr>
            <w:r>
              <w:rPr>
                <w:rFonts w:hint="eastAsia"/>
                <w:szCs w:val="21"/>
                <w:lang w:val="en-US" w:eastAsia="zh-CN"/>
              </w:rPr>
              <w:t>上门响应承诺</w:t>
            </w:r>
          </w:p>
        </w:tc>
        <w:tc>
          <w:tcPr>
            <w:tcW w:w="720" w:type="dxa"/>
            <w:vAlign w:val="center"/>
          </w:tcPr>
          <w:p>
            <w:pPr>
              <w:tabs>
                <w:tab w:val="left" w:pos="426"/>
              </w:tabs>
              <w:spacing w:line="240" w:lineRule="auto"/>
              <w:jc w:val="center"/>
              <w:rPr>
                <w:rFonts w:hint="default"/>
                <w:szCs w:val="21"/>
                <w:lang w:val="en-US" w:eastAsia="zh-CN"/>
              </w:rPr>
            </w:pPr>
            <w:r>
              <w:rPr>
                <w:rFonts w:hint="eastAsia"/>
                <w:szCs w:val="21"/>
                <w:lang w:val="en-US" w:eastAsia="zh-CN"/>
              </w:rPr>
              <w:t>5</w:t>
            </w:r>
          </w:p>
        </w:tc>
        <w:tc>
          <w:tcPr>
            <w:tcW w:w="675" w:type="dxa"/>
            <w:vAlign w:val="center"/>
          </w:tcPr>
          <w:p>
            <w:pPr>
              <w:tabs>
                <w:tab w:val="left" w:pos="426"/>
              </w:tabs>
              <w:spacing w:line="240" w:lineRule="auto"/>
              <w:jc w:val="center"/>
              <w:rPr>
                <w:rFonts w:hint="default"/>
                <w:szCs w:val="21"/>
                <w:lang w:val="en-US" w:eastAsia="zh-CN"/>
              </w:rPr>
            </w:pPr>
            <w:r>
              <w:rPr>
                <w:rFonts w:hint="eastAsia"/>
                <w:szCs w:val="21"/>
                <w:lang w:val="en-US" w:eastAsia="zh-CN"/>
              </w:rPr>
              <w:t>专家打分</w:t>
            </w:r>
          </w:p>
        </w:tc>
        <w:tc>
          <w:tcPr>
            <w:tcW w:w="4441" w:type="dxa"/>
            <w:vAlign w:val="top"/>
          </w:tcPr>
          <w:p>
            <w:pPr>
              <w:pStyle w:val="7"/>
              <w:numPr>
                <w:ilvl w:val="0"/>
                <w:numId w:val="2"/>
              </w:numPr>
              <w:ind w:leftChars="0"/>
              <w:rPr>
                <w:rFonts w:hint="eastAsia"/>
                <w:lang w:val="en-US" w:eastAsia="zh-CN"/>
              </w:rPr>
            </w:pPr>
            <w:r>
              <w:rPr>
                <w:rFonts w:hint="eastAsia"/>
                <w:lang w:val="en-US" w:eastAsia="zh-CN"/>
              </w:rPr>
              <w:t>评分内容：</w:t>
            </w:r>
          </w:p>
          <w:p>
            <w:pPr>
              <w:pStyle w:val="7"/>
              <w:numPr>
                <w:ilvl w:val="0"/>
                <w:numId w:val="0"/>
              </w:numPr>
              <w:rPr>
                <w:rFonts w:hint="eastAsia"/>
                <w:lang w:val="en-US" w:eastAsia="zh-CN"/>
              </w:rPr>
            </w:pPr>
            <w:r>
              <w:rPr>
                <w:rFonts w:hint="eastAsia"/>
                <w:lang w:val="en-US" w:eastAsia="zh-CN"/>
              </w:rPr>
              <w:t>上门响应＜半小时，得5分；</w:t>
            </w:r>
          </w:p>
          <w:p>
            <w:pPr>
              <w:pStyle w:val="7"/>
              <w:numPr>
                <w:ilvl w:val="0"/>
                <w:numId w:val="0"/>
              </w:numPr>
              <w:rPr>
                <w:rFonts w:hint="eastAsia"/>
                <w:lang w:val="en-US" w:eastAsia="zh-CN"/>
              </w:rPr>
            </w:pPr>
            <w:r>
              <w:rPr>
                <w:rFonts w:hint="eastAsia"/>
                <w:lang w:val="en-US" w:eastAsia="zh-CN"/>
              </w:rPr>
              <w:t>上门响应半小时到两小时，得3分；</w:t>
            </w:r>
          </w:p>
          <w:p>
            <w:pPr>
              <w:pStyle w:val="7"/>
              <w:numPr>
                <w:ilvl w:val="0"/>
                <w:numId w:val="0"/>
              </w:numPr>
              <w:rPr>
                <w:rFonts w:hint="eastAsia"/>
                <w:lang w:val="en-US" w:eastAsia="zh-CN"/>
              </w:rPr>
            </w:pPr>
            <w:r>
              <w:rPr>
                <w:rFonts w:hint="eastAsia"/>
                <w:lang w:val="en-US" w:eastAsia="zh-CN"/>
              </w:rPr>
              <w:t>上门响应＞两小时，得1分。</w:t>
            </w:r>
          </w:p>
          <w:p>
            <w:pPr>
              <w:pStyle w:val="7"/>
              <w:numPr>
                <w:ilvl w:val="0"/>
                <w:numId w:val="1"/>
              </w:numPr>
              <w:ind w:left="0" w:leftChars="0" w:firstLine="0" w:firstLineChars="0"/>
              <w:rPr>
                <w:rFonts w:hint="default"/>
                <w:lang w:val="en-US" w:eastAsia="zh-CN"/>
              </w:rPr>
            </w:pPr>
            <w:r>
              <w:rPr>
                <w:rFonts w:hint="default"/>
                <w:lang w:val="en-US" w:eastAsia="zh-CN"/>
              </w:rPr>
              <w:t>评分依据：</w:t>
            </w:r>
          </w:p>
          <w:p>
            <w:pPr>
              <w:pStyle w:val="7"/>
              <w:numPr>
                <w:ilvl w:val="0"/>
                <w:numId w:val="0"/>
              </w:numPr>
              <w:rPr>
                <w:rFonts w:hint="default"/>
                <w:lang w:val="en-US" w:eastAsia="zh-CN"/>
              </w:rPr>
            </w:pPr>
            <w:r>
              <w:rPr>
                <w:rFonts w:hint="eastAsia"/>
                <w:lang w:val="en-US" w:eastAsia="zh-CN"/>
              </w:rPr>
              <w:t>投标人提供上门响应承诺函所显示的服务质量、反应效率和速度、责任感和信誉的能力。</w:t>
            </w:r>
          </w:p>
        </w:tc>
      </w:tr>
      <w:bookmarkEnd w:id="0"/>
    </w:tbl>
    <w:p/>
    <w:p>
      <w:pPr>
        <w:spacing w:after="120"/>
        <w:jc w:val="center"/>
        <w:rPr>
          <w:rFonts w:hint="eastAsia" w:ascii="方正小标宋简体" w:hAnsi="方正小标宋简体" w:eastAsia="方正小标宋简体" w:cs="方正小标宋简体"/>
          <w:b/>
          <w:bCs w:val="0"/>
          <w:sz w:val="44"/>
          <w:szCs w:val="44"/>
        </w:rPr>
      </w:pPr>
    </w:p>
    <w:p>
      <w:pPr>
        <w:pStyle w:val="4"/>
        <w:rPr>
          <w:rFonts w:hint="eastAsia" w:ascii="方正小标宋简体" w:hAnsi="方正小标宋简体" w:eastAsia="方正小标宋简体" w:cs="方正小标宋简体"/>
          <w:b/>
          <w:bCs w:val="0"/>
          <w:sz w:val="44"/>
          <w:szCs w:val="44"/>
        </w:rPr>
      </w:pPr>
    </w:p>
    <w:p>
      <w:pPr>
        <w:pStyle w:val="4"/>
        <w:rPr>
          <w:rFonts w:hint="eastAsia" w:ascii="方正小标宋简体" w:hAnsi="方正小标宋简体" w:eastAsia="方正小标宋简体" w:cs="方正小标宋简体"/>
          <w:b/>
          <w:bCs w:val="0"/>
          <w:sz w:val="44"/>
          <w:szCs w:val="44"/>
        </w:rPr>
      </w:pPr>
    </w:p>
    <w:p>
      <w:pPr>
        <w:pStyle w:val="4"/>
        <w:rPr>
          <w:rFonts w:hint="eastAsia" w:ascii="方正小标宋简体" w:hAnsi="方正小标宋简体" w:eastAsia="方正小标宋简体" w:cs="方正小标宋简体"/>
          <w:b/>
          <w:bCs w:val="0"/>
          <w:sz w:val="44"/>
          <w:szCs w:val="44"/>
        </w:rPr>
      </w:pPr>
    </w:p>
    <w:p>
      <w:pPr>
        <w:pStyle w:val="4"/>
        <w:rPr>
          <w:rFonts w:hint="eastAsia" w:ascii="方正小标宋简体" w:hAnsi="方正小标宋简体" w:eastAsia="方正小标宋简体" w:cs="方正小标宋简体"/>
          <w:b/>
          <w:bCs w:val="0"/>
          <w:sz w:val="44"/>
          <w:szCs w:val="44"/>
        </w:rPr>
      </w:pPr>
    </w:p>
    <w:p>
      <w:pPr>
        <w:pStyle w:val="4"/>
        <w:rPr>
          <w:rFonts w:hint="eastAsia" w:ascii="方正小标宋简体" w:hAnsi="方正小标宋简体" w:eastAsia="方正小标宋简体" w:cs="方正小标宋简体"/>
          <w:b/>
          <w:bCs w:val="0"/>
          <w:sz w:val="44"/>
          <w:szCs w:val="44"/>
        </w:rPr>
      </w:pPr>
    </w:p>
    <w:p>
      <w:pPr>
        <w:pStyle w:val="4"/>
        <w:rPr>
          <w:rFonts w:hint="eastAsia" w:ascii="方正小标宋简体" w:hAnsi="方正小标宋简体" w:eastAsia="方正小标宋简体" w:cs="方正小标宋简体"/>
          <w:b/>
          <w:bCs w:val="0"/>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64CBA6"/>
    <w:multiLevelType w:val="singleLevel"/>
    <w:tmpl w:val="4D64CBA6"/>
    <w:lvl w:ilvl="0" w:tentative="0">
      <w:start w:val="1"/>
      <w:numFmt w:val="chineseCounting"/>
      <w:suff w:val="nothing"/>
      <w:lvlText w:val="（%1）"/>
      <w:lvlJc w:val="left"/>
      <w:rPr>
        <w:rFonts w:hint="eastAsia"/>
      </w:rPr>
    </w:lvl>
  </w:abstractNum>
  <w:abstractNum w:abstractNumId="1">
    <w:nsid w:val="5655E295"/>
    <w:multiLevelType w:val="singleLevel"/>
    <w:tmpl w:val="5655E29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190FFF"/>
    <w:rsid w:val="002016F6"/>
    <w:rsid w:val="08C45F8C"/>
    <w:rsid w:val="2E852ACB"/>
    <w:rsid w:val="3C011905"/>
    <w:rsid w:val="6B190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tabs>
        <w:tab w:val="left" w:pos="673"/>
      </w:tabs>
      <w:ind w:firstLine="560"/>
    </w:pPr>
    <w:rPr>
      <w:rFonts w:ascii="宋体" w:hAnsi="宋体"/>
      <w:sz w:val="28"/>
    </w:rPr>
  </w:style>
  <w:style w:type="paragraph" w:styleId="3">
    <w:name w:val="header"/>
    <w:basedOn w:val="1"/>
    <w:qFormat/>
    <w:uiPriority w:val="99"/>
    <w:pPr>
      <w:pBdr>
        <w:bottom w:val="single" w:color="auto" w:sz="6" w:space="1"/>
      </w:pBdr>
      <w:tabs>
        <w:tab w:val="left" w:pos="426"/>
        <w:tab w:val="center" w:pos="4153"/>
        <w:tab w:val="right" w:pos="8306"/>
      </w:tabs>
      <w:jc w:val="center"/>
    </w:pPr>
    <w:rPr>
      <w:rFonts w:ascii="Times New Roman" w:hAnsi="Times New Roman" w:cs="Times New Roman"/>
      <w:kern w:val="2"/>
      <w:sz w:val="18"/>
      <w:szCs w:val="18"/>
    </w:rPr>
  </w:style>
  <w:style w:type="paragraph" w:styleId="4">
    <w:name w:val="Body Text First Indent 2"/>
    <w:basedOn w:val="2"/>
    <w:qFormat/>
    <w:uiPriority w:val="0"/>
    <w:pPr>
      <w:ind w:firstLine="420" w:firstLineChars="200"/>
    </w:pPr>
  </w:style>
  <w:style w:type="paragraph" w:customStyle="1" w:styleId="7">
    <w:name w:val="0表格正文"/>
    <w:basedOn w:val="1"/>
    <w:qFormat/>
    <w:uiPriority w:val="0"/>
    <w:pPr>
      <w:spacing w:line="240" w:lineRule="auto"/>
      <w:jc w:val="left"/>
    </w:pPr>
    <w:rP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2025-06-13T06:41:00Z</dcterms:created>
  <dc:creator>Administrator</dc:creator>
  <cp:lastModifiedBy>Administrator</cp:lastModifiedBy>
  <dcterms:modified xsi:type="dcterms:W3CDTF">2025-06-24T07:25:06Z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682FE27B8E1F4BE9A944E33062ACE7AE</vt:lpwstr>
  </property>
</Properties>
</file>