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询 价 函</w:t>
      </w:r>
    </w:p>
    <w:p>
      <w:pPr>
        <w:spacing w:line="500" w:lineRule="exact"/>
        <w:rPr>
          <w:rFonts w:ascii="仿宋" w:hAnsi="仿宋" w:eastAsia="仿宋" w:cs="仿宋"/>
          <w:sz w:val="32"/>
          <w:szCs w:val="32"/>
        </w:rPr>
      </w:pPr>
      <w:r>
        <w:rPr>
          <w:rFonts w:hint="eastAsia" w:ascii="仿宋" w:hAnsi="仿宋" w:eastAsia="仿宋" w:cs="仿宋"/>
          <w:sz w:val="32"/>
          <w:szCs w:val="32"/>
        </w:rPr>
        <w:t>各报价公司：</w:t>
      </w:r>
    </w:p>
    <w:p>
      <w:pPr>
        <w:spacing w:line="500" w:lineRule="exact"/>
        <w:ind w:firstLine="800" w:firstLineChars="250"/>
        <w:rPr>
          <w:rFonts w:ascii="仿宋" w:hAnsi="仿宋" w:eastAsia="仿宋" w:cs="仿宋"/>
          <w:sz w:val="32"/>
          <w:szCs w:val="32"/>
        </w:rPr>
      </w:pPr>
      <w:r>
        <w:rPr>
          <w:rFonts w:hint="eastAsia" w:ascii="仿宋" w:hAnsi="仿宋" w:eastAsia="仿宋" w:cs="仿宋"/>
          <w:sz w:val="32"/>
          <w:szCs w:val="32"/>
        </w:rPr>
        <w:t>现将我单位需采购项目的询价函发给贵公司，请收到后于</w:t>
      </w:r>
      <w:r>
        <w:rPr>
          <w:rFonts w:hint="eastAsia" w:ascii="仿宋" w:hAnsi="仿宋" w:eastAsia="仿宋" w:cs="仿宋"/>
          <w:sz w:val="32"/>
          <w:szCs w:val="32"/>
          <w:u w:val="single"/>
        </w:rPr>
        <w:t>2024</w:t>
      </w:r>
      <w:r>
        <w:rPr>
          <w:rFonts w:hint="eastAsia" w:ascii="仿宋" w:hAnsi="仿宋" w:eastAsia="仿宋" w:cs="仿宋"/>
          <w:sz w:val="32"/>
          <w:szCs w:val="32"/>
        </w:rPr>
        <w:t>年</w:t>
      </w:r>
      <w:r>
        <w:rPr>
          <w:rFonts w:hint="eastAsia" w:ascii="仿宋" w:hAnsi="仿宋" w:eastAsia="仿宋" w:cs="仿宋"/>
          <w:sz w:val="32"/>
          <w:szCs w:val="32"/>
          <w:u w:val="single"/>
        </w:rPr>
        <w:t>11</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26</w:t>
      </w:r>
      <w:r>
        <w:rPr>
          <w:rFonts w:hint="eastAsia" w:ascii="仿宋" w:hAnsi="仿宋" w:eastAsia="仿宋" w:cs="仿宋"/>
          <w:sz w:val="32"/>
          <w:szCs w:val="32"/>
        </w:rPr>
        <w:t>日上午</w:t>
      </w:r>
      <w:r>
        <w:rPr>
          <w:rFonts w:hint="eastAsia" w:ascii="仿宋" w:hAnsi="仿宋" w:eastAsia="仿宋" w:cs="仿宋"/>
          <w:sz w:val="32"/>
          <w:szCs w:val="32"/>
          <w:u w:val="single"/>
          <w:lang w:val="en-US" w:eastAsia="zh-CN"/>
        </w:rPr>
        <w:t>10:00</w:t>
      </w:r>
      <w:r>
        <w:rPr>
          <w:rFonts w:hint="eastAsia" w:ascii="仿宋" w:hAnsi="仿宋" w:eastAsia="仿宋" w:cs="仿宋"/>
          <w:sz w:val="32"/>
          <w:szCs w:val="32"/>
        </w:rPr>
        <w:t>时前将电子响应文件递交至深圳环水集团招标采购数字管理平台，同时将纸质版和电子版响应文件递交（可快递邮寄）至我司深圳市龙岗区布沙路81号布吉供水公司二楼会议室，将电子版响应文件和纸质版文件一起密封在文件袋中</w:t>
      </w:r>
      <w:r>
        <w:rPr>
          <w:rFonts w:hint="eastAsia" w:ascii="仿宋" w:hAnsi="仿宋" w:eastAsia="仿宋" w:cs="仿宋"/>
          <w:color w:val="000000"/>
          <w:sz w:val="32"/>
          <w:szCs w:val="32"/>
        </w:rPr>
        <w:t>。</w:t>
      </w:r>
    </w:p>
    <w:p>
      <w:pPr>
        <w:spacing w:line="500" w:lineRule="exact"/>
        <w:ind w:firstLine="800" w:firstLineChars="250"/>
        <w:rPr>
          <w:rFonts w:ascii="仿宋" w:hAnsi="仿宋" w:eastAsia="仿宋" w:cs="仿宋"/>
          <w:sz w:val="32"/>
          <w:szCs w:val="32"/>
        </w:rPr>
      </w:pPr>
      <w:r>
        <w:rPr>
          <w:rFonts w:hint="eastAsia" w:ascii="仿宋" w:hAnsi="仿宋" w:eastAsia="仿宋" w:cs="仿宋"/>
          <w:sz w:val="32"/>
          <w:szCs w:val="32"/>
        </w:rPr>
        <w:t>文件需加盖单位公章，超过指定时间未送达则不予接收。如我部最终选择贵公司的服务，希望贵公司在指定的期限内予以完成服务。</w:t>
      </w:r>
    </w:p>
    <w:p>
      <w:pPr>
        <w:spacing w:line="500" w:lineRule="exact"/>
        <w:ind w:firstLine="800" w:firstLineChars="250"/>
        <w:rPr>
          <w:rFonts w:ascii="仿宋" w:hAnsi="仿宋" w:eastAsia="仿宋" w:cs="仿宋"/>
          <w:sz w:val="32"/>
          <w:szCs w:val="32"/>
        </w:rPr>
      </w:pPr>
      <w:r>
        <w:rPr>
          <w:rFonts w:hint="eastAsia" w:ascii="仿宋" w:hAnsi="仿宋" w:eastAsia="仿宋" w:cs="仿宋"/>
          <w:sz w:val="32"/>
          <w:szCs w:val="32"/>
        </w:rPr>
        <w:t>☑询价采购。报价传送方式包括现场提交或快递。请合理报价，我司将依据贵公司所报价格、服务质量、响应文件情况等因素综合判断作出最终选择，不再进行议价谈判。</w:t>
      </w:r>
    </w:p>
    <w:p>
      <w:pPr>
        <w:spacing w:after="0" w:line="500" w:lineRule="exact"/>
        <w:ind w:firstLine="800" w:firstLineChars="250"/>
        <w:rPr>
          <w:rFonts w:ascii="仿宋" w:hAnsi="仿宋" w:eastAsia="仿宋" w:cs="仿宋"/>
          <w:sz w:val="32"/>
          <w:szCs w:val="32"/>
        </w:rPr>
      </w:pPr>
      <w:r>
        <w:rPr>
          <w:rFonts w:hint="eastAsia" w:ascii="仿宋" w:hAnsi="仿宋" w:eastAsia="仿宋" w:cs="仿宋"/>
          <w:sz w:val="32"/>
          <w:szCs w:val="32"/>
        </w:rPr>
        <w:t>敬颂</w:t>
      </w:r>
    </w:p>
    <w:p>
      <w:pPr>
        <w:spacing w:after="0" w:line="500" w:lineRule="exact"/>
        <w:ind w:firstLine="800" w:firstLineChars="250"/>
        <w:rPr>
          <w:rFonts w:ascii="仿宋" w:hAnsi="仿宋" w:eastAsia="仿宋" w:cs="仿宋"/>
          <w:sz w:val="32"/>
          <w:szCs w:val="32"/>
        </w:rPr>
      </w:pPr>
      <w:r>
        <w:rPr>
          <w:rFonts w:hint="eastAsia" w:ascii="仿宋" w:hAnsi="仿宋" w:eastAsia="仿宋" w:cs="仿宋"/>
          <w:sz w:val="32"/>
          <w:szCs w:val="32"/>
        </w:rPr>
        <w:t>商祺！</w:t>
      </w:r>
    </w:p>
    <w:p>
      <w:pPr>
        <w:spacing w:after="0" w:line="500" w:lineRule="exact"/>
        <w:ind w:firstLine="800" w:firstLineChars="250"/>
        <w:rPr>
          <w:rFonts w:ascii="仿宋" w:hAnsi="仿宋" w:eastAsia="仿宋" w:cs="仿宋"/>
          <w:sz w:val="32"/>
          <w:szCs w:val="32"/>
        </w:rPr>
      </w:pPr>
      <w:r>
        <w:rPr>
          <w:rFonts w:hint="eastAsia" w:ascii="仿宋" w:hAnsi="仿宋" w:eastAsia="仿宋" w:cs="仿宋"/>
          <w:sz w:val="32"/>
          <w:szCs w:val="32"/>
        </w:rPr>
        <w:t>附：供方须知表、响应文件格式</w:t>
      </w:r>
    </w:p>
    <w:p>
      <w:pPr>
        <w:spacing w:after="0" w:line="500" w:lineRule="exact"/>
        <w:ind w:firstLine="800" w:firstLineChars="250"/>
        <w:rPr>
          <w:rFonts w:ascii="仿宋" w:hAnsi="仿宋" w:eastAsia="仿宋" w:cs="仿宋"/>
          <w:sz w:val="32"/>
          <w:szCs w:val="32"/>
        </w:rPr>
      </w:pPr>
      <w:r>
        <w:rPr>
          <w:rFonts w:hint="eastAsia" w:ascii="仿宋" w:hAnsi="仿宋" w:eastAsia="仿宋" w:cs="仿宋"/>
          <w:sz w:val="32"/>
          <w:szCs w:val="32"/>
        </w:rPr>
        <w:t>询价联系人：      联系电话：</w:t>
      </w:r>
    </w:p>
    <w:p>
      <w:pPr>
        <w:spacing w:line="500" w:lineRule="exact"/>
        <w:ind w:firstLine="800" w:firstLineChars="250"/>
        <w:rPr>
          <w:rFonts w:ascii="仿宋" w:hAnsi="仿宋" w:eastAsia="仿宋" w:cs="仿宋"/>
          <w:sz w:val="32"/>
          <w:szCs w:val="32"/>
        </w:rPr>
      </w:pPr>
    </w:p>
    <w:p>
      <w:pPr>
        <w:spacing w:after="100" w:line="500" w:lineRule="exact"/>
        <w:jc w:val="right"/>
        <w:rPr>
          <w:rFonts w:ascii="仿宋" w:hAnsi="仿宋" w:eastAsia="仿宋" w:cs="仿宋"/>
          <w:sz w:val="32"/>
          <w:szCs w:val="32"/>
        </w:rPr>
      </w:pPr>
      <w:r>
        <w:rPr>
          <w:rFonts w:hint="eastAsia" w:ascii="仿宋" w:hAnsi="仿宋" w:eastAsia="仿宋" w:cs="仿宋"/>
          <w:sz w:val="32"/>
          <w:szCs w:val="32"/>
        </w:rPr>
        <w:t>深圳市布吉供水有限公司</w:t>
      </w:r>
    </w:p>
    <w:p>
      <w:pPr>
        <w:wordWrap w:val="0"/>
        <w:spacing w:after="100" w:line="500" w:lineRule="exact"/>
        <w:ind w:right="70" w:firstLine="560"/>
        <w:jc w:val="right"/>
        <w:rPr>
          <w:rFonts w:hint="eastAsia" w:ascii="仿宋" w:hAnsi="仿宋" w:eastAsia="仿宋" w:cs="仿宋"/>
          <w:sz w:val="32"/>
          <w:szCs w:val="32"/>
        </w:rPr>
      </w:pPr>
      <w:r>
        <w:rPr>
          <w:rFonts w:hint="eastAsia" w:ascii="仿宋" w:hAnsi="仿宋" w:eastAsia="仿宋" w:cs="仿宋"/>
          <w:sz w:val="32"/>
          <w:szCs w:val="32"/>
        </w:rPr>
        <w:t xml:space="preserve"> 2024年11月 </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日 </w:t>
      </w:r>
    </w:p>
    <w:p>
      <w:pPr>
        <w:spacing w:after="100" w:line="500" w:lineRule="exact"/>
        <w:ind w:right="70" w:firstLine="560"/>
        <w:jc w:val="right"/>
        <w:rPr>
          <w:rFonts w:ascii="仿宋" w:hAnsi="仿宋" w:eastAsia="仿宋" w:cs="仿宋"/>
          <w:sz w:val="32"/>
          <w:szCs w:val="32"/>
        </w:rPr>
      </w:pPr>
    </w:p>
    <w:p>
      <w:pPr>
        <w:pStyle w:val="9"/>
        <w:spacing w:after="0"/>
        <w:jc w:val="center"/>
        <w:rPr>
          <w:rFonts w:ascii="仿宋" w:hAnsi="仿宋" w:eastAsia="仿宋" w:cs="仿宋"/>
          <w:sz w:val="32"/>
          <w:szCs w:val="32"/>
        </w:rPr>
      </w:pPr>
      <w:r>
        <w:rPr>
          <w:rFonts w:hint="eastAsia" w:ascii="仿宋" w:hAnsi="仿宋" w:eastAsia="仿宋" w:cs="仿宋"/>
          <w:sz w:val="32"/>
          <w:szCs w:val="32"/>
        </w:rPr>
        <w:t>一、供方须知表</w:t>
      </w:r>
    </w:p>
    <w:tbl>
      <w:tblPr>
        <w:tblStyle w:val="19"/>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83"/>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708" w:type="dxa"/>
            <w:vAlign w:val="center"/>
          </w:tcPr>
          <w:p>
            <w:pPr>
              <w:pStyle w:val="9"/>
              <w:jc w:val="center"/>
              <w:rPr>
                <w:b/>
                <w:bCs/>
                <w:sz w:val="24"/>
                <w:szCs w:val="24"/>
              </w:rPr>
            </w:pPr>
            <w:r>
              <w:rPr>
                <w:rFonts w:hint="eastAsia"/>
                <w:b/>
                <w:bCs/>
                <w:sz w:val="24"/>
                <w:szCs w:val="24"/>
              </w:rPr>
              <w:t>序号</w:t>
            </w:r>
          </w:p>
        </w:tc>
        <w:tc>
          <w:tcPr>
            <w:tcW w:w="2483" w:type="dxa"/>
            <w:vAlign w:val="center"/>
          </w:tcPr>
          <w:p>
            <w:pPr>
              <w:pStyle w:val="9"/>
              <w:jc w:val="center"/>
              <w:rPr>
                <w:b/>
                <w:bCs/>
                <w:sz w:val="24"/>
                <w:szCs w:val="24"/>
              </w:rPr>
            </w:pPr>
            <w:r>
              <w:rPr>
                <w:rFonts w:hint="eastAsia"/>
                <w:b/>
                <w:bCs/>
                <w:sz w:val="24"/>
                <w:szCs w:val="24"/>
              </w:rPr>
              <w:t>内容</w:t>
            </w:r>
          </w:p>
        </w:tc>
        <w:tc>
          <w:tcPr>
            <w:tcW w:w="6104" w:type="dxa"/>
            <w:vAlign w:val="center"/>
          </w:tcPr>
          <w:p>
            <w:pPr>
              <w:pStyle w:val="9"/>
              <w:jc w:val="center"/>
              <w:rPr>
                <w:b/>
                <w:bCs/>
                <w:sz w:val="24"/>
                <w:szCs w:val="24"/>
              </w:rPr>
            </w:pPr>
            <w:r>
              <w:rPr>
                <w:rFonts w:hint="eastAsia"/>
                <w:b/>
                <w:bCs/>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08" w:type="dxa"/>
            <w:vAlign w:val="bottom"/>
          </w:tcPr>
          <w:p>
            <w:pPr>
              <w:pStyle w:val="9"/>
              <w:jc w:val="center"/>
              <w:rPr>
                <w:b/>
                <w:bCs/>
              </w:rPr>
            </w:pPr>
            <w:r>
              <w:rPr>
                <w:rFonts w:hint="eastAsia"/>
                <w:b/>
                <w:bCs/>
              </w:rPr>
              <w:t>1</w:t>
            </w:r>
          </w:p>
        </w:tc>
        <w:tc>
          <w:tcPr>
            <w:tcW w:w="2483" w:type="dxa"/>
            <w:vAlign w:val="bottom"/>
          </w:tcPr>
          <w:p>
            <w:pPr>
              <w:pStyle w:val="9"/>
              <w:jc w:val="center"/>
              <w:rPr>
                <w:b/>
                <w:bCs/>
              </w:rPr>
            </w:pPr>
            <w:r>
              <w:rPr>
                <w:rFonts w:hint="eastAsia"/>
                <w:b/>
                <w:bCs/>
              </w:rPr>
              <w:t>项目名称</w:t>
            </w:r>
          </w:p>
        </w:tc>
        <w:tc>
          <w:tcPr>
            <w:tcW w:w="6104" w:type="dxa"/>
            <w:vAlign w:val="bottom"/>
          </w:tcPr>
          <w:p>
            <w:pPr>
              <w:pStyle w:val="9"/>
            </w:pPr>
            <w:r>
              <w:rPr>
                <w:rFonts w:hint="eastAsia"/>
              </w:rPr>
              <w:t>2025年度网络维保服务项目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trPr>
        <w:tc>
          <w:tcPr>
            <w:tcW w:w="708" w:type="dxa"/>
            <w:vAlign w:val="center"/>
          </w:tcPr>
          <w:p>
            <w:pPr>
              <w:pStyle w:val="9"/>
              <w:jc w:val="center"/>
              <w:rPr>
                <w:b/>
                <w:bCs/>
              </w:rPr>
            </w:pPr>
            <w:r>
              <w:rPr>
                <w:rFonts w:hint="eastAsia"/>
                <w:b/>
                <w:bCs/>
              </w:rPr>
              <w:t>2</w:t>
            </w:r>
          </w:p>
        </w:tc>
        <w:tc>
          <w:tcPr>
            <w:tcW w:w="2483" w:type="dxa"/>
            <w:vAlign w:val="center"/>
          </w:tcPr>
          <w:p>
            <w:pPr>
              <w:pStyle w:val="9"/>
              <w:jc w:val="center"/>
              <w:rPr>
                <w:b/>
                <w:bCs/>
              </w:rPr>
            </w:pPr>
            <w:r>
              <w:rPr>
                <w:rFonts w:hint="eastAsia"/>
                <w:b/>
                <w:bCs/>
              </w:rPr>
              <w:t>项目需求</w:t>
            </w:r>
          </w:p>
        </w:tc>
        <w:tc>
          <w:tcPr>
            <w:tcW w:w="6104" w:type="dxa"/>
            <w:vAlign w:val="center"/>
          </w:tcPr>
          <w:p>
            <w:pPr>
              <w:pStyle w:val="9"/>
              <w:rPr>
                <w:color w:val="000000" w:themeColor="text1"/>
              </w:rPr>
            </w:pPr>
            <w:r>
              <w:rPr>
                <w:rFonts w:hint="eastAsia"/>
                <w:color w:val="000000" w:themeColor="text1"/>
              </w:rPr>
              <w:t>维护范围：布吉水司办公大楼、坂田营业所、布吉营业所、沙湾二水厂、坂雪岗水厂；</w:t>
            </w:r>
          </w:p>
          <w:p>
            <w:pPr>
              <w:rPr>
                <w:color w:val="000000" w:themeColor="text1"/>
              </w:rPr>
            </w:pPr>
            <w:r>
              <w:rPr>
                <w:rFonts w:hint="eastAsia"/>
                <w:color w:val="000000" w:themeColor="text1"/>
              </w:rPr>
              <w:t>维护事项：定期巡检、网络设备、工程线路、取电线路、设备运行情况检查、巡检记录表、网络的连通、网络优化、设备箱内线缆和标签、网络安全保障服务等</w:t>
            </w:r>
          </w:p>
          <w:p>
            <w:pPr>
              <w:rPr>
                <w:color w:val="FF0000"/>
              </w:rPr>
            </w:pPr>
            <w:r>
              <w:rPr>
                <w:rFonts w:hint="eastAsia"/>
                <w:color w:val="000000" w:themeColor="text1"/>
              </w:rPr>
              <w:t>维护时间：2024年12月-2025年12月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08" w:type="dxa"/>
            <w:vAlign w:val="center"/>
          </w:tcPr>
          <w:p>
            <w:pPr>
              <w:pStyle w:val="9"/>
              <w:jc w:val="center"/>
              <w:rPr>
                <w:b/>
                <w:bCs/>
              </w:rPr>
            </w:pPr>
            <w:r>
              <w:rPr>
                <w:rFonts w:hint="eastAsia"/>
                <w:b/>
                <w:bCs/>
              </w:rPr>
              <w:t>3</w:t>
            </w:r>
          </w:p>
        </w:tc>
        <w:tc>
          <w:tcPr>
            <w:tcW w:w="2483" w:type="dxa"/>
            <w:vAlign w:val="center"/>
          </w:tcPr>
          <w:p>
            <w:pPr>
              <w:pStyle w:val="9"/>
              <w:jc w:val="center"/>
              <w:rPr>
                <w:b/>
                <w:bCs/>
              </w:rPr>
            </w:pPr>
            <w:r>
              <w:rPr>
                <w:rFonts w:hint="eastAsia"/>
                <w:b/>
                <w:bCs/>
              </w:rPr>
              <w:t>采购文件获取方式</w:t>
            </w:r>
          </w:p>
        </w:tc>
        <w:tc>
          <w:tcPr>
            <w:tcW w:w="6104" w:type="dxa"/>
            <w:vAlign w:val="center"/>
          </w:tcPr>
          <w:p>
            <w:pPr>
              <w:pStyle w:val="9"/>
            </w:pPr>
            <w:r>
              <w:rPr>
                <w:rFonts w:hint="eastAsia"/>
              </w:rPr>
              <w:t>深圳阳光采购平台https://www.szygcgpt.com/详见公告详情页附件和招标采购数字管理平台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08" w:type="dxa"/>
            <w:vAlign w:val="center"/>
          </w:tcPr>
          <w:p>
            <w:pPr>
              <w:pStyle w:val="9"/>
              <w:jc w:val="center"/>
              <w:rPr>
                <w:b/>
                <w:bCs/>
              </w:rPr>
            </w:pPr>
            <w:r>
              <w:rPr>
                <w:rFonts w:hint="eastAsia"/>
                <w:b/>
                <w:bCs/>
              </w:rPr>
              <w:t>4</w:t>
            </w:r>
          </w:p>
        </w:tc>
        <w:tc>
          <w:tcPr>
            <w:tcW w:w="2483" w:type="dxa"/>
            <w:vAlign w:val="center"/>
          </w:tcPr>
          <w:p>
            <w:pPr>
              <w:pStyle w:val="9"/>
              <w:jc w:val="center"/>
              <w:rPr>
                <w:b/>
                <w:bCs/>
              </w:rPr>
            </w:pPr>
            <w:r>
              <w:rPr>
                <w:rFonts w:hint="eastAsia"/>
                <w:b/>
                <w:bCs/>
              </w:rPr>
              <w:t>采购文件获取截止时间</w:t>
            </w:r>
          </w:p>
        </w:tc>
        <w:tc>
          <w:tcPr>
            <w:tcW w:w="6104" w:type="dxa"/>
            <w:vAlign w:val="center"/>
          </w:tcPr>
          <w:p>
            <w:pPr>
              <w:pStyle w:val="9"/>
            </w:pPr>
            <w:r>
              <w:rPr>
                <w:rFonts w:hint="eastAsia"/>
              </w:rPr>
              <w:t xml:space="preserve">2024年 </w:t>
            </w:r>
            <w:r>
              <w:rPr>
                <w:rFonts w:hint="eastAsia"/>
                <w:lang w:val="en-US" w:eastAsia="zh-CN"/>
              </w:rPr>
              <w:t>11</w:t>
            </w:r>
            <w:r>
              <w:rPr>
                <w:rFonts w:hint="eastAsia"/>
              </w:rPr>
              <w:t xml:space="preserve"> 月 </w:t>
            </w:r>
            <w:r>
              <w:rPr>
                <w:rFonts w:hint="eastAsia"/>
                <w:lang w:val="en-US" w:eastAsia="zh-CN"/>
              </w:rPr>
              <w:t>26</w:t>
            </w:r>
            <w:r>
              <w:rPr>
                <w:rFonts w:hint="eastAsia"/>
              </w:rPr>
              <w:t xml:space="preserve"> 日1</w:t>
            </w:r>
            <w:r>
              <w:rPr>
                <w:rFonts w:hint="eastAsia"/>
                <w:lang w:val="en-US" w:eastAsia="zh-CN"/>
              </w:rPr>
              <w:t>8</w:t>
            </w: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708" w:type="dxa"/>
            <w:vAlign w:val="center"/>
          </w:tcPr>
          <w:p>
            <w:pPr>
              <w:pStyle w:val="9"/>
              <w:jc w:val="center"/>
              <w:rPr>
                <w:b/>
                <w:bCs/>
              </w:rPr>
            </w:pPr>
            <w:r>
              <w:rPr>
                <w:rFonts w:hint="eastAsia"/>
                <w:b/>
                <w:bCs/>
              </w:rPr>
              <w:t>5</w:t>
            </w:r>
          </w:p>
        </w:tc>
        <w:tc>
          <w:tcPr>
            <w:tcW w:w="2483" w:type="dxa"/>
            <w:vAlign w:val="center"/>
          </w:tcPr>
          <w:p>
            <w:pPr>
              <w:pStyle w:val="9"/>
              <w:jc w:val="center"/>
              <w:rPr>
                <w:b/>
                <w:bCs/>
              </w:rPr>
            </w:pPr>
            <w:r>
              <w:rPr>
                <w:rFonts w:hint="eastAsia"/>
                <w:b/>
                <w:bCs/>
              </w:rPr>
              <w:t>响应文件递交截止时间</w:t>
            </w:r>
          </w:p>
        </w:tc>
        <w:tc>
          <w:tcPr>
            <w:tcW w:w="6104" w:type="dxa"/>
            <w:vAlign w:val="center"/>
          </w:tcPr>
          <w:p>
            <w:pPr>
              <w:pStyle w:val="9"/>
            </w:pPr>
            <w:r>
              <w:rPr>
                <w:rFonts w:hint="eastAsia"/>
              </w:rPr>
              <w:t xml:space="preserve">2024年 </w:t>
            </w:r>
            <w:r>
              <w:rPr>
                <w:rFonts w:hint="eastAsia"/>
                <w:lang w:val="en-US" w:eastAsia="zh-CN"/>
              </w:rPr>
              <w:t>12</w:t>
            </w:r>
            <w:r>
              <w:rPr>
                <w:rFonts w:hint="eastAsia"/>
              </w:rPr>
              <w:t xml:space="preserve"> 月 </w:t>
            </w:r>
            <w:r>
              <w:rPr>
                <w:rFonts w:hint="eastAsia"/>
                <w:lang w:val="en-US" w:eastAsia="zh-CN"/>
              </w:rPr>
              <w:t>3</w:t>
            </w:r>
            <w:r>
              <w:rPr>
                <w:rFonts w:hint="eastAsia"/>
              </w:rPr>
              <w:t xml:space="preserve"> 日10:00</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trPr>
        <w:tc>
          <w:tcPr>
            <w:tcW w:w="708" w:type="dxa"/>
            <w:vAlign w:val="center"/>
          </w:tcPr>
          <w:p>
            <w:pPr>
              <w:pStyle w:val="9"/>
              <w:jc w:val="center"/>
              <w:rPr>
                <w:b/>
                <w:bCs/>
              </w:rPr>
            </w:pPr>
            <w:r>
              <w:rPr>
                <w:rFonts w:hint="eastAsia"/>
                <w:b/>
                <w:bCs/>
              </w:rPr>
              <w:t>6</w:t>
            </w:r>
          </w:p>
        </w:tc>
        <w:tc>
          <w:tcPr>
            <w:tcW w:w="2483" w:type="dxa"/>
            <w:vAlign w:val="center"/>
          </w:tcPr>
          <w:p>
            <w:pPr>
              <w:pStyle w:val="9"/>
              <w:jc w:val="center"/>
              <w:rPr>
                <w:b/>
                <w:bCs/>
              </w:rPr>
            </w:pPr>
            <w:r>
              <w:rPr>
                <w:rFonts w:hint="eastAsia"/>
                <w:b/>
                <w:bCs/>
              </w:rPr>
              <w:t>响应文件递交地点</w:t>
            </w:r>
          </w:p>
        </w:tc>
        <w:tc>
          <w:tcPr>
            <w:tcW w:w="6104" w:type="dxa"/>
            <w:vAlign w:val="center"/>
          </w:tcPr>
          <w:p>
            <w:pPr>
              <w:pStyle w:val="9"/>
            </w:pPr>
            <w:r>
              <w:rPr>
                <w:rFonts w:hint="eastAsia"/>
              </w:rPr>
              <w:t>☑纸质版和电子版响应文件递交地点（可快递邮寄）：</w:t>
            </w:r>
          </w:p>
          <w:p>
            <w:pPr>
              <w:pStyle w:val="9"/>
            </w:pPr>
            <w:r>
              <w:rPr>
                <w:rFonts w:hint="eastAsia"/>
              </w:rPr>
              <w:t>1、供应商参与项目应标，需通过系统外网地址（https://cg.sz-water.com.cn）进行注册及登录，采购全过程协同，包括报名、购标、投标、开标解密、查收中标通知书等操作均在线完成；从【供应商】入口进入登录，第一次需注册，系统会自动审批，注意注册类型。</w:t>
            </w:r>
          </w:p>
          <w:p>
            <w:pPr>
              <w:pStyle w:val="9"/>
            </w:pPr>
            <w:r>
              <w:rPr>
                <w:rFonts w:hint="eastAsia"/>
              </w:rPr>
              <w:t>2、拟参投单位需在深圳市龙岗区布沙路81号布吉供水公司二楼会议室（供应商需在响应截止时间前将纸质版文件快递或现场递交至指定地点）</w:t>
            </w:r>
          </w:p>
          <w:p>
            <w:pPr>
              <w:pStyle w:val="9"/>
            </w:pPr>
            <w:r>
              <w:rPr>
                <w:rFonts w:hint="eastAsia"/>
              </w:rPr>
              <w:t>收件人：吴慧慧       电话：13631661086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08" w:type="dxa"/>
            <w:vAlign w:val="center"/>
          </w:tcPr>
          <w:p>
            <w:pPr>
              <w:pStyle w:val="9"/>
              <w:jc w:val="center"/>
              <w:rPr>
                <w:b/>
                <w:bCs/>
              </w:rPr>
            </w:pPr>
            <w:r>
              <w:rPr>
                <w:rFonts w:hint="eastAsia"/>
                <w:b/>
                <w:bCs/>
              </w:rPr>
              <w:t>7</w:t>
            </w:r>
          </w:p>
        </w:tc>
        <w:tc>
          <w:tcPr>
            <w:tcW w:w="2483" w:type="dxa"/>
            <w:vAlign w:val="center"/>
          </w:tcPr>
          <w:p>
            <w:pPr>
              <w:pStyle w:val="9"/>
              <w:jc w:val="center"/>
              <w:rPr>
                <w:b/>
                <w:bCs/>
              </w:rPr>
            </w:pPr>
            <w:r>
              <w:rPr>
                <w:rFonts w:hint="eastAsia"/>
                <w:b/>
                <w:bCs/>
              </w:rPr>
              <w:t>中标候选人数量</w:t>
            </w:r>
          </w:p>
        </w:tc>
        <w:tc>
          <w:tcPr>
            <w:tcW w:w="6104" w:type="dxa"/>
            <w:vAlign w:val="center"/>
          </w:tcPr>
          <w:p>
            <w:pPr>
              <w:pStyle w:val="9"/>
            </w:pPr>
            <w:r>
              <w:rPr>
                <w:rFonts w:hint="eastAsia"/>
              </w:rPr>
              <w:t>☑评审小组推荐的中选候选人数量：  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708" w:type="dxa"/>
            <w:vAlign w:val="center"/>
          </w:tcPr>
          <w:p>
            <w:pPr>
              <w:pStyle w:val="9"/>
              <w:jc w:val="center"/>
              <w:rPr>
                <w:b/>
                <w:bCs/>
              </w:rPr>
            </w:pPr>
            <w:r>
              <w:rPr>
                <w:rFonts w:hint="eastAsia"/>
                <w:b/>
                <w:bCs/>
              </w:rPr>
              <w:t>8</w:t>
            </w:r>
          </w:p>
        </w:tc>
        <w:tc>
          <w:tcPr>
            <w:tcW w:w="2483" w:type="dxa"/>
            <w:vAlign w:val="center"/>
          </w:tcPr>
          <w:p>
            <w:pPr>
              <w:pStyle w:val="9"/>
              <w:jc w:val="center"/>
              <w:rPr>
                <w:b/>
                <w:bCs/>
              </w:rPr>
            </w:pPr>
            <w:r>
              <w:rPr>
                <w:rFonts w:hint="eastAsia"/>
                <w:b/>
                <w:bCs/>
              </w:rPr>
              <w:t>采用的币种</w:t>
            </w:r>
          </w:p>
        </w:tc>
        <w:tc>
          <w:tcPr>
            <w:tcW w:w="6104" w:type="dxa"/>
            <w:vAlign w:val="center"/>
          </w:tcPr>
          <w:p>
            <w:pPr>
              <w:pStyle w:val="9"/>
            </w:pPr>
            <w:r>
              <w:rPr>
                <w:rFonts w:hint="eastAsi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vAlign w:val="center"/>
          </w:tcPr>
          <w:p>
            <w:pPr>
              <w:pStyle w:val="9"/>
              <w:jc w:val="center"/>
              <w:rPr>
                <w:b/>
                <w:bCs/>
              </w:rPr>
            </w:pPr>
            <w:r>
              <w:rPr>
                <w:rFonts w:hint="eastAsia"/>
                <w:b/>
                <w:bCs/>
              </w:rPr>
              <w:t>9</w:t>
            </w:r>
          </w:p>
        </w:tc>
        <w:tc>
          <w:tcPr>
            <w:tcW w:w="2483" w:type="dxa"/>
            <w:vAlign w:val="center"/>
          </w:tcPr>
          <w:p>
            <w:pPr>
              <w:pStyle w:val="9"/>
              <w:jc w:val="center"/>
              <w:rPr>
                <w:b/>
                <w:bCs/>
              </w:rPr>
            </w:pPr>
            <w:r>
              <w:rPr>
                <w:rFonts w:hint="eastAsia"/>
                <w:b/>
                <w:bCs/>
              </w:rPr>
              <w:t>服务期</w:t>
            </w:r>
          </w:p>
        </w:tc>
        <w:tc>
          <w:tcPr>
            <w:tcW w:w="6104" w:type="dxa"/>
            <w:vAlign w:val="center"/>
          </w:tcPr>
          <w:p>
            <w:pPr>
              <w:pStyle w:val="9"/>
            </w:pPr>
            <w:r>
              <w:rPr>
                <w:rFonts w:hint="eastAsia"/>
              </w:rPr>
              <w:t>365天内完成全部服务工作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vAlign w:val="center"/>
          </w:tcPr>
          <w:p>
            <w:pPr>
              <w:pStyle w:val="9"/>
              <w:jc w:val="center"/>
              <w:rPr>
                <w:b/>
                <w:bCs/>
              </w:rPr>
            </w:pPr>
            <w:r>
              <w:rPr>
                <w:rFonts w:hint="eastAsia"/>
                <w:b/>
                <w:bCs/>
              </w:rPr>
              <w:t>10</w:t>
            </w:r>
          </w:p>
        </w:tc>
        <w:tc>
          <w:tcPr>
            <w:tcW w:w="2483" w:type="dxa"/>
            <w:vAlign w:val="center"/>
          </w:tcPr>
          <w:p>
            <w:pPr>
              <w:pStyle w:val="9"/>
              <w:jc w:val="center"/>
              <w:rPr>
                <w:b/>
                <w:bCs/>
              </w:rPr>
            </w:pPr>
            <w:r>
              <w:rPr>
                <w:rFonts w:hint="eastAsia"/>
                <w:b/>
                <w:bCs/>
              </w:rPr>
              <w:t>采购方式</w:t>
            </w:r>
          </w:p>
        </w:tc>
        <w:tc>
          <w:tcPr>
            <w:tcW w:w="6104" w:type="dxa"/>
            <w:vAlign w:val="center"/>
          </w:tcPr>
          <w:p>
            <w:pPr>
              <w:pStyle w:val="9"/>
            </w:pPr>
            <w:r>
              <w:rPr>
                <w:rFonts w:hint="eastAsia"/>
              </w:rPr>
              <w:t>公开询价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vAlign w:val="center"/>
          </w:tcPr>
          <w:p>
            <w:pPr>
              <w:pStyle w:val="9"/>
              <w:jc w:val="center"/>
              <w:rPr>
                <w:b/>
                <w:bCs/>
              </w:rPr>
            </w:pPr>
            <w:r>
              <w:rPr>
                <w:rFonts w:hint="eastAsia"/>
                <w:b/>
                <w:bCs/>
              </w:rPr>
              <w:t>11</w:t>
            </w:r>
          </w:p>
        </w:tc>
        <w:tc>
          <w:tcPr>
            <w:tcW w:w="2483" w:type="dxa"/>
            <w:vAlign w:val="center"/>
          </w:tcPr>
          <w:p>
            <w:pPr>
              <w:pStyle w:val="9"/>
              <w:jc w:val="center"/>
              <w:rPr>
                <w:b/>
                <w:bCs/>
              </w:rPr>
            </w:pPr>
            <w:r>
              <w:rPr>
                <w:rFonts w:hint="eastAsia"/>
                <w:b/>
                <w:bCs/>
              </w:rPr>
              <w:t>评标方法</w:t>
            </w:r>
          </w:p>
        </w:tc>
        <w:tc>
          <w:tcPr>
            <w:tcW w:w="6104" w:type="dxa"/>
            <w:vAlign w:val="center"/>
          </w:tcPr>
          <w:p>
            <w:pPr>
              <w:pStyle w:val="9"/>
            </w:pPr>
            <w:r>
              <w:rPr>
                <w:rFonts w:hint="eastAsia"/>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vAlign w:val="center"/>
          </w:tcPr>
          <w:p>
            <w:pPr>
              <w:pStyle w:val="9"/>
              <w:jc w:val="center"/>
              <w:rPr>
                <w:b/>
                <w:bCs/>
              </w:rPr>
            </w:pPr>
            <w:r>
              <w:rPr>
                <w:rFonts w:hint="eastAsia"/>
                <w:b/>
                <w:bCs/>
              </w:rPr>
              <w:t>12</w:t>
            </w:r>
          </w:p>
        </w:tc>
        <w:tc>
          <w:tcPr>
            <w:tcW w:w="2483" w:type="dxa"/>
            <w:vAlign w:val="center"/>
          </w:tcPr>
          <w:p>
            <w:pPr>
              <w:pStyle w:val="9"/>
              <w:jc w:val="center"/>
              <w:rPr>
                <w:b/>
                <w:bCs/>
              </w:rPr>
            </w:pPr>
            <w:r>
              <w:rPr>
                <w:rFonts w:hint="eastAsia"/>
                <w:b/>
                <w:bCs/>
              </w:rPr>
              <w:t>付款方式</w:t>
            </w:r>
          </w:p>
        </w:tc>
        <w:tc>
          <w:tcPr>
            <w:tcW w:w="6104" w:type="dxa"/>
            <w:vAlign w:val="center"/>
          </w:tcPr>
          <w:p>
            <w:pPr>
              <w:pStyle w:val="9"/>
              <w:rPr>
                <w:rFonts w:ascii="宋体" w:hAnsi="宋体" w:eastAsia="宋体" w:cs="宋体"/>
                <w:color w:val="000000" w:themeColor="text1"/>
              </w:rPr>
            </w:pPr>
            <w:r>
              <w:rPr>
                <w:rFonts w:hint="eastAsia" w:ascii="宋体" w:hAnsi="宋体" w:eastAsia="宋体" w:cs="宋体"/>
                <w:color w:val="000000" w:themeColor="text1"/>
              </w:rPr>
              <w:t>1.合同签订生效后20个工作日内，支付含税合同金额的30%。</w:t>
            </w:r>
          </w:p>
          <w:p>
            <w:pPr>
              <w:pStyle w:val="9"/>
              <w:rPr>
                <w:rFonts w:ascii="宋体" w:hAnsi="宋体" w:eastAsia="宋体" w:cs="宋体"/>
                <w:color w:val="000000" w:themeColor="text1"/>
              </w:rPr>
            </w:pPr>
            <w:r>
              <w:rPr>
                <w:rFonts w:hint="eastAsia" w:ascii="宋体" w:hAnsi="宋体" w:eastAsia="宋体" w:cs="宋体"/>
                <w:color w:val="000000" w:themeColor="text1"/>
              </w:rPr>
              <w:t>2.运维期限满半年后，支付含税合同金额的50%。</w:t>
            </w:r>
          </w:p>
          <w:p>
            <w:pPr>
              <w:pStyle w:val="9"/>
              <w:rPr>
                <w:color w:val="000000" w:themeColor="text1"/>
              </w:rPr>
            </w:pPr>
            <w:r>
              <w:rPr>
                <w:rFonts w:hint="eastAsia" w:ascii="宋体" w:hAnsi="宋体" w:eastAsia="宋体" w:cs="宋体"/>
                <w:color w:val="000000" w:themeColor="text1"/>
              </w:rPr>
              <w:t>3.运维期限满一年后，支付含税合同金额的20%。</w:t>
            </w:r>
          </w:p>
          <w:p>
            <w:pPr>
              <w:pStyle w:val="9"/>
              <w:rPr>
                <w:rFonts w:ascii="宋体" w:hAnsi="宋体" w:eastAsia="宋体" w:cs="宋体"/>
                <w:color w:val="000000" w:themeColor="text1"/>
              </w:rPr>
            </w:pPr>
            <w:r>
              <w:rPr>
                <w:rFonts w:hint="eastAsia" w:ascii="宋体" w:hAnsi="宋体" w:eastAsia="宋体" w:cs="宋体"/>
                <w:color w:val="000000" w:themeColor="text1"/>
              </w:rPr>
              <w:t>4.不含增值税价格不因税率变化而变化，若在合同履行期间，国家增值税率提高时合同总价不变，当国家增值税率降低时合同总价相应降低。</w:t>
            </w:r>
          </w:p>
          <w:p>
            <w:pPr>
              <w:pStyle w:val="9"/>
            </w:pPr>
            <w:r>
              <w:rPr>
                <w:rFonts w:hint="eastAsia" w:ascii="宋体" w:hAnsi="宋体" w:eastAsia="宋体" w:cs="宋体"/>
                <w:color w:val="000000" w:themeColor="text1"/>
              </w:rPr>
              <w:t>5.收款方、出具发票方、合同乙方均必须与中标人名称一致。支付每笔付款前，中标人需提供等额的增值税专用发票，付款均有以银行转账方式进行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vAlign w:val="center"/>
          </w:tcPr>
          <w:p>
            <w:pPr>
              <w:pStyle w:val="9"/>
              <w:jc w:val="center"/>
              <w:rPr>
                <w:b/>
                <w:bCs/>
              </w:rPr>
            </w:pPr>
            <w:r>
              <w:rPr>
                <w:rFonts w:hint="eastAsia"/>
                <w:b/>
                <w:bCs/>
              </w:rPr>
              <w:t>13</w:t>
            </w:r>
          </w:p>
        </w:tc>
        <w:tc>
          <w:tcPr>
            <w:tcW w:w="2483" w:type="dxa"/>
            <w:vAlign w:val="center"/>
          </w:tcPr>
          <w:p>
            <w:pPr>
              <w:pStyle w:val="9"/>
              <w:jc w:val="center"/>
              <w:rPr>
                <w:b/>
                <w:bCs/>
              </w:rPr>
            </w:pPr>
            <w:r>
              <w:rPr>
                <w:rFonts w:hint="eastAsia"/>
                <w:b/>
                <w:bCs/>
              </w:rPr>
              <w:t>采购上限价</w:t>
            </w:r>
          </w:p>
        </w:tc>
        <w:tc>
          <w:tcPr>
            <w:tcW w:w="6104" w:type="dxa"/>
            <w:vAlign w:val="center"/>
          </w:tcPr>
          <w:p>
            <w:pPr>
              <w:pStyle w:val="9"/>
            </w:pPr>
            <w:r>
              <w:rPr>
                <w:rFonts w:hint="eastAsia"/>
                <w:sz w:val="28"/>
                <w:szCs w:val="28"/>
              </w:rPr>
              <w:t>¥79200元</w:t>
            </w:r>
            <w:r>
              <w:rPr>
                <w:rFonts w:hint="eastAsia"/>
              </w:rPr>
              <w:t>（人民币柒万玖仟贰佰元整）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708" w:type="dxa"/>
            <w:vAlign w:val="center"/>
          </w:tcPr>
          <w:p>
            <w:pPr>
              <w:pStyle w:val="9"/>
              <w:jc w:val="center"/>
              <w:rPr>
                <w:b/>
                <w:bCs/>
              </w:rPr>
            </w:pPr>
            <w:r>
              <w:rPr>
                <w:rFonts w:hint="eastAsia"/>
                <w:b/>
                <w:bCs/>
              </w:rPr>
              <w:t>14</w:t>
            </w:r>
          </w:p>
        </w:tc>
        <w:tc>
          <w:tcPr>
            <w:tcW w:w="2483" w:type="dxa"/>
            <w:vAlign w:val="center"/>
          </w:tcPr>
          <w:p>
            <w:pPr>
              <w:pStyle w:val="9"/>
              <w:jc w:val="center"/>
              <w:rPr>
                <w:b/>
                <w:bCs/>
              </w:rPr>
            </w:pPr>
            <w:r>
              <w:rPr>
                <w:rFonts w:hint="eastAsia"/>
                <w:b/>
                <w:bCs/>
              </w:rPr>
              <w:t>资质要求</w:t>
            </w:r>
          </w:p>
        </w:tc>
        <w:tc>
          <w:tcPr>
            <w:tcW w:w="6104" w:type="dxa"/>
            <w:vAlign w:val="center"/>
          </w:tcPr>
          <w:p>
            <w:pPr>
              <w:pStyle w:val="9"/>
              <w:rPr>
                <w:color w:val="000000" w:themeColor="text1"/>
              </w:rPr>
            </w:pPr>
            <w:r>
              <w:rPr>
                <w:rFonts w:hint="eastAsia"/>
                <w:color w:val="000000" w:themeColor="text1"/>
              </w:rPr>
              <w:t>1.投标人必须是在中华人民共和国境内注册的独立法人。</w:t>
            </w:r>
          </w:p>
          <w:p>
            <w:pPr>
              <w:pStyle w:val="9"/>
              <w:rPr>
                <w:color w:val="000000" w:themeColor="text1"/>
              </w:rPr>
            </w:pPr>
            <w:r>
              <w:rPr>
                <w:rFonts w:hint="eastAsia"/>
                <w:color w:val="000000" w:themeColor="text1"/>
              </w:rPr>
              <w:t>2.同一服务商或服务商同一集团下属的服务公司只允许一家参与本次投标；同一投标人不能重复参与本次投标。</w:t>
            </w:r>
          </w:p>
          <w:p>
            <w:pPr>
              <w:pStyle w:val="9"/>
              <w:rPr>
                <w:color w:val="000000" w:themeColor="text1"/>
              </w:rPr>
            </w:pPr>
            <w:r>
              <w:rPr>
                <w:color w:val="000000" w:themeColor="text1"/>
              </w:rPr>
              <w:t>3</w:t>
            </w:r>
            <w:r>
              <w:rPr>
                <w:rFonts w:hint="eastAsia"/>
                <w:color w:val="000000" w:themeColor="text1"/>
              </w:rPr>
              <w:t>.投标人信誉良好，近三年内（近三年指2021年1月1日至投标截止日期间）没有骗取中标和严重违约、提供的产品和服务没有重大质量问题及安全事故。</w:t>
            </w:r>
          </w:p>
          <w:p>
            <w:pPr>
              <w:pStyle w:val="9"/>
              <w:rPr>
                <w:color w:val="000000" w:themeColor="text1"/>
              </w:rPr>
            </w:pPr>
            <w:r>
              <w:rPr>
                <w:color w:val="000000" w:themeColor="text1"/>
              </w:rPr>
              <w:t>4</w:t>
            </w:r>
            <w:r>
              <w:rPr>
                <w:rFonts w:hint="eastAsia"/>
                <w:color w:val="000000" w:themeColor="text1"/>
              </w:rPr>
              <w:t>.投标人未被列入失信被执行人、重大税收违法案件当事人名单、政府采购严重违法失信行为记录名单。</w:t>
            </w:r>
          </w:p>
          <w:p>
            <w:pPr>
              <w:pStyle w:val="9"/>
            </w:pPr>
            <w:r>
              <w:rPr>
                <w:color w:val="000000" w:themeColor="text1"/>
              </w:rPr>
              <w:t>5</w:t>
            </w:r>
            <w:r>
              <w:rPr>
                <w:rFonts w:hint="eastAsia"/>
                <w:color w:val="000000" w:themeColor="text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vAlign w:val="center"/>
          </w:tcPr>
          <w:p>
            <w:pPr>
              <w:pStyle w:val="9"/>
              <w:jc w:val="center"/>
              <w:rPr>
                <w:b/>
                <w:bCs/>
              </w:rPr>
            </w:pPr>
            <w:r>
              <w:rPr>
                <w:rFonts w:hint="eastAsia"/>
                <w:b/>
                <w:bCs/>
              </w:rPr>
              <w:t>15</w:t>
            </w:r>
          </w:p>
        </w:tc>
        <w:tc>
          <w:tcPr>
            <w:tcW w:w="2483" w:type="dxa"/>
            <w:vAlign w:val="center"/>
          </w:tcPr>
          <w:p>
            <w:pPr>
              <w:pStyle w:val="9"/>
              <w:jc w:val="center"/>
              <w:rPr>
                <w:b/>
                <w:bCs/>
              </w:rPr>
            </w:pPr>
            <w:r>
              <w:rPr>
                <w:rFonts w:hint="eastAsia"/>
                <w:b/>
                <w:bCs/>
              </w:rPr>
              <w:t>中标服务费收费标准</w:t>
            </w:r>
          </w:p>
        </w:tc>
        <w:tc>
          <w:tcPr>
            <w:tcW w:w="6104" w:type="dxa"/>
            <w:vAlign w:val="center"/>
          </w:tcPr>
          <w:p>
            <w:pPr>
              <w:pStyle w:val="9"/>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vAlign w:val="center"/>
          </w:tcPr>
          <w:p>
            <w:pPr>
              <w:pStyle w:val="9"/>
              <w:jc w:val="center"/>
              <w:rPr>
                <w:b/>
                <w:bCs/>
              </w:rPr>
            </w:pPr>
            <w:r>
              <w:rPr>
                <w:rFonts w:hint="eastAsia"/>
                <w:b/>
                <w:bCs/>
              </w:rPr>
              <w:t>16</w:t>
            </w:r>
          </w:p>
        </w:tc>
        <w:tc>
          <w:tcPr>
            <w:tcW w:w="2483" w:type="dxa"/>
            <w:vAlign w:val="center"/>
          </w:tcPr>
          <w:p>
            <w:pPr>
              <w:pStyle w:val="9"/>
              <w:jc w:val="center"/>
              <w:rPr>
                <w:b/>
                <w:bCs/>
              </w:rPr>
            </w:pPr>
            <w:r>
              <w:rPr>
                <w:rFonts w:hint="eastAsia"/>
                <w:b/>
                <w:bCs/>
              </w:rPr>
              <w:t>其他事项说明</w:t>
            </w:r>
          </w:p>
        </w:tc>
        <w:tc>
          <w:tcPr>
            <w:tcW w:w="6104" w:type="dxa"/>
            <w:vAlign w:val="center"/>
          </w:tcPr>
          <w:p>
            <w:pPr>
              <w:pStyle w:val="9"/>
            </w:pPr>
            <w:r>
              <w:rPr>
                <w:rFonts w:hint="eastAsia"/>
              </w:rPr>
              <w:t>若纸质版响应文件的报价单与电子版响应文件存在不一致的情况，以纸质版响应文件为准。</w:t>
            </w:r>
          </w:p>
        </w:tc>
      </w:tr>
    </w:tbl>
    <w:p>
      <w:pPr>
        <w:pStyle w:val="7"/>
        <w:widowControl w:val="0"/>
        <w:adjustRightInd w:val="0"/>
        <w:spacing w:line="560" w:lineRule="exact"/>
        <w:ind w:firstLine="0"/>
        <w:jc w:val="both"/>
        <w:textAlignment w:val="baseline"/>
        <w:rPr>
          <w:rFonts w:ascii="仿宋_GB2312" w:hAnsi="仿宋_GB2312" w:eastAsia="仿宋_GB2312" w:cs="仿宋_GB2312"/>
          <w:sz w:val="36"/>
          <w:szCs w:val="40"/>
        </w:rPr>
      </w:pPr>
    </w:p>
    <w:p>
      <w:pPr>
        <w:pStyle w:val="7"/>
        <w:widowControl w:val="0"/>
        <w:adjustRightInd w:val="0"/>
        <w:spacing w:line="560" w:lineRule="exact"/>
        <w:ind w:firstLine="0"/>
        <w:jc w:val="both"/>
        <w:textAlignment w:val="baseline"/>
        <w:rPr>
          <w:rFonts w:ascii="仿宋_GB2312" w:hAnsi="仿宋_GB2312" w:eastAsia="仿宋_GB2312" w:cs="仿宋_GB2312"/>
          <w:sz w:val="36"/>
          <w:szCs w:val="40"/>
        </w:rPr>
      </w:pPr>
    </w:p>
    <w:p>
      <w:pPr>
        <w:pStyle w:val="7"/>
        <w:widowControl w:val="0"/>
        <w:adjustRightInd w:val="0"/>
        <w:spacing w:line="560" w:lineRule="exact"/>
        <w:jc w:val="center"/>
        <w:textAlignment w:val="baseline"/>
        <w:rPr>
          <w:rFonts w:ascii="仿宋" w:hAnsi="仿宋" w:eastAsia="仿宋" w:cs="仿宋"/>
          <w:sz w:val="32"/>
          <w:szCs w:val="32"/>
        </w:rPr>
      </w:pPr>
      <w:r>
        <w:rPr>
          <w:rFonts w:hint="eastAsia" w:ascii="仿宋" w:hAnsi="仿宋" w:eastAsia="仿宋" w:cs="仿宋"/>
          <w:sz w:val="32"/>
          <w:szCs w:val="32"/>
        </w:rPr>
        <w:t>二、评定标办法（综合评估法）</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 总则</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1.1为保证招标工作的公开、公平和公正，加强本项目的评标工作，使评标工作规范化、标准化、科学化，选择有经验、有实力、信誉好的投标人承担工作任务，依据《中华人民共和国招标投标法》相关法规、文件特制定本评标办法。</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1.2本项目的招标人纪检监督部门工作人员对工程的开标、评标、实施监督管理。</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1.3评标原则：按公正、科学、客观、平等竞争的要求，从中选择有经验、业绩及信誉良好、综合实力强的投标人作为中标候选人。</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1.4对于评标小组意见有分歧的问题，评标小组实行少数服从多数的原则进行表决，表决结果经评标小组全体成员过半数通过有效。</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 评标小组</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2.1招标人将依法组建评标小组，评标小组由有关方面的专家组成，成员人数为五人（含）以上单数，其中有关技术方面的专家不少于三分之二。与投标人有利害关系的成员应当回避，评标小组名单在评审结果确定之前应当保密。</w:t>
      </w:r>
    </w:p>
    <w:p>
      <w:pPr>
        <w:pStyle w:val="7"/>
        <w:widowControl w:val="0"/>
        <w:numPr>
          <w:ilvl w:val="0"/>
          <w:numId w:val="1"/>
        </w:numPr>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评标程序</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本项目采用综合评分法。是指在最大限度地满足招标文件实质性要求前提下，按照招标文件规定的评审标准进行评审，并按汇总得分由高到低的顺序推荐中标候选人。全部评标过程将按以下步骤进行：</w:t>
      </w:r>
    </w:p>
    <w:p>
      <w:pPr>
        <w:spacing w:line="360" w:lineRule="exact"/>
        <w:ind w:firstLine="640" w:firstLineChars="200"/>
        <w:rPr>
          <w:rFonts w:ascii="仿宋" w:hAnsi="仿宋" w:eastAsia="仿宋" w:cs="仿宋"/>
          <w:sz w:val="32"/>
          <w:szCs w:val="32"/>
        </w:rPr>
      </w:pPr>
      <w:r>
        <w:rPr>
          <w:rFonts w:hint="eastAsia" w:ascii="仿宋" w:hAnsi="仿宋" w:eastAsia="仿宋" w:cs="仿宋"/>
          <w:sz w:val="32"/>
          <w:szCs w:val="32"/>
        </w:rPr>
        <w:t>1)评标准备；</w:t>
      </w:r>
    </w:p>
    <w:p>
      <w:pPr>
        <w:spacing w:line="360" w:lineRule="exact"/>
        <w:ind w:firstLine="640" w:firstLineChars="200"/>
        <w:rPr>
          <w:rFonts w:ascii="仿宋" w:hAnsi="仿宋" w:eastAsia="仿宋" w:cs="仿宋"/>
          <w:sz w:val="32"/>
          <w:szCs w:val="32"/>
        </w:rPr>
      </w:pPr>
      <w:r>
        <w:rPr>
          <w:rFonts w:hint="eastAsia" w:ascii="仿宋" w:hAnsi="仿宋" w:eastAsia="仿宋" w:cs="仿宋"/>
          <w:sz w:val="32"/>
          <w:szCs w:val="32"/>
        </w:rPr>
        <w:t>2)资格审查；</w:t>
      </w:r>
    </w:p>
    <w:p>
      <w:pPr>
        <w:spacing w:line="360" w:lineRule="exact"/>
        <w:ind w:firstLine="640" w:firstLineChars="200"/>
        <w:rPr>
          <w:rFonts w:ascii="仿宋" w:hAnsi="仿宋" w:eastAsia="仿宋" w:cs="仿宋"/>
          <w:sz w:val="32"/>
          <w:szCs w:val="32"/>
        </w:rPr>
      </w:pPr>
      <w:r>
        <w:rPr>
          <w:rFonts w:hint="eastAsia" w:ascii="仿宋" w:hAnsi="仿宋" w:eastAsia="仿宋" w:cs="仿宋"/>
          <w:sz w:val="32"/>
          <w:szCs w:val="32"/>
        </w:rPr>
        <w:t>3)项目评审；</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4)中标候选人的推荐；</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5)评标报告。</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4. 评标准备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4.1评标小组人员进入评标室后，首先推选一名专家担任评标小组组长。评标小组组长负责评标过程中的组织工作，引导评标小组按约定的程序进行评标。</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4.2评标小组人员应当熟悉招标文件、评标方法等有关文件，包括项目概况、招标范围、招标目的、评标方法、评标所用表格、以及打分方法等。</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5. 资格审查</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5.1本项目资格审查工作在开标后交由评标小组进行审查。</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5.2评审内容见《项目评分表》。</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6. 项目评审</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6.1评标小组对通过资格审查的投标文件的商务标和技术标进行详细评审。即：各评委根据招标文件规定的商务标、技术标评分规则，对投标文件商务标、技术标进行评分。评审内容见综合评分表。</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6.2 评标小组将以综合汇总的方式对所有评标小组成员的独立评分进行汇总，计算出每个投标人的综合得分。当评标小组成员为7人及以上单数时，在评委打分中去掉一个最高分和一个最低分，取余下评委评审得分之和作为投标人该项最终得分（四舍五入保留小数点后两位）。</w:t>
      </w:r>
    </w:p>
    <w:p>
      <w:pPr>
        <w:pStyle w:val="7"/>
        <w:widowControl w:val="0"/>
        <w:adjustRightIn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6.3 推荐中标候选人。</w:t>
      </w:r>
    </w:p>
    <w:p>
      <w:pPr>
        <w:pStyle w:val="7"/>
        <w:widowControl w:val="0"/>
        <w:adjustRightInd w:val="0"/>
        <w:spacing w:line="5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7.中标候选人的推荐</w:t>
      </w:r>
    </w:p>
    <w:p>
      <w:pPr>
        <w:pStyle w:val="7"/>
        <w:widowControl w:val="0"/>
        <w:adjustRightInd w:val="0"/>
        <w:spacing w:line="5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7.1 按评审综合得分从高至低的顺序进行排序，向招标人推荐评审综合得分排名第一名的中标候选人，形成评标报告。</w:t>
      </w:r>
    </w:p>
    <w:p>
      <w:pPr>
        <w:pStyle w:val="7"/>
        <w:widowControl w:val="0"/>
        <w:adjustRightInd w:val="0"/>
        <w:spacing w:line="5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7.2 若出现评审综合得分相同的情形，如不影响中标候选人家数，可以并列计；如影响中标候选人家数，按投标报价由低到高顺序排列。综合得分且暂定投标总价相同的，按技术方案优劣顺序排列。</w:t>
      </w:r>
    </w:p>
    <w:p>
      <w:pPr>
        <w:pStyle w:val="7"/>
        <w:widowControl w:val="0"/>
        <w:adjustRightInd w:val="0"/>
        <w:spacing w:line="5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8.附则</w:t>
      </w:r>
    </w:p>
    <w:p>
      <w:pPr>
        <w:pStyle w:val="7"/>
        <w:widowControl w:val="0"/>
        <w:adjustRightInd w:val="0"/>
        <w:spacing w:line="560" w:lineRule="exact"/>
        <w:ind w:firstLine="640" w:firstLineChars="200"/>
        <w:textAlignment w:val="baseline"/>
        <w:rPr>
          <w:rFonts w:ascii="仿宋" w:hAnsi="仿宋" w:eastAsia="仿宋" w:cs="仿宋"/>
          <w:b/>
          <w:sz w:val="32"/>
          <w:szCs w:val="32"/>
        </w:rPr>
      </w:pPr>
      <w:r>
        <w:rPr>
          <w:rFonts w:hint="eastAsia" w:ascii="仿宋" w:hAnsi="仿宋" w:eastAsia="仿宋" w:cs="仿宋"/>
          <w:sz w:val="32"/>
          <w:szCs w:val="32"/>
        </w:rPr>
        <w:t>本评标办法由招标人负责解释。</w:t>
      </w:r>
    </w:p>
    <w:p>
      <w:pPr>
        <w:pStyle w:val="2"/>
        <w:spacing w:before="0" w:after="0"/>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项目评分表</w:t>
      </w:r>
    </w:p>
    <w:tbl>
      <w:tblPr>
        <w:tblStyle w:val="20"/>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241"/>
        <w:gridCol w:w="753"/>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530" w:type="dxa"/>
            <w:gridSpan w:val="4"/>
            <w:vAlign w:val="center"/>
          </w:tcPr>
          <w:p>
            <w:pPr>
              <w:widowControl/>
              <w:spacing w:after="0"/>
              <w:jc w:val="center"/>
              <w:rPr>
                <w:color w:val="000000" w:themeColor="text1"/>
              </w:rPr>
            </w:pPr>
            <w:r>
              <w:rPr>
                <w:rFonts w:hint="eastAsia"/>
                <w:b/>
                <w:bCs/>
                <w:color w:val="000000" w:themeColor="text1"/>
                <w:sz w:val="28"/>
                <w:szCs w:val="28"/>
              </w:rPr>
              <w:t>一 技术部分（</w:t>
            </w:r>
            <w:r>
              <w:rPr>
                <w:b/>
                <w:bCs/>
                <w:color w:val="000000" w:themeColor="text1"/>
                <w:sz w:val="28"/>
                <w:szCs w:val="28"/>
              </w:rPr>
              <w:t>35</w:t>
            </w:r>
            <w:r>
              <w:rPr>
                <w:rFonts w:hint="eastAsia"/>
                <w:b/>
                <w:bCs/>
                <w:color w:val="000000" w:themeColor="text1"/>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31" w:type="dxa"/>
            <w:vAlign w:val="center"/>
          </w:tcPr>
          <w:p>
            <w:pPr>
              <w:widowControl/>
              <w:spacing w:after="0"/>
              <w:jc w:val="center"/>
              <w:rPr>
                <w:b/>
                <w:bCs/>
                <w:color w:val="000000" w:themeColor="text1"/>
              </w:rPr>
            </w:pPr>
            <w:r>
              <w:rPr>
                <w:rFonts w:hint="eastAsia"/>
                <w:b/>
                <w:bCs/>
                <w:color w:val="000000" w:themeColor="text1"/>
              </w:rPr>
              <w:t>序号</w:t>
            </w:r>
          </w:p>
        </w:tc>
        <w:tc>
          <w:tcPr>
            <w:tcW w:w="2241" w:type="dxa"/>
            <w:vAlign w:val="center"/>
          </w:tcPr>
          <w:p>
            <w:pPr>
              <w:widowControl/>
              <w:spacing w:after="0"/>
              <w:jc w:val="center"/>
              <w:rPr>
                <w:b/>
                <w:bCs/>
                <w:color w:val="000000" w:themeColor="text1"/>
              </w:rPr>
            </w:pPr>
            <w:r>
              <w:rPr>
                <w:rFonts w:hint="eastAsia"/>
                <w:b/>
                <w:bCs/>
                <w:color w:val="000000" w:themeColor="text1"/>
              </w:rPr>
              <w:t>评分因素</w:t>
            </w:r>
          </w:p>
        </w:tc>
        <w:tc>
          <w:tcPr>
            <w:tcW w:w="753" w:type="dxa"/>
            <w:vAlign w:val="center"/>
          </w:tcPr>
          <w:p>
            <w:pPr>
              <w:widowControl/>
              <w:spacing w:after="0"/>
              <w:jc w:val="center"/>
              <w:rPr>
                <w:b/>
                <w:bCs/>
                <w:color w:val="000000" w:themeColor="text1"/>
              </w:rPr>
            </w:pPr>
            <w:r>
              <w:rPr>
                <w:rFonts w:hint="eastAsia"/>
                <w:b/>
                <w:bCs/>
                <w:color w:val="000000" w:themeColor="text1"/>
              </w:rPr>
              <w:t>分值</w:t>
            </w:r>
          </w:p>
        </w:tc>
        <w:tc>
          <w:tcPr>
            <w:tcW w:w="5805" w:type="dxa"/>
            <w:vAlign w:val="center"/>
          </w:tcPr>
          <w:p>
            <w:pPr>
              <w:widowControl/>
              <w:spacing w:after="0"/>
              <w:jc w:val="center"/>
              <w:rPr>
                <w:b/>
                <w:bCs/>
                <w:color w:val="000000" w:themeColor="text1"/>
              </w:rPr>
            </w:pPr>
            <w:r>
              <w:rPr>
                <w:rFonts w:hint="eastAsia"/>
                <w:b/>
                <w:bCs/>
                <w:color w:val="000000" w:themeColor="text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1" w:type="dxa"/>
            <w:vAlign w:val="center"/>
          </w:tcPr>
          <w:p>
            <w:pPr>
              <w:pStyle w:val="9"/>
              <w:widowControl w:val="0"/>
              <w:jc w:val="both"/>
            </w:pPr>
            <w:r>
              <w:rPr>
                <w:rFonts w:hint="eastAsia"/>
              </w:rPr>
              <w:t>1</w:t>
            </w:r>
          </w:p>
        </w:tc>
        <w:tc>
          <w:tcPr>
            <w:tcW w:w="2241" w:type="dxa"/>
            <w:vAlign w:val="center"/>
          </w:tcPr>
          <w:p>
            <w:pPr>
              <w:pStyle w:val="9"/>
              <w:widowControl w:val="0"/>
              <w:jc w:val="center"/>
            </w:pPr>
            <w:r>
              <w:rPr>
                <w:rFonts w:hint="eastAsia"/>
              </w:rPr>
              <w:t>项目实施方案</w:t>
            </w:r>
          </w:p>
        </w:tc>
        <w:tc>
          <w:tcPr>
            <w:tcW w:w="753" w:type="dxa"/>
            <w:vAlign w:val="center"/>
          </w:tcPr>
          <w:p>
            <w:pPr>
              <w:pStyle w:val="9"/>
              <w:widowControl w:val="0"/>
              <w:jc w:val="center"/>
            </w:pPr>
            <w:r>
              <w:rPr>
                <w:rFonts w:hint="eastAsia"/>
              </w:rPr>
              <w:t>10</w:t>
            </w:r>
          </w:p>
        </w:tc>
        <w:tc>
          <w:tcPr>
            <w:tcW w:w="5805" w:type="dxa"/>
          </w:tcPr>
          <w:p>
            <w:pPr>
              <w:pStyle w:val="9"/>
              <w:widowControl w:val="0"/>
              <w:jc w:val="left"/>
            </w:pPr>
            <w:r>
              <w:rPr>
                <w:rFonts w:hint="eastAsia"/>
              </w:rPr>
              <w:t>评审内容：</w:t>
            </w:r>
          </w:p>
          <w:p>
            <w:pPr>
              <w:pStyle w:val="9"/>
              <w:widowControl w:val="0"/>
              <w:jc w:val="left"/>
            </w:pPr>
            <w:r>
              <w:rPr>
                <w:rFonts w:hint="eastAsia"/>
              </w:rPr>
              <w:t>投标人服务方案编制的科学性、严谨性、全面性。目标理解准确，任务分解得当，工作安排合理得当，内容覆盖完整。</w:t>
            </w:r>
          </w:p>
          <w:p>
            <w:pPr>
              <w:pStyle w:val="9"/>
              <w:widowControl w:val="0"/>
              <w:jc w:val="left"/>
            </w:pPr>
            <w:r>
              <w:rPr>
                <w:rFonts w:hint="eastAsia"/>
              </w:rPr>
              <w:t>评分标准：</w:t>
            </w:r>
          </w:p>
          <w:p>
            <w:pPr>
              <w:pStyle w:val="9"/>
              <w:widowControl w:val="0"/>
              <w:jc w:val="left"/>
            </w:pPr>
            <w:r>
              <w:rPr>
                <w:rFonts w:hint="eastAsia"/>
              </w:rPr>
              <w:t>1.项目总体思路清晰明确，方案合理可行，满足服务要求，针对性强，得8-10分；</w:t>
            </w:r>
          </w:p>
          <w:p>
            <w:pPr>
              <w:pStyle w:val="9"/>
              <w:widowControl w:val="0"/>
              <w:jc w:val="left"/>
            </w:pPr>
            <w:r>
              <w:rPr>
                <w:rFonts w:hint="eastAsia"/>
              </w:rPr>
              <w:t>2.项目总体思路比较清晰，方案比较合理可行，可以满足服务要求，得5-8分；</w:t>
            </w:r>
          </w:p>
          <w:p>
            <w:pPr>
              <w:pStyle w:val="9"/>
              <w:widowControl w:val="0"/>
              <w:jc w:val="left"/>
            </w:pPr>
            <w:r>
              <w:rPr>
                <w:rFonts w:hint="eastAsia"/>
              </w:rPr>
              <w:t>3.项目总体思路基本清晰，方案基本合理可行，基本可以满足服务要求，得1-5分；</w:t>
            </w:r>
          </w:p>
          <w:p>
            <w:pPr>
              <w:pStyle w:val="9"/>
              <w:widowControl w:val="0"/>
              <w:jc w:val="left"/>
            </w:pPr>
            <w:r>
              <w:rPr>
                <w:rFonts w:hint="eastAsia"/>
              </w:rPr>
              <w:t>4.项目总体思路不清晰，方案不完整，不能满足服务需要，不得分。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1" w:type="dxa"/>
            <w:vAlign w:val="center"/>
          </w:tcPr>
          <w:p>
            <w:pPr>
              <w:pStyle w:val="9"/>
              <w:widowControl w:val="0"/>
              <w:jc w:val="both"/>
            </w:pPr>
            <w:r>
              <w:rPr>
                <w:rFonts w:hint="eastAsia"/>
              </w:rPr>
              <w:t>2</w:t>
            </w:r>
          </w:p>
        </w:tc>
        <w:tc>
          <w:tcPr>
            <w:tcW w:w="2241" w:type="dxa"/>
            <w:vAlign w:val="center"/>
          </w:tcPr>
          <w:p>
            <w:pPr>
              <w:pStyle w:val="9"/>
              <w:widowControl w:val="0"/>
              <w:jc w:val="center"/>
            </w:pPr>
            <w:r>
              <w:rPr>
                <w:rFonts w:hint="eastAsia"/>
              </w:rPr>
              <w:t>项目负责人</w:t>
            </w:r>
          </w:p>
        </w:tc>
        <w:tc>
          <w:tcPr>
            <w:tcW w:w="753" w:type="dxa"/>
            <w:vAlign w:val="center"/>
          </w:tcPr>
          <w:p>
            <w:pPr>
              <w:pStyle w:val="9"/>
              <w:widowControl w:val="0"/>
              <w:jc w:val="center"/>
            </w:pPr>
            <w:r>
              <w:t>10</w:t>
            </w:r>
          </w:p>
        </w:tc>
        <w:tc>
          <w:tcPr>
            <w:tcW w:w="5805" w:type="dxa"/>
            <w:vAlign w:val="center"/>
          </w:tcPr>
          <w:p>
            <w:pPr>
              <w:pStyle w:val="9"/>
              <w:widowControl w:val="0"/>
              <w:jc w:val="left"/>
            </w:pPr>
            <w:r>
              <w:rPr>
                <w:rFonts w:hint="eastAsia"/>
              </w:rPr>
              <w:t>评审内容：</w:t>
            </w:r>
          </w:p>
          <w:p>
            <w:pPr>
              <w:pStyle w:val="9"/>
              <w:widowControl w:val="0"/>
              <w:jc w:val="both"/>
            </w:pPr>
            <w:r>
              <w:rPr>
                <w:rFonts w:hint="eastAsia"/>
              </w:rPr>
              <w:t>1、拟安排本项目负责人为投标人自有员工（以社保证明文件为准）。</w:t>
            </w:r>
          </w:p>
          <w:p>
            <w:pPr>
              <w:widowControl w:val="0"/>
              <w:jc w:val="both"/>
            </w:pPr>
            <w:r>
              <w:rPr>
                <w:rFonts w:hint="eastAsia"/>
              </w:rPr>
              <w:t>2、拟安排项目负责人具有系统集成项目管理工程师证书（通过中华人民共和国人力资源和社会保障部、中华人民共和国工业和信息化部颁发：计算机技术与软件专业技术资格证书）</w:t>
            </w:r>
          </w:p>
          <w:p>
            <w:pPr>
              <w:pStyle w:val="9"/>
              <w:widowControl w:val="0"/>
              <w:jc w:val="left"/>
            </w:pPr>
            <w:r>
              <w:rPr>
                <w:rFonts w:hint="eastAsia"/>
              </w:rPr>
              <w:t>评分标准：</w:t>
            </w:r>
          </w:p>
          <w:p>
            <w:pPr>
              <w:pStyle w:val="9"/>
              <w:widowControl w:val="0"/>
              <w:jc w:val="both"/>
            </w:pPr>
            <w:r>
              <w:rPr>
                <w:rFonts w:hint="eastAsia"/>
              </w:rPr>
              <w:t>1、拟安排本项目负责人为投标人自有员工，且有系统集成项目管理工程师证书，得10分；</w:t>
            </w:r>
          </w:p>
          <w:p>
            <w:pPr>
              <w:pStyle w:val="9"/>
              <w:widowControl w:val="0"/>
              <w:jc w:val="both"/>
            </w:pPr>
            <w:r>
              <w:t>2</w:t>
            </w:r>
            <w:r>
              <w:rPr>
                <w:rFonts w:hint="eastAsia"/>
              </w:rPr>
              <w:t>、拟安排本项目负责人非投标人自有员工，得0分；</w:t>
            </w:r>
          </w:p>
          <w:p>
            <w:pPr>
              <w:pStyle w:val="9"/>
              <w:widowControl w:val="0"/>
              <w:jc w:val="both"/>
            </w:pPr>
            <w:r>
              <w:t>3</w:t>
            </w:r>
            <w:r>
              <w:rPr>
                <w:rFonts w:hint="eastAsia"/>
              </w:rPr>
              <w:t>、拟安排本项目负责人无系统集成项目管理工程师证书，得0分。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1" w:type="dxa"/>
            <w:vAlign w:val="center"/>
          </w:tcPr>
          <w:p>
            <w:pPr>
              <w:pStyle w:val="9"/>
              <w:widowControl w:val="0"/>
              <w:jc w:val="both"/>
            </w:pPr>
            <w:r>
              <w:rPr>
                <w:rFonts w:hint="eastAsia"/>
              </w:rPr>
              <w:t>3</w:t>
            </w:r>
          </w:p>
        </w:tc>
        <w:tc>
          <w:tcPr>
            <w:tcW w:w="2241" w:type="dxa"/>
            <w:vAlign w:val="center"/>
          </w:tcPr>
          <w:p>
            <w:pPr>
              <w:pStyle w:val="9"/>
              <w:widowControl w:val="0"/>
              <w:jc w:val="center"/>
            </w:pPr>
            <w:r>
              <w:rPr>
                <w:rFonts w:hint="eastAsia"/>
              </w:rPr>
              <w:t>服务响应时间</w:t>
            </w:r>
          </w:p>
        </w:tc>
        <w:tc>
          <w:tcPr>
            <w:tcW w:w="753" w:type="dxa"/>
            <w:vAlign w:val="center"/>
          </w:tcPr>
          <w:p>
            <w:pPr>
              <w:pStyle w:val="9"/>
              <w:widowControl w:val="0"/>
              <w:jc w:val="center"/>
            </w:pPr>
            <w:r>
              <w:t>15</w:t>
            </w:r>
          </w:p>
        </w:tc>
        <w:tc>
          <w:tcPr>
            <w:tcW w:w="5805" w:type="dxa"/>
          </w:tcPr>
          <w:p>
            <w:pPr>
              <w:widowControl/>
              <w:jc w:val="left"/>
            </w:pPr>
            <w:r>
              <w:rPr>
                <w:rFonts w:hint="eastAsia"/>
              </w:rPr>
              <w:t>一、评审内容：</w:t>
            </w:r>
          </w:p>
          <w:p>
            <w:pPr>
              <w:widowControl w:val="0"/>
              <w:autoSpaceDE w:val="0"/>
              <w:autoSpaceDN w:val="0"/>
              <w:jc w:val="left"/>
            </w:pPr>
            <w:r>
              <w:rPr>
                <w:rFonts w:hint="eastAsia"/>
              </w:rPr>
              <w:t>投标人承诺：</w:t>
            </w:r>
          </w:p>
          <w:p>
            <w:pPr>
              <w:widowControl w:val="0"/>
              <w:jc w:val="left"/>
            </w:pPr>
            <w:r>
              <w:rPr>
                <w:rFonts w:hint="eastAsia"/>
              </w:rPr>
              <w:t>（1）服务响应速度在30分钟以内响应的，得15分；</w:t>
            </w:r>
          </w:p>
          <w:p>
            <w:pPr>
              <w:widowControl w:val="0"/>
              <w:jc w:val="left"/>
            </w:pPr>
            <w:r>
              <w:rPr>
                <w:rFonts w:hint="eastAsia"/>
              </w:rPr>
              <w:t>（2）服务响应速度在60分钟以内响应的，得8分；</w:t>
            </w:r>
          </w:p>
          <w:p>
            <w:pPr>
              <w:widowControl w:val="0"/>
              <w:autoSpaceDE w:val="0"/>
              <w:autoSpaceDN w:val="0"/>
              <w:jc w:val="left"/>
            </w:pPr>
            <w:r>
              <w:rPr>
                <w:rFonts w:hint="eastAsia"/>
              </w:rPr>
              <w:t>（3）服务响应速度在120分钟以内响应的，得3分。</w:t>
            </w:r>
          </w:p>
          <w:p>
            <w:pPr>
              <w:widowControl w:val="0"/>
              <w:autoSpaceDE w:val="0"/>
              <w:autoSpaceDN w:val="0"/>
              <w:jc w:val="left"/>
            </w:pPr>
            <w:r>
              <w:rPr>
                <w:rFonts w:hint="eastAsia"/>
              </w:rPr>
              <w:t>（4）无法在服务响应速度在120分钟以内响应的，得0分</w:t>
            </w:r>
          </w:p>
          <w:p>
            <w:pPr>
              <w:widowControl w:val="0"/>
              <w:shd w:val="clear" w:color="auto" w:fill="FFFFFF" w:themeFill="background1"/>
              <w:autoSpaceDE w:val="0"/>
              <w:autoSpaceDN w:val="0"/>
              <w:snapToGrid w:val="0"/>
              <w:jc w:val="left"/>
            </w:pPr>
            <w:r>
              <w:rPr>
                <w:rFonts w:hint="eastAsia"/>
              </w:rPr>
              <w:t>（二）评分依据：</w:t>
            </w:r>
          </w:p>
          <w:p>
            <w:pPr>
              <w:widowControl w:val="0"/>
              <w:jc w:val="left"/>
            </w:pPr>
            <w:r>
              <w:rPr>
                <w:rFonts w:hint="eastAsia"/>
              </w:rPr>
              <w:t>投标人需提供服务响应时间承诺函（格式自拟），未按要求承诺或无法判断的不得分。</w:t>
            </w:r>
          </w:p>
        </w:tc>
      </w:tr>
    </w:tbl>
    <w:p>
      <w:pPr>
        <w:spacing w:line="240" w:lineRule="auto"/>
        <w:ind w:firstLine="220" w:firstLineChars="100"/>
        <w:rPr>
          <w:rFonts w:ascii="仿宋" w:hAnsi="仿宋"/>
          <w:szCs w:val="28"/>
        </w:rPr>
      </w:pPr>
    </w:p>
    <w:tbl>
      <w:tblPr>
        <w:tblStyle w:val="20"/>
        <w:tblW w:w="9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692"/>
        <w:gridCol w:w="6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791" w:type="dxa"/>
            <w:gridSpan w:val="4"/>
            <w:vAlign w:val="bottom"/>
          </w:tcPr>
          <w:p>
            <w:pPr>
              <w:pStyle w:val="9"/>
              <w:widowControl/>
              <w:spacing w:after="0"/>
              <w:jc w:val="center"/>
            </w:pPr>
            <w:r>
              <w:rPr>
                <w:rFonts w:hint="eastAsia" w:asciiTheme="majorEastAsia" w:hAnsiTheme="majorEastAsia" w:eastAsiaTheme="majorEastAsia" w:cstheme="majorEastAsia"/>
                <w:b/>
                <w:bCs/>
                <w:sz w:val="28"/>
                <w:szCs w:val="28"/>
              </w:rPr>
              <w:t>二 商务部分（</w:t>
            </w:r>
            <w:r>
              <w:rPr>
                <w:rFonts w:asciiTheme="majorEastAsia" w:hAnsiTheme="majorEastAsia" w:eastAsiaTheme="majorEastAsia" w:cstheme="majorEastAsia"/>
                <w:b/>
                <w:bCs/>
                <w:sz w:val="28"/>
                <w:szCs w:val="28"/>
              </w:rPr>
              <w:t>35</w:t>
            </w:r>
            <w:r>
              <w:rPr>
                <w:rFonts w:hint="eastAsia" w:asciiTheme="majorEastAsia" w:hAnsiTheme="majorEastAsia" w:eastAsiaTheme="majorEastAsia" w:cstheme="majorEastAsia"/>
                <w:b/>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704" w:type="dxa"/>
            <w:vAlign w:val="center"/>
          </w:tcPr>
          <w:p>
            <w:pPr>
              <w:pStyle w:val="9"/>
              <w:widowControl/>
              <w:spacing w:after="0"/>
              <w:jc w:val="center"/>
              <w:rPr>
                <w:b/>
                <w:bCs/>
              </w:rPr>
            </w:pPr>
            <w:r>
              <w:rPr>
                <w:rFonts w:hint="eastAsia"/>
                <w:b/>
                <w:bCs/>
              </w:rPr>
              <w:t>序号</w:t>
            </w:r>
          </w:p>
        </w:tc>
        <w:tc>
          <w:tcPr>
            <w:tcW w:w="2268" w:type="dxa"/>
            <w:vAlign w:val="center"/>
          </w:tcPr>
          <w:p>
            <w:pPr>
              <w:pStyle w:val="9"/>
              <w:widowControl/>
              <w:spacing w:after="0"/>
              <w:jc w:val="center"/>
              <w:rPr>
                <w:b/>
                <w:bCs/>
              </w:rPr>
            </w:pPr>
            <w:r>
              <w:rPr>
                <w:rFonts w:hint="eastAsia"/>
                <w:b/>
                <w:bCs/>
              </w:rPr>
              <w:t>评分因素</w:t>
            </w:r>
          </w:p>
        </w:tc>
        <w:tc>
          <w:tcPr>
            <w:tcW w:w="692" w:type="dxa"/>
            <w:vAlign w:val="center"/>
          </w:tcPr>
          <w:p>
            <w:pPr>
              <w:pStyle w:val="9"/>
              <w:widowControl/>
              <w:spacing w:after="0"/>
              <w:jc w:val="center"/>
              <w:rPr>
                <w:b/>
                <w:bCs/>
              </w:rPr>
            </w:pPr>
            <w:r>
              <w:rPr>
                <w:rFonts w:hint="eastAsia"/>
                <w:b/>
                <w:bCs/>
              </w:rPr>
              <w:t>分值</w:t>
            </w:r>
          </w:p>
        </w:tc>
        <w:tc>
          <w:tcPr>
            <w:tcW w:w="6127" w:type="dxa"/>
            <w:vAlign w:val="center"/>
          </w:tcPr>
          <w:p>
            <w:pPr>
              <w:pStyle w:val="9"/>
              <w:widowControl/>
              <w:spacing w:after="0"/>
              <w:jc w:val="center"/>
              <w:rPr>
                <w:b/>
                <w:bCs/>
              </w:rPr>
            </w:pPr>
            <w:r>
              <w:rPr>
                <w:rFonts w:hint="eastAsia"/>
                <w:b/>
                <w:bCs/>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9"/>
              <w:widowControl w:val="0"/>
              <w:jc w:val="center"/>
            </w:pPr>
            <w:r>
              <w:rPr>
                <w:rFonts w:hint="eastAsia"/>
              </w:rPr>
              <w:t>1</w:t>
            </w:r>
          </w:p>
        </w:tc>
        <w:tc>
          <w:tcPr>
            <w:tcW w:w="2268" w:type="dxa"/>
            <w:vAlign w:val="center"/>
          </w:tcPr>
          <w:p>
            <w:pPr>
              <w:pStyle w:val="9"/>
              <w:widowControl w:val="0"/>
              <w:jc w:val="center"/>
            </w:pPr>
            <w:r>
              <w:rPr>
                <w:rFonts w:hint="eastAsia"/>
              </w:rPr>
              <w:t>过往业绩</w:t>
            </w:r>
          </w:p>
        </w:tc>
        <w:tc>
          <w:tcPr>
            <w:tcW w:w="692" w:type="dxa"/>
            <w:vAlign w:val="center"/>
          </w:tcPr>
          <w:p>
            <w:pPr>
              <w:pStyle w:val="9"/>
              <w:widowControl w:val="0"/>
              <w:jc w:val="center"/>
            </w:pPr>
            <w:r>
              <w:rPr>
                <w:rFonts w:hint="eastAsia"/>
              </w:rPr>
              <w:t>10</w:t>
            </w:r>
          </w:p>
        </w:tc>
        <w:tc>
          <w:tcPr>
            <w:tcW w:w="6127" w:type="dxa"/>
          </w:tcPr>
          <w:p>
            <w:pPr>
              <w:pStyle w:val="9"/>
              <w:widowControl w:val="0"/>
              <w:jc w:val="both"/>
            </w:pPr>
            <w:r>
              <w:rPr>
                <w:rFonts w:hint="eastAsia"/>
              </w:rPr>
              <w:t>评审内容：</w:t>
            </w:r>
          </w:p>
          <w:p>
            <w:pPr>
              <w:pStyle w:val="9"/>
              <w:widowControl w:val="0"/>
              <w:jc w:val="both"/>
            </w:pPr>
            <w:r>
              <w:rPr>
                <w:rFonts w:hint="eastAsia"/>
              </w:rPr>
              <w:t>2021年1月1日至今（以合同签订时间为准），投标人提供与本项目类似的项目案列。每项2分，最高得10分。</w:t>
            </w:r>
          </w:p>
          <w:p>
            <w:pPr>
              <w:pStyle w:val="9"/>
              <w:widowControl w:val="0"/>
              <w:jc w:val="both"/>
            </w:pPr>
            <w:r>
              <w:rPr>
                <w:rFonts w:hint="eastAsia"/>
              </w:rPr>
              <w:t>评分依据：需提供合同关键页复印件，并加盖投标人公章。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9"/>
              <w:widowControl w:val="0"/>
              <w:jc w:val="center"/>
            </w:pPr>
            <w:r>
              <w:rPr>
                <w:rFonts w:hint="eastAsia"/>
              </w:rPr>
              <w:t>2</w:t>
            </w:r>
          </w:p>
        </w:tc>
        <w:tc>
          <w:tcPr>
            <w:tcW w:w="2268" w:type="dxa"/>
            <w:vAlign w:val="center"/>
          </w:tcPr>
          <w:p>
            <w:pPr>
              <w:pStyle w:val="9"/>
              <w:widowControl w:val="0"/>
              <w:jc w:val="center"/>
            </w:pPr>
            <w:r>
              <w:rPr>
                <w:rFonts w:hint="eastAsia"/>
              </w:rPr>
              <w:t>公司资质</w:t>
            </w:r>
          </w:p>
        </w:tc>
        <w:tc>
          <w:tcPr>
            <w:tcW w:w="692" w:type="dxa"/>
            <w:vAlign w:val="center"/>
          </w:tcPr>
          <w:p>
            <w:pPr>
              <w:pStyle w:val="9"/>
              <w:widowControl w:val="0"/>
              <w:jc w:val="center"/>
            </w:pPr>
            <w:r>
              <w:t>2</w:t>
            </w:r>
            <w:r>
              <w:rPr>
                <w:rFonts w:hint="eastAsia"/>
              </w:rPr>
              <w:t>5</w:t>
            </w:r>
          </w:p>
        </w:tc>
        <w:tc>
          <w:tcPr>
            <w:tcW w:w="6127" w:type="dxa"/>
          </w:tcPr>
          <w:p>
            <w:pPr>
              <w:pStyle w:val="9"/>
              <w:widowControl w:val="0"/>
              <w:jc w:val="both"/>
            </w:pPr>
            <w:r>
              <w:rPr>
                <w:rFonts w:hint="eastAsia"/>
              </w:rPr>
              <w:t>评审内容：</w:t>
            </w:r>
          </w:p>
          <w:p>
            <w:pPr>
              <w:pStyle w:val="9"/>
              <w:widowControl w:val="0"/>
              <w:jc w:val="both"/>
            </w:pPr>
            <w:r>
              <w:rPr>
                <w:rFonts w:hint="eastAsia"/>
              </w:rPr>
              <w:t>(1)投标人具有广东省守合同重信用企业证书、得10分；</w:t>
            </w:r>
          </w:p>
          <w:p>
            <w:pPr>
              <w:pStyle w:val="9"/>
              <w:widowControl w:val="0"/>
              <w:jc w:val="both"/>
            </w:pPr>
            <w:r>
              <w:rPr>
                <w:rFonts w:hint="eastAsia"/>
              </w:rPr>
              <w:t>(2)投标人具有A</w:t>
            </w:r>
            <w:r>
              <w:t>AA</w:t>
            </w:r>
            <w:r>
              <w:rPr>
                <w:rFonts w:hint="eastAsia"/>
              </w:rPr>
              <w:t>级诚信供应商证书，得5分；</w:t>
            </w:r>
          </w:p>
          <w:p>
            <w:pPr>
              <w:pStyle w:val="9"/>
              <w:widowControl w:val="0"/>
              <w:jc w:val="both"/>
            </w:pPr>
            <w:r>
              <w:rPr>
                <w:rFonts w:hint="eastAsia"/>
              </w:rPr>
              <w:t>(3) 投标人具有A</w:t>
            </w:r>
            <w:r>
              <w:t>AA</w:t>
            </w:r>
            <w:r>
              <w:rPr>
                <w:rFonts w:hint="eastAsia"/>
              </w:rPr>
              <w:t>级诚信经营示范单位证书，得5分。</w:t>
            </w:r>
          </w:p>
          <w:p>
            <w:pPr>
              <w:widowControl w:val="0"/>
              <w:jc w:val="both"/>
            </w:pPr>
            <w:r>
              <w:rPr>
                <w:rFonts w:hint="eastAsia"/>
              </w:rPr>
              <w:t>(</w:t>
            </w:r>
            <w:r>
              <w:t>4</w:t>
            </w:r>
            <w:r>
              <w:rPr>
                <w:rFonts w:hint="eastAsia"/>
              </w:rPr>
              <w:t>) 投标人具有A</w:t>
            </w:r>
            <w:r>
              <w:t>AA</w:t>
            </w:r>
            <w:r>
              <w:rPr>
                <w:rFonts w:hint="eastAsia"/>
              </w:rPr>
              <w:t>级质量服务诚信企业证书，得5分。</w:t>
            </w:r>
          </w:p>
        </w:tc>
      </w:tr>
    </w:tbl>
    <w:p>
      <w:pPr>
        <w:pStyle w:val="9"/>
      </w:pPr>
    </w:p>
    <w:tbl>
      <w:tblPr>
        <w:tblStyle w:val="20"/>
        <w:tblW w:w="9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524" w:type="dxa"/>
            <w:gridSpan w:val="2"/>
            <w:vAlign w:val="bottom"/>
          </w:tcPr>
          <w:p>
            <w:pPr>
              <w:pStyle w:val="9"/>
              <w:widowControl/>
              <w:spacing w:after="0"/>
              <w:jc w:val="center"/>
            </w:pPr>
            <w:r>
              <w:rPr>
                <w:rFonts w:hint="eastAsia" w:asciiTheme="majorEastAsia" w:hAnsiTheme="majorEastAsia" w:eastAsiaTheme="majorEastAsia" w:cstheme="majorEastAsia"/>
                <w:b/>
                <w:bCs/>
                <w:sz w:val="28"/>
                <w:szCs w:val="28"/>
              </w:rPr>
              <w:t>三 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122" w:type="dxa"/>
            <w:vAlign w:val="center"/>
          </w:tcPr>
          <w:p>
            <w:pPr>
              <w:pStyle w:val="9"/>
              <w:widowControl/>
              <w:spacing w:after="0"/>
              <w:jc w:val="center"/>
              <w:rPr>
                <w:b/>
                <w:bCs/>
              </w:rPr>
            </w:pPr>
            <w:r>
              <w:rPr>
                <w:rFonts w:hint="eastAsia"/>
                <w:b/>
                <w:bCs/>
              </w:rPr>
              <w:t>价格分计算方法</w:t>
            </w:r>
          </w:p>
        </w:tc>
        <w:tc>
          <w:tcPr>
            <w:tcW w:w="7402" w:type="dxa"/>
            <w:vAlign w:val="center"/>
          </w:tcPr>
          <w:p>
            <w:pPr>
              <w:pStyle w:val="9"/>
              <w:widowControl/>
              <w:spacing w:after="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vAlign w:val="center"/>
          </w:tcPr>
          <w:p>
            <w:pPr>
              <w:pStyle w:val="9"/>
              <w:widowControl w:val="0"/>
              <w:jc w:val="both"/>
            </w:pPr>
            <w:r>
              <w:t>评标基准价计算方法</w:t>
            </w:r>
          </w:p>
        </w:tc>
        <w:tc>
          <w:tcPr>
            <w:tcW w:w="7402" w:type="dxa"/>
            <w:vAlign w:val="center"/>
          </w:tcPr>
          <w:p>
            <w:pPr>
              <w:widowControl w:val="0"/>
              <w:spacing w:line="240" w:lineRule="auto"/>
              <w:jc w:val="both"/>
              <w:rPr>
                <w:rFonts w:ascii="仿宋" w:hAnsi="仿宋"/>
                <w:szCs w:val="28"/>
              </w:rPr>
            </w:pPr>
            <w:r>
              <w:rPr>
                <w:rFonts w:hint="eastAsia" w:ascii="仿宋" w:hAnsi="仿宋"/>
                <w:szCs w:val="28"/>
              </w:rPr>
              <w:t>价格分计算方法：</w:t>
            </w:r>
          </w:p>
          <w:p>
            <w:pPr>
              <w:widowControl w:val="0"/>
              <w:spacing w:line="240" w:lineRule="auto"/>
              <w:jc w:val="both"/>
              <w:rPr>
                <w:rFonts w:ascii="仿宋" w:hAnsi="仿宋"/>
                <w:szCs w:val="28"/>
              </w:rPr>
            </w:pPr>
            <w:r>
              <w:rPr>
                <w:rFonts w:hint="eastAsia" w:ascii="宋体" w:hAnsi="宋体" w:eastAsia="宋体" w:cs="宋体"/>
                <w:szCs w:val="28"/>
              </w:rPr>
              <w:t>1.</w:t>
            </w:r>
            <w:r>
              <w:rPr>
                <w:rFonts w:hint="eastAsia" w:ascii="仿宋" w:hAnsi="仿宋"/>
                <w:szCs w:val="28"/>
              </w:rPr>
              <w:t>以投标人全部暂</w:t>
            </w:r>
            <w:r>
              <w:rPr>
                <w:rFonts w:ascii="仿宋" w:hAnsi="仿宋"/>
                <w:szCs w:val="28"/>
              </w:rPr>
              <w:t>定</w:t>
            </w:r>
            <w:r>
              <w:rPr>
                <w:rFonts w:hint="eastAsia" w:ascii="仿宋" w:hAnsi="仿宋"/>
                <w:szCs w:val="28"/>
              </w:rPr>
              <w:t>投标</w:t>
            </w:r>
            <w:r>
              <w:rPr>
                <w:rFonts w:ascii="仿宋" w:hAnsi="仿宋"/>
                <w:szCs w:val="28"/>
              </w:rPr>
              <w:t>总</w:t>
            </w:r>
            <w:r>
              <w:rPr>
                <w:rFonts w:hint="eastAsia" w:ascii="仿宋" w:hAnsi="仿宋"/>
                <w:szCs w:val="28"/>
              </w:rPr>
              <w:t>价的次低价为评</w:t>
            </w:r>
            <w:r>
              <w:rPr>
                <w:rFonts w:ascii="仿宋" w:hAnsi="仿宋"/>
                <w:szCs w:val="28"/>
              </w:rPr>
              <w:t>标</w:t>
            </w:r>
            <w:r>
              <w:rPr>
                <w:rFonts w:hint="eastAsia" w:ascii="仿宋" w:hAnsi="仿宋"/>
                <w:szCs w:val="28"/>
              </w:rPr>
              <w:t>基</w:t>
            </w:r>
            <w:r>
              <w:rPr>
                <w:rFonts w:ascii="仿宋" w:hAnsi="仿宋"/>
                <w:szCs w:val="28"/>
              </w:rPr>
              <w:t>准价</w:t>
            </w:r>
            <w:r>
              <w:rPr>
                <w:rFonts w:hint="eastAsia" w:ascii="仿宋" w:hAnsi="仿宋"/>
                <w:szCs w:val="28"/>
              </w:rPr>
              <w:t>。</w:t>
            </w:r>
          </w:p>
          <w:p>
            <w:pPr>
              <w:widowControl w:val="0"/>
              <w:spacing w:line="240" w:lineRule="auto"/>
              <w:jc w:val="both"/>
              <w:rPr>
                <w:rFonts w:ascii="仿宋" w:hAnsi="仿宋"/>
                <w:szCs w:val="28"/>
              </w:rPr>
            </w:pPr>
            <w:r>
              <w:rPr>
                <w:rFonts w:hint="eastAsia" w:ascii="宋体" w:hAnsi="宋体" w:eastAsia="宋体" w:cs="宋体"/>
                <w:szCs w:val="28"/>
              </w:rPr>
              <w:t>2.</w:t>
            </w:r>
            <w:r>
              <w:rPr>
                <w:rFonts w:hint="eastAsia" w:ascii="仿宋" w:hAnsi="仿宋"/>
                <w:szCs w:val="28"/>
              </w:rPr>
              <w:t>投标人暂</w:t>
            </w:r>
            <w:r>
              <w:rPr>
                <w:rFonts w:ascii="仿宋" w:hAnsi="仿宋"/>
                <w:szCs w:val="28"/>
              </w:rPr>
              <w:t>定</w:t>
            </w:r>
            <w:r>
              <w:rPr>
                <w:rFonts w:hint="eastAsia" w:ascii="仿宋" w:hAnsi="仿宋"/>
                <w:szCs w:val="28"/>
              </w:rPr>
              <w:t>投标总价为</w:t>
            </w:r>
            <w:r>
              <w:rPr>
                <w:rFonts w:ascii="仿宋" w:hAnsi="仿宋"/>
                <w:szCs w:val="28"/>
              </w:rPr>
              <w:t>最低价和次低价时为满分</w:t>
            </w:r>
            <w:r>
              <w:rPr>
                <w:rFonts w:hint="eastAsia" w:ascii="仿宋" w:hAnsi="仿宋"/>
                <w:szCs w:val="28"/>
              </w:rPr>
              <w:t>。</w:t>
            </w:r>
          </w:p>
          <w:p>
            <w:pPr>
              <w:widowControl w:val="0"/>
              <w:spacing w:line="240" w:lineRule="auto"/>
              <w:jc w:val="both"/>
              <w:rPr>
                <w:rFonts w:ascii="宋体" w:hAnsi="宋体" w:eastAsia="宋体" w:cs="宋体"/>
                <w:szCs w:val="28"/>
              </w:rPr>
            </w:pPr>
            <w:r>
              <w:rPr>
                <w:rFonts w:hint="eastAsia" w:ascii="宋体" w:hAnsi="宋体" w:eastAsia="宋体" w:cs="宋体"/>
                <w:szCs w:val="28"/>
              </w:rPr>
              <w:t>3.投标人价格得分计算：</w:t>
            </w:r>
          </w:p>
          <w:p>
            <w:pPr>
              <w:pStyle w:val="9"/>
              <w:widowControl w:val="0"/>
              <w:jc w:val="both"/>
            </w:pPr>
            <w:r>
              <w:rPr>
                <w:rFonts w:hint="eastAsia" w:ascii="宋体" w:hAnsi="宋体" w:eastAsia="宋体" w:cs="宋体"/>
                <w:szCs w:val="28"/>
              </w:rPr>
              <w:t>价格分=（评标</w:t>
            </w:r>
            <w:r>
              <w:rPr>
                <w:rFonts w:hint="eastAsia" w:ascii="仿宋" w:hAnsi="仿宋"/>
                <w:szCs w:val="28"/>
              </w:rPr>
              <w:t>基</w:t>
            </w:r>
            <w:r>
              <w:rPr>
                <w:rFonts w:ascii="仿宋" w:hAnsi="仿宋"/>
                <w:szCs w:val="28"/>
              </w:rPr>
              <w:t>准价</w:t>
            </w:r>
            <w:r>
              <w:rPr>
                <w:rFonts w:hint="eastAsia" w:ascii="仿宋" w:hAnsi="仿宋"/>
                <w:szCs w:val="28"/>
              </w:rPr>
              <w:t>/暂</w:t>
            </w:r>
            <w:r>
              <w:rPr>
                <w:rFonts w:ascii="仿宋" w:hAnsi="仿宋"/>
                <w:szCs w:val="28"/>
              </w:rPr>
              <w:t>定</w:t>
            </w:r>
            <w:r>
              <w:rPr>
                <w:rFonts w:hint="eastAsia" w:ascii="仿宋" w:hAnsi="仿宋"/>
                <w:szCs w:val="28"/>
              </w:rPr>
              <w:t>投标总价）×价</w:t>
            </w:r>
            <w:r>
              <w:rPr>
                <w:rFonts w:ascii="仿宋" w:hAnsi="仿宋"/>
                <w:szCs w:val="28"/>
              </w:rPr>
              <w:t>格</w:t>
            </w:r>
            <w:r>
              <w:rPr>
                <w:rFonts w:hint="eastAsia" w:ascii="宋体" w:hAnsi="宋体" w:eastAsia="宋体" w:cs="宋体"/>
                <w:szCs w:val="28"/>
              </w:rPr>
              <w:t>权重×100</w:t>
            </w:r>
          </w:p>
        </w:tc>
      </w:tr>
    </w:tbl>
    <w:p>
      <w:pPr>
        <w:spacing w:after="0" w:line="500" w:lineRule="exact"/>
        <w:rPr>
          <w:rFonts w:ascii="仿宋" w:hAnsi="仿宋" w:eastAsia="仿宋" w:cs="仿宋"/>
          <w:sz w:val="32"/>
          <w:szCs w:val="32"/>
        </w:rPr>
      </w:pPr>
      <w:r>
        <w:rPr>
          <w:rFonts w:hint="eastAsia" w:ascii="仿宋" w:hAnsi="仿宋" w:eastAsia="仿宋" w:cs="仿宋"/>
          <w:sz w:val="32"/>
          <w:szCs w:val="32"/>
        </w:rPr>
        <w:t>注：</w:t>
      </w:r>
    </w:p>
    <w:p>
      <w:pPr>
        <w:spacing w:after="0" w:line="500" w:lineRule="exact"/>
        <w:ind w:firstLine="640" w:firstLineChars="200"/>
        <w:rPr>
          <w:rFonts w:ascii="仿宋" w:hAnsi="仿宋" w:eastAsia="仿宋" w:cs="仿宋"/>
          <w:sz w:val="32"/>
          <w:szCs w:val="32"/>
        </w:rPr>
      </w:pPr>
      <w:r>
        <w:rPr>
          <w:rFonts w:hint="eastAsia" w:ascii="仿宋" w:hAnsi="仿宋" w:eastAsia="仿宋" w:cs="仿宋"/>
          <w:sz w:val="32"/>
          <w:szCs w:val="32"/>
        </w:rPr>
        <w:t>1. 有取值范围的，含下限值，不含上限值。每一项的得分均不能超过该项最高分值。</w:t>
      </w:r>
    </w:p>
    <w:p>
      <w:pPr>
        <w:spacing w:after="0" w:line="500" w:lineRule="exact"/>
        <w:ind w:firstLine="560"/>
        <w:rPr>
          <w:rFonts w:ascii="仿宋" w:hAnsi="仿宋" w:eastAsia="仿宋" w:cs="仿宋"/>
          <w:sz w:val="32"/>
          <w:szCs w:val="32"/>
        </w:rPr>
      </w:pPr>
      <w:r>
        <w:rPr>
          <w:rFonts w:hint="eastAsia" w:ascii="仿宋" w:hAnsi="仿宋" w:eastAsia="仿宋" w:cs="仿宋"/>
          <w:sz w:val="32"/>
          <w:szCs w:val="32"/>
        </w:rPr>
        <w:t>2. 缺项则该项为0分或不合格为0分。</w:t>
      </w:r>
    </w:p>
    <w:p>
      <w:pPr>
        <w:tabs>
          <w:tab w:val="left" w:pos="7560"/>
        </w:tabs>
        <w:spacing w:after="0" w:line="500" w:lineRule="exact"/>
        <w:ind w:firstLine="560"/>
        <w:rPr>
          <w:rFonts w:ascii="仿宋" w:hAnsi="仿宋" w:eastAsia="仿宋" w:cs="仿宋"/>
          <w:sz w:val="32"/>
          <w:szCs w:val="32"/>
        </w:rPr>
      </w:pPr>
      <w:r>
        <w:rPr>
          <w:rFonts w:hint="eastAsia" w:ascii="仿宋" w:hAnsi="仿宋" w:eastAsia="仿宋" w:cs="仿宋"/>
          <w:sz w:val="32"/>
          <w:szCs w:val="32"/>
        </w:rPr>
        <w:t>3. 综合以上分析比较，评委会将对各投标文件进行书面的量化评定，得分四舍五入精确到小数点后两位。</w:t>
      </w:r>
    </w:p>
    <w:p>
      <w:pPr>
        <w:spacing w:line="240" w:lineRule="auto"/>
        <w:jc w:val="center"/>
        <w:rPr>
          <w:rFonts w:ascii="仿宋_GB2312" w:hAnsi="仿宋" w:eastAsia="仿宋_GB2312" w:cs="仿宋"/>
          <w:sz w:val="44"/>
          <w:szCs w:val="44"/>
        </w:rPr>
      </w:pPr>
    </w:p>
    <w:p>
      <w:pPr>
        <w:spacing w:line="240" w:lineRule="auto"/>
        <w:jc w:val="center"/>
        <w:rPr>
          <w:rFonts w:ascii="仿宋_GB2312" w:hAnsi="仿宋" w:eastAsia="仿宋_GB2312" w:cs="仿宋"/>
          <w:sz w:val="44"/>
          <w:szCs w:val="44"/>
        </w:rPr>
      </w:pPr>
    </w:p>
    <w:p>
      <w:pPr>
        <w:spacing w:line="240" w:lineRule="auto"/>
        <w:jc w:val="center"/>
        <w:rPr>
          <w:rFonts w:ascii="仿宋_GB2312" w:hAnsi="仿宋" w:eastAsia="仿宋_GB2312" w:cs="仿宋"/>
          <w:sz w:val="44"/>
          <w:szCs w:val="44"/>
        </w:rPr>
      </w:pPr>
    </w:p>
    <w:p>
      <w:pPr>
        <w:spacing w:line="240" w:lineRule="auto"/>
        <w:jc w:val="center"/>
        <w:rPr>
          <w:rFonts w:ascii="仿宋_GB2312" w:hAnsi="仿宋" w:eastAsia="仿宋_GB2312" w:cs="仿宋"/>
          <w:sz w:val="44"/>
          <w:szCs w:val="44"/>
        </w:rPr>
      </w:pPr>
    </w:p>
    <w:p>
      <w:pPr>
        <w:spacing w:line="240" w:lineRule="auto"/>
        <w:jc w:val="center"/>
        <w:rPr>
          <w:rFonts w:hint="eastAsia" w:ascii="仿宋_GB2312" w:hAnsi="仿宋" w:eastAsia="仿宋_GB2312" w:cs="仿宋"/>
          <w:sz w:val="44"/>
          <w:szCs w:val="44"/>
        </w:rPr>
      </w:pPr>
    </w:p>
    <w:p>
      <w:pPr>
        <w:spacing w:line="240" w:lineRule="auto"/>
        <w:jc w:val="center"/>
        <w:rPr>
          <w:rFonts w:hint="eastAsia" w:ascii="仿宋_GB2312" w:hAnsi="仿宋" w:eastAsia="仿宋_GB2312" w:cs="仿宋"/>
          <w:sz w:val="44"/>
          <w:szCs w:val="44"/>
        </w:rPr>
      </w:pPr>
    </w:p>
    <w:p>
      <w:pPr>
        <w:spacing w:line="240" w:lineRule="auto"/>
        <w:jc w:val="center"/>
        <w:rPr>
          <w:rFonts w:hint="eastAsia" w:ascii="仿宋_GB2312" w:hAnsi="仿宋" w:eastAsia="仿宋_GB2312" w:cs="仿宋"/>
          <w:sz w:val="44"/>
          <w:szCs w:val="44"/>
        </w:rPr>
      </w:pPr>
    </w:p>
    <w:p>
      <w:pPr>
        <w:spacing w:line="240" w:lineRule="auto"/>
        <w:jc w:val="center"/>
        <w:rPr>
          <w:rFonts w:ascii="仿宋_GB2312" w:hAnsi="仿宋" w:eastAsia="仿宋_GB2312" w:cs="仿宋"/>
          <w:sz w:val="44"/>
          <w:szCs w:val="44"/>
        </w:rPr>
      </w:pPr>
    </w:p>
    <w:p>
      <w:pPr>
        <w:spacing w:line="240" w:lineRule="auto"/>
        <w:jc w:val="center"/>
        <w:rPr>
          <w:rFonts w:ascii="仿宋_GB2312" w:hAnsi="仿宋" w:eastAsia="仿宋_GB2312" w:cs="仿宋"/>
          <w:bCs/>
          <w:sz w:val="44"/>
          <w:szCs w:val="44"/>
        </w:rPr>
      </w:pPr>
      <w:r>
        <w:rPr>
          <w:rFonts w:hint="eastAsia" w:ascii="仿宋_GB2312" w:hAnsi="仿宋" w:eastAsia="仿宋_GB2312" w:cs="仿宋"/>
          <w:sz w:val="44"/>
          <w:szCs w:val="44"/>
        </w:rPr>
        <w:t>深圳市布吉供水有限公司</w:t>
      </w:r>
    </w:p>
    <w:p>
      <w:pPr>
        <w:ind w:firstLine="400"/>
        <w:rPr>
          <w:rFonts w:ascii="仿宋_GB2312" w:hAnsi="仿宋" w:eastAsia="仿宋_GB2312" w:cs="仿宋"/>
          <w:sz w:val="20"/>
          <w:szCs w:val="20"/>
        </w:rPr>
      </w:pPr>
    </w:p>
    <w:p>
      <w:pPr>
        <w:ind w:firstLine="1040"/>
        <w:jc w:val="both"/>
        <w:rPr>
          <w:rFonts w:ascii="仿宋_GB2312" w:hAnsi="仿宋" w:eastAsia="仿宋_GB2312" w:cs="仿宋"/>
          <w:bCs/>
          <w:sz w:val="52"/>
          <w:szCs w:val="52"/>
        </w:rPr>
      </w:pPr>
    </w:p>
    <w:p>
      <w:pPr>
        <w:jc w:val="center"/>
        <w:rPr>
          <w:rFonts w:ascii="仿宋_GB2312" w:hAnsi="仿宋" w:eastAsia="仿宋_GB2312" w:cs="仿宋"/>
          <w:bCs/>
          <w:sz w:val="84"/>
          <w:szCs w:val="84"/>
        </w:rPr>
      </w:pPr>
      <w:r>
        <w:rPr>
          <w:rFonts w:hint="eastAsia" w:ascii="仿宋_GB2312" w:hAnsi="仿宋" w:eastAsia="仿宋_GB2312" w:cs="仿宋"/>
          <w:bCs/>
          <w:sz w:val="84"/>
          <w:szCs w:val="84"/>
        </w:rPr>
        <w:t>响 应 文 件</w:t>
      </w:r>
    </w:p>
    <w:p>
      <w:pPr>
        <w:ind w:firstLine="800"/>
        <w:jc w:val="center"/>
        <w:rPr>
          <w:rFonts w:ascii="仿宋_GB2312" w:eastAsia="仿宋_GB2312" w:cs="Times New Roman"/>
          <w:sz w:val="40"/>
          <w:szCs w:val="40"/>
        </w:rPr>
      </w:pPr>
    </w:p>
    <w:p>
      <w:pPr>
        <w:ind w:firstLine="560"/>
        <w:rPr>
          <w:rFonts w:ascii="仿宋_GB2312" w:eastAsia="仿宋_GB2312" w:cs="Times New Roman"/>
          <w:szCs w:val="28"/>
        </w:rPr>
      </w:pPr>
    </w:p>
    <w:p>
      <w:pPr>
        <w:ind w:firstLine="560"/>
        <w:rPr>
          <w:rFonts w:ascii="仿宋_GB2312" w:eastAsia="仿宋_GB2312" w:cs="Times New Roman"/>
          <w:szCs w:val="28"/>
        </w:rPr>
      </w:pPr>
    </w:p>
    <w:p>
      <w:pPr>
        <w:ind w:firstLine="560"/>
        <w:rPr>
          <w:rFonts w:ascii="仿宋_GB2312" w:eastAsia="仿宋_GB2312" w:cs="Times New Roman"/>
          <w:szCs w:val="28"/>
        </w:rPr>
      </w:pPr>
    </w:p>
    <w:p>
      <w:pPr>
        <w:spacing w:line="240" w:lineRule="auto"/>
        <w:rPr>
          <w:rFonts w:ascii="仿宋_GB2312" w:eastAsia="仿宋_GB2312" w:cs="Times New Roman"/>
          <w:szCs w:val="28"/>
        </w:rPr>
      </w:pPr>
    </w:p>
    <w:p>
      <w:pPr>
        <w:spacing w:line="240" w:lineRule="auto"/>
        <w:ind w:firstLine="320" w:firstLineChars="100"/>
        <w:rPr>
          <w:rFonts w:ascii="仿宋_GB2312" w:eastAsia="仿宋_GB2312" w:cs="Times New Roman"/>
          <w:sz w:val="32"/>
          <w:szCs w:val="32"/>
          <w:u w:val="single"/>
        </w:rPr>
      </w:pPr>
      <w:r>
        <w:rPr>
          <w:rFonts w:hint="eastAsia" w:ascii="仿宋_GB2312" w:eastAsia="仿宋_GB2312" w:cs="仿宋_GB2312"/>
          <w:sz w:val="32"/>
          <w:szCs w:val="32"/>
        </w:rPr>
        <w:t>项目名称：</w:t>
      </w:r>
      <w:r>
        <w:rPr>
          <w:rFonts w:hint="eastAsia" w:ascii="仿宋_GB2312" w:eastAsia="仿宋_GB2312" w:cs="仿宋_GB2312"/>
          <w:sz w:val="32"/>
          <w:szCs w:val="32"/>
          <w:u w:val="single"/>
        </w:rPr>
        <w:t>2025年度网络维保服务项目</w:t>
      </w:r>
    </w:p>
    <w:p>
      <w:pPr>
        <w:pStyle w:val="11"/>
        <w:widowControl/>
        <w:ind w:firstLine="320" w:firstLineChars="100"/>
        <w:rPr>
          <w:rFonts w:ascii="仿宋_GB2312" w:eastAsia="仿宋_GB2312" w:cs="Courier New"/>
          <w:sz w:val="32"/>
          <w:szCs w:val="32"/>
          <w:u w:val="single"/>
        </w:rPr>
      </w:pPr>
      <w:r>
        <w:rPr>
          <w:rFonts w:hint="eastAsia" w:ascii="仿宋_GB2312" w:hAnsi="Times New Roman" w:eastAsia="仿宋_GB2312" w:cs="仿宋_GB2312"/>
          <w:sz w:val="32"/>
          <w:szCs w:val="32"/>
        </w:rPr>
        <w:t>响应单位：</w:t>
      </w:r>
      <w:r>
        <w:rPr>
          <w:rFonts w:hint="eastAsia" w:ascii="仿宋_GB2312" w:eastAsia="仿宋_GB2312" w:cs="Courier New"/>
          <w:sz w:val="32"/>
          <w:szCs w:val="32"/>
          <w:u w:val="single"/>
        </w:rPr>
        <w:t xml:space="preserve">                             （加盖公章）</w:t>
      </w:r>
    </w:p>
    <w:p>
      <w:pPr>
        <w:pStyle w:val="11"/>
        <w:widowControl/>
        <w:ind w:firstLine="320" w:firstLineChars="100"/>
        <w:rPr>
          <w:rFonts w:ascii="仿宋_GB2312" w:hAnsi="Times New Roman" w:eastAsia="仿宋_GB2312" w:cs="仿宋_GB2312"/>
          <w:sz w:val="32"/>
          <w:szCs w:val="32"/>
        </w:rPr>
      </w:pPr>
      <w:r>
        <w:rPr>
          <w:rFonts w:hint="eastAsia" w:ascii="仿宋_GB2312" w:hAnsi="Times New Roman" w:eastAsia="仿宋_GB2312" w:cs="仿宋_GB2312"/>
          <w:sz w:val="32"/>
          <w:szCs w:val="32"/>
        </w:rPr>
        <w:t>项目编号：布吉供水（招）字/2024-059</w:t>
      </w:r>
    </w:p>
    <w:p>
      <w:pPr>
        <w:pStyle w:val="11"/>
        <w:widowControl/>
        <w:ind w:firstLine="320" w:firstLineChars="100"/>
        <w:rPr>
          <w:rFonts w:ascii="仿宋_GB2312" w:eastAsia="仿宋_GB2312" w:cs="Courier New"/>
          <w:sz w:val="32"/>
          <w:szCs w:val="32"/>
          <w:u w:val="single"/>
        </w:rPr>
      </w:pPr>
      <w:r>
        <w:rPr>
          <w:rFonts w:hint="eastAsia" w:ascii="仿宋_GB2312" w:hAnsi="Times New Roman" w:eastAsia="仿宋_GB2312" w:cs="仿宋_GB2312"/>
          <w:sz w:val="32"/>
          <w:szCs w:val="32"/>
        </w:rPr>
        <w:t>单位地址</w:t>
      </w:r>
      <w:r>
        <w:rPr>
          <w:rFonts w:hint="eastAsia" w:ascii="仿宋_GB2312" w:hAnsi="宋体" w:eastAsia="仿宋_GB2312" w:cs="宋体"/>
          <w:sz w:val="32"/>
          <w:szCs w:val="32"/>
        </w:rPr>
        <w:t>：</w:t>
      </w:r>
    </w:p>
    <w:p>
      <w:pPr>
        <w:pStyle w:val="11"/>
        <w:widowControl/>
        <w:ind w:firstLine="320" w:firstLineChars="100"/>
        <w:rPr>
          <w:rFonts w:ascii="仿宋_GB2312" w:hAnsi="Times New Roman" w:eastAsia="仿宋_GB2312" w:cs="仿宋_GB2312"/>
          <w:sz w:val="32"/>
          <w:szCs w:val="32"/>
        </w:rPr>
      </w:pPr>
      <w:r>
        <w:rPr>
          <w:rFonts w:hint="eastAsia" w:ascii="仿宋_GB2312" w:hAnsi="Times New Roman" w:eastAsia="仿宋_GB2312" w:cs="仿宋_GB2312"/>
          <w:sz w:val="32"/>
          <w:szCs w:val="32"/>
        </w:rPr>
        <w:t>法定代表人/被授权人：</w:t>
      </w:r>
    </w:p>
    <w:p>
      <w:pPr>
        <w:pStyle w:val="11"/>
        <w:widowControl/>
        <w:ind w:firstLine="320" w:firstLineChars="100"/>
        <w:rPr>
          <w:rFonts w:ascii="仿宋_GB2312" w:hAnsi="Times New Roman" w:eastAsia="仿宋_GB2312" w:cs="仿宋_GB2312"/>
          <w:sz w:val="32"/>
          <w:szCs w:val="32"/>
        </w:rPr>
      </w:pPr>
      <w:r>
        <w:rPr>
          <w:rFonts w:hint="eastAsia" w:ascii="仿宋_GB2312" w:hAnsi="Times New Roman" w:eastAsia="仿宋_GB2312" w:cs="仿宋_GB2312"/>
          <w:sz w:val="32"/>
          <w:szCs w:val="32"/>
        </w:rPr>
        <w:t>联系电话</w:t>
      </w:r>
      <w:r>
        <w:rPr>
          <w:rFonts w:hint="eastAsia" w:ascii="仿宋_GB2312" w:hAnsi="宋体" w:eastAsia="仿宋_GB2312" w:cs="宋体"/>
          <w:sz w:val="32"/>
          <w:szCs w:val="32"/>
        </w:rPr>
        <w:t>：</w:t>
      </w:r>
    </w:p>
    <w:p>
      <w:pPr>
        <w:pStyle w:val="11"/>
        <w:widowControl/>
        <w:ind w:firstLine="320" w:firstLineChars="1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日期：</w:t>
      </w:r>
    </w:p>
    <w:p>
      <w:pPr>
        <w:pStyle w:val="11"/>
        <w:widowControl/>
        <w:ind w:firstLine="280" w:firstLineChars="100"/>
        <w:rPr>
          <w:rFonts w:ascii="仿宋_GB2312" w:hAnsi="仿宋_GB2312" w:eastAsia="仿宋_GB2312" w:cs="仿宋_GB2312"/>
          <w:sz w:val="28"/>
          <w:szCs w:val="28"/>
        </w:rPr>
      </w:pPr>
    </w:p>
    <w:p>
      <w:pPr>
        <w:jc w:val="center"/>
        <w:rPr>
          <w:rFonts w:ascii="仿宋_GB2312" w:hAnsi="仿宋" w:eastAsia="仿宋_GB2312" w:cs="Times New Roman"/>
          <w:sz w:val="32"/>
          <w:szCs w:val="40"/>
        </w:rPr>
      </w:pPr>
      <w:r>
        <w:rPr>
          <w:rFonts w:hint="eastAsia" w:ascii="仿宋_GB2312" w:hAnsi="仿宋" w:eastAsia="仿宋_GB2312" w:cs="Times New Roman"/>
          <w:sz w:val="48"/>
          <w:szCs w:val="48"/>
        </w:rPr>
        <w:t>目  录</w:t>
      </w:r>
    </w:p>
    <w:p>
      <w:pPr>
        <w:spacing w:after="0"/>
        <w:outlineLvl w:val="0"/>
        <w:rPr>
          <w:rFonts w:ascii="仿宋_GB2312" w:hAnsi="仿宋_GB2312" w:eastAsia="仿宋_GB2312" w:cs="仿宋_GB2312"/>
          <w:sz w:val="32"/>
          <w:szCs w:val="40"/>
        </w:rPr>
      </w:pPr>
      <w:r>
        <w:rPr>
          <w:rFonts w:hint="eastAsia" w:ascii="仿宋_GB2312" w:hAnsi="仿宋_GB2312" w:eastAsia="仿宋_GB2312" w:cs="仿宋_GB2312"/>
          <w:sz w:val="32"/>
          <w:szCs w:val="40"/>
        </w:rPr>
        <w:t>响应文件格式</w:t>
      </w:r>
    </w:p>
    <w:p>
      <w:pPr>
        <w:numPr>
          <w:ilvl w:val="0"/>
          <w:numId w:val="2"/>
        </w:numPr>
        <w:spacing w:after="0"/>
        <w:outlineLvl w:val="0"/>
        <w:rPr>
          <w:rFonts w:ascii="仿宋_GB2312" w:hAnsi="仿宋_GB2312" w:eastAsia="仿宋_GB2312" w:cs="仿宋_GB2312"/>
          <w:sz w:val="32"/>
          <w:szCs w:val="40"/>
        </w:rPr>
      </w:pPr>
      <w:r>
        <w:rPr>
          <w:rFonts w:hint="eastAsia" w:ascii="仿宋_GB2312" w:hAnsi="仿宋_GB2312" w:eastAsia="仿宋_GB2312" w:cs="仿宋_GB2312"/>
          <w:sz w:val="32"/>
          <w:szCs w:val="40"/>
        </w:rPr>
        <w:t>技术标</w:t>
      </w:r>
    </w:p>
    <w:p>
      <w:pPr>
        <w:tabs>
          <w:tab w:val="left" w:pos="7560"/>
        </w:tabs>
        <w:spacing w:line="360" w:lineRule="auto"/>
        <w:ind w:firstLine="560"/>
        <w:jc w:val="center"/>
        <w:rPr>
          <w:rFonts w:ascii="仿宋_GB2312" w:hAnsi="仿宋_GB2312" w:eastAsia="仿宋_GB2312" w:cs="仿宋_GB2312"/>
          <w:sz w:val="32"/>
          <w:szCs w:val="40"/>
        </w:rPr>
      </w:pPr>
      <w:r>
        <w:rPr>
          <w:rFonts w:hint="eastAsia" w:ascii="仿宋_GB2312" w:hAnsi="仿宋_GB2312" w:eastAsia="仿宋_GB2312" w:cs="仿宋_GB2312"/>
          <w:sz w:val="32"/>
          <w:szCs w:val="40"/>
        </w:rPr>
        <w:t>（投标人须自行编制目录）</w:t>
      </w:r>
    </w:p>
    <w:p>
      <w:pPr>
        <w:spacing w:after="0"/>
        <w:ind w:firstLine="640" w:firstLineChars="200"/>
        <w:outlineLvl w:val="0"/>
        <w:rPr>
          <w:rFonts w:ascii="仿宋_GB2312" w:hAnsi="仿宋_GB2312" w:eastAsia="仿宋_GB2312" w:cs="仿宋_GB2312"/>
          <w:b/>
          <w:bCs/>
          <w:sz w:val="32"/>
          <w:szCs w:val="32"/>
        </w:rPr>
      </w:pPr>
      <w:r>
        <w:rPr>
          <w:rFonts w:hint="eastAsia" w:ascii="仿宋_GB2312" w:hAnsi="仿宋_GB2312" w:eastAsia="仿宋_GB2312" w:cs="仿宋_GB2312"/>
          <w:sz w:val="32"/>
          <w:szCs w:val="32"/>
        </w:rPr>
        <w:t>1.项目实施方案</w:t>
      </w:r>
      <w:r>
        <w:rPr>
          <w:rFonts w:hint="eastAsia" w:ascii="仿宋_GB2312" w:hAnsi="仿宋_GB2312" w:eastAsia="仿宋_GB2312" w:cs="仿宋_GB2312"/>
          <w:b/>
          <w:bCs/>
          <w:sz w:val="32"/>
          <w:szCs w:val="32"/>
        </w:rPr>
        <w:t>（格式自拟）</w:t>
      </w:r>
    </w:p>
    <w:p>
      <w:pPr>
        <w:spacing w:after="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2.运维、应急响应方案（格式自拟）</w:t>
      </w:r>
    </w:p>
    <w:p>
      <w:pPr>
        <w:tabs>
          <w:tab w:val="left" w:pos="7560"/>
        </w:tabs>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※以上文件均需加盖公章。</w:t>
      </w:r>
    </w:p>
    <w:p>
      <w:pPr>
        <w:numPr>
          <w:ilvl w:val="0"/>
          <w:numId w:val="2"/>
        </w:numPr>
        <w:spacing w:after="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商务标</w:t>
      </w:r>
    </w:p>
    <w:p>
      <w:pPr>
        <w:tabs>
          <w:tab w:val="left" w:pos="7560"/>
        </w:tabs>
        <w:spacing w:line="360" w:lineRule="auto"/>
        <w:ind w:firstLine="560"/>
        <w:jc w:val="center"/>
      </w:pPr>
      <w:r>
        <w:rPr>
          <w:rFonts w:hint="eastAsia" w:ascii="仿宋_GB2312" w:hAnsi="仿宋_GB2312" w:eastAsia="仿宋_GB2312" w:cs="仿宋_GB2312"/>
          <w:sz w:val="32"/>
          <w:szCs w:val="40"/>
        </w:rPr>
        <w:t>（投标人须自行编制目录）</w:t>
      </w:r>
    </w:p>
    <w:p>
      <w:pPr>
        <w:spacing w:after="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1.过往业绩（</w:t>
      </w:r>
      <w:r>
        <w:rPr>
          <w:rFonts w:hint="eastAsia" w:ascii="仿宋_GB2312" w:hAnsi="仿宋_GB2312" w:eastAsia="仿宋_GB2312" w:cs="仿宋_GB2312"/>
          <w:b/>
          <w:bCs/>
          <w:sz w:val="32"/>
          <w:szCs w:val="32"/>
        </w:rPr>
        <w:t>格式自拟</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2.公司资质（见</w:t>
      </w:r>
      <w:r>
        <w:rPr>
          <w:rFonts w:hint="eastAsia" w:ascii="仿宋_GB2312" w:hAnsi="仿宋" w:eastAsia="仿宋_GB2312" w:cs="Times New Roman"/>
          <w:sz w:val="32"/>
          <w:szCs w:val="32"/>
        </w:rPr>
        <w:t>商务标附表</w:t>
      </w:r>
      <w:r>
        <w:rPr>
          <w:rFonts w:hint="eastAsia" w:ascii="仿宋_GB2312" w:hAnsi="仿宋_GB2312" w:eastAsia="仿宋_GB2312" w:cs="仿宋_GB2312"/>
          <w:sz w:val="32"/>
          <w:szCs w:val="32"/>
        </w:rPr>
        <w:t>）</w:t>
      </w:r>
    </w:p>
    <w:p>
      <w:pPr>
        <w:spacing w:after="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※以上文件均需加盖公章</w:t>
      </w:r>
    </w:p>
    <w:p>
      <w:pPr>
        <w:spacing w:line="500" w:lineRule="exact"/>
        <w:rPr>
          <w:rFonts w:ascii="仿宋_GB2312" w:hAnsi="仿宋" w:eastAsia="仿宋_GB2312" w:cs="Times New Roman"/>
          <w:b/>
          <w:bCs/>
          <w:sz w:val="28"/>
          <w:szCs w:val="28"/>
        </w:rPr>
      </w:pPr>
    </w:p>
    <w:p>
      <w:pPr>
        <w:numPr>
          <w:ilvl w:val="0"/>
          <w:numId w:val="2"/>
        </w:numPr>
        <w:spacing w:line="500" w:lineRule="exact"/>
        <w:rPr>
          <w:rFonts w:ascii="仿宋_GB2312" w:hAnsi="仿宋" w:eastAsia="仿宋_GB2312" w:cs="Times New Roman"/>
          <w:sz w:val="32"/>
          <w:szCs w:val="32"/>
        </w:rPr>
      </w:pPr>
      <w:r>
        <w:rPr>
          <w:rFonts w:hint="eastAsia" w:ascii="仿宋_GB2312" w:hAnsi="仿宋" w:eastAsia="仿宋_GB2312" w:cs="Times New Roman"/>
          <w:sz w:val="32"/>
          <w:szCs w:val="32"/>
        </w:rPr>
        <w:t>价格标（见项目报价单）</w:t>
      </w:r>
    </w:p>
    <w:p>
      <w:pPr>
        <w:spacing w:line="500" w:lineRule="exact"/>
        <w:rPr>
          <w:rFonts w:ascii="仿宋_GB2312" w:hAnsi="仿宋" w:eastAsia="仿宋_GB2312" w:cs="Times New Roman"/>
          <w:b/>
          <w:bCs/>
          <w:sz w:val="28"/>
          <w:szCs w:val="28"/>
        </w:rPr>
      </w:pPr>
    </w:p>
    <w:p>
      <w:pPr>
        <w:spacing w:line="500" w:lineRule="exact"/>
        <w:rPr>
          <w:rFonts w:ascii="仿宋_GB2312" w:hAnsi="仿宋" w:eastAsia="仿宋_GB2312" w:cs="Times New Roman"/>
          <w:b/>
          <w:bCs/>
          <w:sz w:val="28"/>
          <w:szCs w:val="28"/>
        </w:rPr>
      </w:pPr>
    </w:p>
    <w:p>
      <w:pPr>
        <w:spacing w:line="500" w:lineRule="exact"/>
        <w:rPr>
          <w:rFonts w:ascii="仿宋_GB2312" w:hAnsi="仿宋" w:eastAsia="仿宋_GB2312" w:cs="Times New Roman"/>
          <w:b/>
          <w:bCs/>
          <w:sz w:val="28"/>
          <w:szCs w:val="28"/>
        </w:rPr>
      </w:pPr>
    </w:p>
    <w:p>
      <w:pPr>
        <w:spacing w:line="500" w:lineRule="exact"/>
        <w:rPr>
          <w:rFonts w:ascii="仿宋_GB2312" w:hAnsi="仿宋" w:eastAsia="仿宋_GB2312" w:cs="Times New Roman"/>
          <w:b/>
          <w:bCs/>
          <w:sz w:val="28"/>
          <w:szCs w:val="28"/>
        </w:rPr>
      </w:pPr>
    </w:p>
    <w:p>
      <w:pPr>
        <w:spacing w:line="5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商务标附表：</w:t>
      </w:r>
    </w:p>
    <w:p>
      <w:pPr>
        <w:pStyle w:val="3"/>
        <w:spacing w:before="0" w:after="0" w:line="360" w:lineRule="auto"/>
        <w:jc w:val="center"/>
        <w:rPr>
          <w:rFonts w:ascii="仿宋_GB2312" w:hAnsi="仿宋_GB2312" w:eastAsia="仿宋_GB2312" w:cs="仿宋_GB2312"/>
          <w:b w:val="0"/>
          <w:szCs w:val="32"/>
        </w:rPr>
      </w:pPr>
      <w:bookmarkStart w:id="0" w:name="_Toc9535"/>
      <w:r>
        <w:rPr>
          <w:rFonts w:hint="eastAsia" w:ascii="仿宋_GB2312" w:hAnsi="仿宋_GB2312" w:eastAsia="仿宋_GB2312" w:cs="仿宋_GB2312"/>
          <w:b w:val="0"/>
          <w:szCs w:val="32"/>
        </w:rPr>
        <w:t>公司资质要求</w:t>
      </w:r>
      <w:bookmarkEnd w:id="0"/>
    </w:p>
    <w:p>
      <w:pPr>
        <w:pStyle w:val="22"/>
        <w:spacing w:after="0"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1.投标人为中华人民共和国境内注册的独立法人企业，持有工商行政管理部门核发的法人营业执照，按国家法律经营</w:t>
      </w:r>
      <w:r>
        <w:rPr>
          <w:rFonts w:hint="eastAsia" w:ascii="仿宋_GB2312" w:hAnsi="仿宋_GB2312" w:eastAsia="仿宋_GB2312" w:cs="仿宋_GB2312"/>
          <w:b/>
          <w:bCs/>
          <w:sz w:val="32"/>
          <w:szCs w:val="32"/>
        </w:rPr>
        <w:t>（须提供营业执照或法人证书证明材料扫描件加盖公章，复印件无效）。</w:t>
      </w:r>
    </w:p>
    <w:p>
      <w:pPr>
        <w:pStyle w:val="22"/>
        <w:spacing w:after="0"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2.单位负责人为同一人或者存在控股、管理关系的不同单位，不得参加同一项目进行投标。</w:t>
      </w:r>
    </w:p>
    <w:p>
      <w:pPr>
        <w:pStyle w:val="22"/>
        <w:spacing w:after="0"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3.投标人近三年（从响应文件提交截止日起计算）没有诚信和廉洁方面的不良记录</w:t>
      </w:r>
      <w:r>
        <w:rPr>
          <w:rFonts w:hint="eastAsia" w:ascii="仿宋_GB2312" w:hAnsi="仿宋_GB2312" w:eastAsia="仿宋_GB2312" w:cs="仿宋_GB2312"/>
          <w:b/>
          <w:bCs/>
          <w:sz w:val="32"/>
          <w:szCs w:val="32"/>
        </w:rPr>
        <w:t>（提供承诺函，格式自拟）</w:t>
      </w:r>
      <w:r>
        <w:rPr>
          <w:rFonts w:hint="eastAsia" w:ascii="仿宋_GB2312" w:hAnsi="仿宋_GB2312" w:eastAsia="仿宋_GB2312" w:cs="仿宋_GB2312"/>
          <w:sz w:val="32"/>
          <w:szCs w:val="32"/>
        </w:rPr>
        <w:t>。</w:t>
      </w:r>
    </w:p>
    <w:p>
      <w:pPr>
        <w:pStyle w:val="22"/>
        <w:spacing w:after="0"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4.投标人近三年（从响应文件提交截止日起计算）提供的产品没有重大质量问题以及安全事故（</w:t>
      </w:r>
      <w:r>
        <w:rPr>
          <w:rFonts w:hint="eastAsia" w:ascii="仿宋_GB2312" w:hAnsi="仿宋_GB2312" w:eastAsia="仿宋_GB2312" w:cs="仿宋_GB2312"/>
          <w:b/>
          <w:bCs/>
          <w:sz w:val="32"/>
          <w:szCs w:val="32"/>
        </w:rPr>
        <w:t>提供承诺函，格式自拟）</w:t>
      </w:r>
      <w:r>
        <w:rPr>
          <w:rFonts w:hint="eastAsia" w:ascii="仿宋_GB2312" w:hAnsi="仿宋_GB2312" w:eastAsia="仿宋_GB2312" w:cs="仿宋_GB2312"/>
          <w:sz w:val="32"/>
          <w:szCs w:val="32"/>
        </w:rPr>
        <w:t>。</w:t>
      </w:r>
    </w:p>
    <w:p>
      <w:pPr>
        <w:pStyle w:val="22"/>
        <w:spacing w:after="0"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5.本项目不接受联合体投标。</w:t>
      </w:r>
    </w:p>
    <w:p>
      <w:pPr>
        <w:spacing w:line="500" w:lineRule="exact"/>
        <w:rPr>
          <w:rFonts w:ascii="仿宋_GB2312" w:hAnsi="仿宋" w:eastAsia="仿宋_GB2312" w:cs="Times New Roman"/>
          <w:b/>
          <w:bCs/>
          <w:sz w:val="28"/>
          <w:szCs w:val="28"/>
        </w:rPr>
      </w:pPr>
    </w:p>
    <w:p>
      <w:pPr>
        <w:spacing w:line="500" w:lineRule="exact"/>
        <w:rPr>
          <w:rFonts w:ascii="仿宋_GB2312" w:hAnsi="仿宋" w:eastAsia="仿宋_GB2312" w:cs="Times New Roman"/>
          <w:b/>
          <w:bCs/>
          <w:sz w:val="28"/>
          <w:szCs w:val="28"/>
        </w:rPr>
      </w:pPr>
    </w:p>
    <w:p>
      <w:pPr>
        <w:spacing w:line="500" w:lineRule="exact"/>
        <w:rPr>
          <w:rFonts w:ascii="仿宋_GB2312" w:hAnsi="仿宋" w:eastAsia="仿宋_GB2312" w:cs="Times New Roman"/>
          <w:b/>
          <w:bCs/>
          <w:sz w:val="28"/>
          <w:szCs w:val="28"/>
        </w:rPr>
      </w:pPr>
    </w:p>
    <w:p>
      <w:pPr>
        <w:spacing w:line="500" w:lineRule="exact"/>
        <w:rPr>
          <w:rFonts w:ascii="仿宋_GB2312" w:hAnsi="仿宋" w:eastAsia="仿宋_GB2312" w:cs="Times New Roman"/>
          <w:b/>
          <w:bCs/>
          <w:sz w:val="28"/>
          <w:szCs w:val="28"/>
        </w:rPr>
      </w:pPr>
    </w:p>
    <w:p>
      <w:pPr>
        <w:spacing w:line="500" w:lineRule="exact"/>
        <w:rPr>
          <w:rFonts w:ascii="仿宋_GB2312" w:hAnsi="仿宋" w:eastAsia="仿宋_GB2312" w:cs="Times New Roman"/>
          <w:b/>
          <w:bCs/>
          <w:sz w:val="28"/>
          <w:szCs w:val="28"/>
        </w:rPr>
      </w:pPr>
    </w:p>
    <w:p>
      <w:pPr>
        <w:spacing w:line="500" w:lineRule="exact"/>
        <w:rPr>
          <w:rFonts w:ascii="仿宋_GB2312" w:hAnsi="仿宋" w:eastAsia="仿宋_GB2312" w:cs="Times New Roman"/>
          <w:b/>
          <w:bCs/>
          <w:sz w:val="28"/>
          <w:szCs w:val="28"/>
        </w:rPr>
      </w:pPr>
    </w:p>
    <w:p>
      <w:pPr>
        <w:spacing w:line="500" w:lineRule="exact"/>
        <w:rPr>
          <w:rFonts w:ascii="仿宋_GB2312" w:hAnsi="仿宋" w:eastAsia="仿宋_GB2312" w:cs="Times New Roman"/>
          <w:b/>
          <w:bCs/>
          <w:sz w:val="28"/>
          <w:szCs w:val="28"/>
        </w:rPr>
      </w:pPr>
    </w:p>
    <w:p>
      <w:pPr>
        <w:spacing w:line="500" w:lineRule="exact"/>
        <w:jc w:val="center"/>
        <w:rPr>
          <w:rFonts w:ascii="仿宋_GB2312" w:hAnsi="仿宋" w:eastAsia="仿宋_GB2312" w:cs="Times New Roman"/>
          <w:sz w:val="40"/>
          <w:szCs w:val="40"/>
        </w:rPr>
      </w:pPr>
      <w:r>
        <w:rPr>
          <w:rFonts w:hint="eastAsia" w:ascii="仿宋_GB2312" w:hAnsi="仿宋" w:eastAsia="仿宋_GB2312" w:cs="Times New Roman"/>
          <w:sz w:val="40"/>
          <w:szCs w:val="40"/>
        </w:rPr>
        <w:t>项目报价单</w:t>
      </w:r>
    </w:p>
    <w:p>
      <w:pPr>
        <w:adjustRightInd w:val="0"/>
        <w:snapToGrid w:val="0"/>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项目名称：2025年度网络维保服务项目</w:t>
      </w:r>
    </w:p>
    <w:p>
      <w:pPr>
        <w:adjustRightInd w:val="0"/>
        <w:snapToGrid w:val="0"/>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合计报价上限：￥79200.00（人民币柒万玖仟贰佰元整）</w:t>
      </w:r>
    </w:p>
    <w:tbl>
      <w:tblPr>
        <w:tblStyle w:val="20"/>
        <w:tblW w:w="98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5451"/>
        <w:gridCol w:w="144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435" w:type="dxa"/>
            <w:vAlign w:val="center"/>
          </w:tcPr>
          <w:p>
            <w:pPr>
              <w:widowControl w:val="0"/>
              <w:adjustRightInd w:val="0"/>
              <w:snapToGrid w:val="0"/>
              <w:spacing w:after="0" w:line="40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维护事项</w:t>
            </w:r>
          </w:p>
        </w:tc>
        <w:tc>
          <w:tcPr>
            <w:tcW w:w="5451" w:type="dxa"/>
            <w:vAlign w:val="center"/>
          </w:tcPr>
          <w:p>
            <w:pPr>
              <w:widowControl w:val="0"/>
              <w:adjustRightInd w:val="0"/>
              <w:snapToGrid w:val="0"/>
              <w:spacing w:after="0" w:line="40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维护内容</w:t>
            </w:r>
          </w:p>
        </w:tc>
        <w:tc>
          <w:tcPr>
            <w:tcW w:w="1440" w:type="dxa"/>
            <w:vAlign w:val="center"/>
          </w:tcPr>
          <w:p>
            <w:pPr>
              <w:widowControl w:val="0"/>
              <w:adjustRightInd w:val="0"/>
              <w:snapToGrid w:val="0"/>
              <w:spacing w:after="0" w:line="40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周期</w:t>
            </w:r>
          </w:p>
        </w:tc>
        <w:tc>
          <w:tcPr>
            <w:tcW w:w="1479" w:type="dxa"/>
            <w:vAlign w:val="center"/>
          </w:tcPr>
          <w:p>
            <w:pPr>
              <w:widowControl w:val="0"/>
              <w:adjustRightInd w:val="0"/>
              <w:snapToGrid w:val="0"/>
              <w:spacing w:after="0" w:line="40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435"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定期巡检</w:t>
            </w:r>
          </w:p>
        </w:tc>
        <w:tc>
          <w:tcPr>
            <w:tcW w:w="5451" w:type="dxa"/>
            <w:vAlign w:val="center"/>
          </w:tcPr>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乙方定期对设备进行预防性维护并提供对应的巡检报，包括检查系统状态、设备清洁、系统备份，以及与甲方工程师的技术交流。</w:t>
            </w:r>
          </w:p>
        </w:tc>
        <w:tc>
          <w:tcPr>
            <w:tcW w:w="1440"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每月两次</w:t>
            </w:r>
          </w:p>
        </w:tc>
        <w:tc>
          <w:tcPr>
            <w:tcW w:w="1479"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435"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网络设备</w:t>
            </w:r>
          </w:p>
        </w:tc>
        <w:tc>
          <w:tcPr>
            <w:tcW w:w="5451" w:type="dxa"/>
            <w:vAlign w:val="center"/>
          </w:tcPr>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巡查设备线路接口是否完好，设备清洁，指标灯状态，设备运行情况。</w:t>
            </w:r>
          </w:p>
        </w:tc>
        <w:tc>
          <w:tcPr>
            <w:tcW w:w="1440"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每月两次</w:t>
            </w:r>
          </w:p>
        </w:tc>
        <w:tc>
          <w:tcPr>
            <w:tcW w:w="1479"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5"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工程线路</w:t>
            </w:r>
          </w:p>
        </w:tc>
        <w:tc>
          <w:tcPr>
            <w:tcW w:w="5451" w:type="dxa"/>
            <w:vAlign w:val="center"/>
          </w:tcPr>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巡查线路接口是否完好，线路是否破损</w:t>
            </w:r>
          </w:p>
        </w:tc>
        <w:tc>
          <w:tcPr>
            <w:tcW w:w="1440"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每月两次</w:t>
            </w:r>
          </w:p>
        </w:tc>
        <w:tc>
          <w:tcPr>
            <w:tcW w:w="1479"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435"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取电线路</w:t>
            </w:r>
          </w:p>
        </w:tc>
        <w:tc>
          <w:tcPr>
            <w:tcW w:w="5451" w:type="dxa"/>
            <w:vAlign w:val="center"/>
          </w:tcPr>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巡查取电点电源电箱是否完好，线路是否破损</w:t>
            </w:r>
          </w:p>
        </w:tc>
        <w:tc>
          <w:tcPr>
            <w:tcW w:w="1440"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每月两次</w:t>
            </w:r>
          </w:p>
        </w:tc>
        <w:tc>
          <w:tcPr>
            <w:tcW w:w="1479"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435"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设备运行情况检查</w:t>
            </w:r>
          </w:p>
        </w:tc>
        <w:tc>
          <w:tcPr>
            <w:tcW w:w="5451" w:type="dxa"/>
            <w:vAlign w:val="center"/>
          </w:tcPr>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检查机柜是否正常运转相关设备是否正常运行</w:t>
            </w:r>
          </w:p>
        </w:tc>
        <w:tc>
          <w:tcPr>
            <w:tcW w:w="1440"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每月两次</w:t>
            </w:r>
          </w:p>
        </w:tc>
        <w:tc>
          <w:tcPr>
            <w:tcW w:w="1479"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435"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巡检记录表</w:t>
            </w:r>
          </w:p>
        </w:tc>
        <w:tc>
          <w:tcPr>
            <w:tcW w:w="5451" w:type="dxa"/>
            <w:vAlign w:val="center"/>
          </w:tcPr>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在设备箱内的巡检纪录表要求按时、准确填写完毕</w:t>
            </w:r>
          </w:p>
        </w:tc>
        <w:tc>
          <w:tcPr>
            <w:tcW w:w="1440"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每月两次</w:t>
            </w:r>
          </w:p>
        </w:tc>
        <w:tc>
          <w:tcPr>
            <w:tcW w:w="1479"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435"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网络的连通</w:t>
            </w:r>
          </w:p>
        </w:tc>
        <w:tc>
          <w:tcPr>
            <w:tcW w:w="5451" w:type="dxa"/>
            <w:vAlign w:val="center"/>
          </w:tcPr>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各分点和公司之间的网络互通</w:t>
            </w:r>
          </w:p>
        </w:tc>
        <w:tc>
          <w:tcPr>
            <w:tcW w:w="1440"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每月一次</w:t>
            </w:r>
          </w:p>
        </w:tc>
        <w:tc>
          <w:tcPr>
            <w:tcW w:w="1479"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435"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网络优化</w:t>
            </w:r>
          </w:p>
        </w:tc>
        <w:tc>
          <w:tcPr>
            <w:tcW w:w="5451" w:type="dxa"/>
            <w:vAlign w:val="center"/>
          </w:tcPr>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各分点和公司之间的网络优化及调优</w:t>
            </w:r>
          </w:p>
        </w:tc>
        <w:tc>
          <w:tcPr>
            <w:tcW w:w="1440"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每月一次</w:t>
            </w:r>
          </w:p>
        </w:tc>
        <w:tc>
          <w:tcPr>
            <w:tcW w:w="1479"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435"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设备箱内线缆和标签</w:t>
            </w:r>
          </w:p>
        </w:tc>
        <w:tc>
          <w:tcPr>
            <w:tcW w:w="5451" w:type="dxa"/>
            <w:vAlign w:val="center"/>
          </w:tcPr>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1、对线路进行布放，整理和优化，对各类接头进行防护保养、并定期进行更换。</w:t>
            </w:r>
          </w:p>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2、对线路、设备的标识</w:t>
            </w:r>
          </w:p>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标记进行巡检和更新。</w:t>
            </w:r>
          </w:p>
        </w:tc>
        <w:tc>
          <w:tcPr>
            <w:tcW w:w="1440"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每月一次</w:t>
            </w:r>
          </w:p>
        </w:tc>
        <w:tc>
          <w:tcPr>
            <w:tcW w:w="1479"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435"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网络安全保障服务</w:t>
            </w:r>
          </w:p>
        </w:tc>
        <w:tc>
          <w:tcPr>
            <w:tcW w:w="5451" w:type="dxa"/>
            <w:vAlign w:val="center"/>
          </w:tcPr>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1.巡检设备，CPU、内存、硬盘、带宽等使用情况</w:t>
            </w:r>
          </w:p>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2.查看用户安全，如果有“已失陷”用户，找到终端用户，进行全盘杀毒操作。</w:t>
            </w:r>
          </w:p>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3.查看安全日志，把严重等级为高的事件源IP加入黑名单；(策略-黑白名单-黑名单）</w:t>
            </w:r>
          </w:p>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4.查看安全能力更新(系统﹣安全能力更新），保证防火墙的规则库都是最新的。</w:t>
            </w:r>
          </w:p>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5．查看防火墙补丁更新，更新重要的补丁，防火墙主机和备机都安装补丁。</w:t>
            </w:r>
          </w:p>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6．查看系统告警日志，重点关注一下有无错误的告警</w:t>
            </w:r>
          </w:p>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7. 备份配置，每隔一周备份防火墙和核心交换机等网络设备的配置。</w:t>
            </w:r>
          </w:p>
          <w:p>
            <w:pPr>
              <w:widowControl w:val="0"/>
              <w:adjustRightInd w:val="0"/>
              <w:snapToGrid w:val="0"/>
              <w:spacing w:after="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8．巡检及项目实施过程中，由乙方工程师结合实际情况，对设备的安装调试、使用和维护进行详细的讲解，达到甲方相关人员能够自主使用和维护系统设备的目标。</w:t>
            </w:r>
          </w:p>
        </w:tc>
        <w:tc>
          <w:tcPr>
            <w:tcW w:w="1440"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驻点服务，每月5次</w:t>
            </w:r>
          </w:p>
        </w:tc>
        <w:tc>
          <w:tcPr>
            <w:tcW w:w="1479"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326" w:type="dxa"/>
            <w:gridSpan w:val="3"/>
            <w:vAlign w:val="center"/>
          </w:tcPr>
          <w:p>
            <w:pPr>
              <w:widowControl w:val="0"/>
              <w:adjustRightInd w:val="0"/>
              <w:snapToGrid w:val="0"/>
              <w:spacing w:after="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合计报价</w:t>
            </w:r>
          </w:p>
        </w:tc>
        <w:tc>
          <w:tcPr>
            <w:tcW w:w="1479" w:type="dxa"/>
            <w:vAlign w:val="center"/>
          </w:tcPr>
          <w:p>
            <w:pPr>
              <w:widowControl w:val="0"/>
              <w:adjustRightInd w:val="0"/>
              <w:snapToGrid w:val="0"/>
              <w:spacing w:after="0" w:line="400" w:lineRule="exact"/>
              <w:jc w:val="center"/>
              <w:rPr>
                <w:rFonts w:ascii="仿宋_GB2312" w:hAnsi="仿宋_GB2312" w:eastAsia="仿宋_GB2312" w:cs="仿宋_GB2312"/>
                <w:sz w:val="28"/>
                <w:szCs w:val="28"/>
              </w:rPr>
            </w:pPr>
          </w:p>
        </w:tc>
      </w:tr>
    </w:tbl>
    <w:p>
      <w:pPr>
        <w:adjustRightInd w:val="0"/>
        <w:snapToGrid w:val="0"/>
        <w:spacing w:after="0"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备注：报价请四舍五入保留小数点后两位。</w:t>
      </w:r>
    </w:p>
    <w:p>
      <w:pPr>
        <w:adjustRightInd w:val="0"/>
        <w:snapToGrid w:val="0"/>
        <w:spacing w:after="0" w:line="5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合计报价：</w:t>
      </w:r>
    </w:p>
    <w:p>
      <w:pPr>
        <w:adjustRightInd w:val="0"/>
        <w:snapToGrid w:val="0"/>
        <w:spacing w:after="0" w:line="5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（小写）：______________________（含税：） </w:t>
      </w:r>
    </w:p>
    <w:p>
      <w:pPr>
        <w:adjustRightInd w:val="0"/>
        <w:snapToGrid w:val="0"/>
        <w:spacing w:after="0" w:line="5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（大写）：______________________（含税：） </w:t>
      </w:r>
    </w:p>
    <w:p>
      <w:pPr>
        <w:adjustRightInd w:val="0"/>
        <w:snapToGrid w:val="0"/>
        <w:spacing w:after="0" w:line="5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其他事项说明：</w:t>
      </w:r>
    </w:p>
    <w:p>
      <w:pPr>
        <w:spacing w:after="0" w:line="5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法定代表人或委托代理人（签字或盖签字章）：</w:t>
      </w:r>
    </w:p>
    <w:p>
      <w:pPr>
        <w:spacing w:after="0" w:line="5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供货商（盖章）：</w:t>
      </w:r>
    </w:p>
    <w:p>
      <w:pPr>
        <w:spacing w:after="0" w:line="5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______ 年______ 月____日</w:t>
      </w:r>
    </w:p>
    <w:p>
      <w:pPr>
        <w:spacing w:after="0" w:line="500" w:lineRule="exact"/>
        <w:jc w:val="both"/>
        <w:rPr>
          <w:rFonts w:ascii="仿宋_GB2312" w:hAnsi="仿宋_GB2312" w:eastAsia="仿宋_GB2312" w:cs="仿宋_GB2312"/>
          <w:sz w:val="30"/>
          <w:szCs w:val="30"/>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373960"/>
    </w:sdtPr>
    <w:sdtContent>
      <w:sdt>
        <w:sdtPr>
          <w:id w:val="196373961"/>
        </w:sdtPr>
        <w:sdtContent>
          <w:p>
            <w:pPr>
              <w:pStyle w:val="13"/>
            </w:pP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AA737F"/>
    <w:multiLevelType w:val="singleLevel"/>
    <w:tmpl w:val="A6AA737F"/>
    <w:lvl w:ilvl="0" w:tentative="0">
      <w:start w:val="1"/>
      <w:numFmt w:val="chineseCounting"/>
      <w:suff w:val="nothing"/>
      <w:lvlText w:val="%1、"/>
      <w:lvlJc w:val="left"/>
      <w:rPr>
        <w:rFonts w:hint="eastAsia"/>
      </w:rPr>
    </w:lvl>
  </w:abstractNum>
  <w:abstractNum w:abstractNumId="1">
    <w:nsid w:val="704E9A71"/>
    <w:multiLevelType w:val="singleLevel"/>
    <w:tmpl w:val="704E9A71"/>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FlN2U2NGI1NGFlZTBlY2I3ZDc1Y2I0OWY2NmYwMDcifQ=="/>
  </w:docVars>
  <w:rsids>
    <w:rsidRoot w:val="5F3C042A"/>
    <w:rsid w:val="00080F6B"/>
    <w:rsid w:val="001B070E"/>
    <w:rsid w:val="002065F4"/>
    <w:rsid w:val="00207522"/>
    <w:rsid w:val="00217DD4"/>
    <w:rsid w:val="00250265"/>
    <w:rsid w:val="00362DEA"/>
    <w:rsid w:val="00490447"/>
    <w:rsid w:val="0049140B"/>
    <w:rsid w:val="006B4BDB"/>
    <w:rsid w:val="00811C43"/>
    <w:rsid w:val="00B13759"/>
    <w:rsid w:val="00CA7D8D"/>
    <w:rsid w:val="00CF7E71"/>
    <w:rsid w:val="00DD394C"/>
    <w:rsid w:val="02D445C7"/>
    <w:rsid w:val="03B7227C"/>
    <w:rsid w:val="04856D5B"/>
    <w:rsid w:val="04D33379"/>
    <w:rsid w:val="07677CD1"/>
    <w:rsid w:val="07EF05C0"/>
    <w:rsid w:val="097A0A9E"/>
    <w:rsid w:val="0B59720D"/>
    <w:rsid w:val="0CC07FB4"/>
    <w:rsid w:val="0CD874EE"/>
    <w:rsid w:val="10596B94"/>
    <w:rsid w:val="11C20769"/>
    <w:rsid w:val="129E4AE1"/>
    <w:rsid w:val="1561297C"/>
    <w:rsid w:val="158D66A5"/>
    <w:rsid w:val="162F6242"/>
    <w:rsid w:val="16D219E9"/>
    <w:rsid w:val="180E295A"/>
    <w:rsid w:val="188D4503"/>
    <w:rsid w:val="1B55043A"/>
    <w:rsid w:val="1CD96B7A"/>
    <w:rsid w:val="1F41389A"/>
    <w:rsid w:val="21DF35AE"/>
    <w:rsid w:val="240809A6"/>
    <w:rsid w:val="242D4168"/>
    <w:rsid w:val="2554491A"/>
    <w:rsid w:val="25951FC5"/>
    <w:rsid w:val="29D86924"/>
    <w:rsid w:val="2ABC6246"/>
    <w:rsid w:val="2BE02E90"/>
    <w:rsid w:val="2BF86829"/>
    <w:rsid w:val="2E4511B2"/>
    <w:rsid w:val="2EAE37E6"/>
    <w:rsid w:val="2F1F0594"/>
    <w:rsid w:val="2FC02AC2"/>
    <w:rsid w:val="31E63BA8"/>
    <w:rsid w:val="322D17D7"/>
    <w:rsid w:val="33843679"/>
    <w:rsid w:val="33D7176A"/>
    <w:rsid w:val="342C2A17"/>
    <w:rsid w:val="362D0470"/>
    <w:rsid w:val="38215136"/>
    <w:rsid w:val="382B4B2E"/>
    <w:rsid w:val="38A26A7B"/>
    <w:rsid w:val="3C12600E"/>
    <w:rsid w:val="3CE04534"/>
    <w:rsid w:val="3FA82321"/>
    <w:rsid w:val="41C23CEA"/>
    <w:rsid w:val="43D160CD"/>
    <w:rsid w:val="44BD1FD8"/>
    <w:rsid w:val="44E46C7C"/>
    <w:rsid w:val="44FD662E"/>
    <w:rsid w:val="45D871AD"/>
    <w:rsid w:val="45F54F4C"/>
    <w:rsid w:val="46050649"/>
    <w:rsid w:val="466A0BCD"/>
    <w:rsid w:val="466E61EE"/>
    <w:rsid w:val="47EA1C4D"/>
    <w:rsid w:val="491E1CF2"/>
    <w:rsid w:val="49566C12"/>
    <w:rsid w:val="4A260FCB"/>
    <w:rsid w:val="4BF65B02"/>
    <w:rsid w:val="4D2E0955"/>
    <w:rsid w:val="4E416971"/>
    <w:rsid w:val="4FD723DB"/>
    <w:rsid w:val="4FEE7BE1"/>
    <w:rsid w:val="50B62690"/>
    <w:rsid w:val="54EB4EAE"/>
    <w:rsid w:val="55F83D27"/>
    <w:rsid w:val="569021B1"/>
    <w:rsid w:val="59346448"/>
    <w:rsid w:val="59C646AA"/>
    <w:rsid w:val="59E349B5"/>
    <w:rsid w:val="5A851901"/>
    <w:rsid w:val="5BCF72D8"/>
    <w:rsid w:val="5CA26AD6"/>
    <w:rsid w:val="5F3C042A"/>
    <w:rsid w:val="65BF216B"/>
    <w:rsid w:val="660261FB"/>
    <w:rsid w:val="672F6913"/>
    <w:rsid w:val="68420E31"/>
    <w:rsid w:val="68482EDE"/>
    <w:rsid w:val="6B320444"/>
    <w:rsid w:val="6CE40709"/>
    <w:rsid w:val="6D0B10AB"/>
    <w:rsid w:val="71A566B9"/>
    <w:rsid w:val="73BB6CF1"/>
    <w:rsid w:val="748B27B8"/>
    <w:rsid w:val="751B3BDA"/>
    <w:rsid w:val="758B2096"/>
    <w:rsid w:val="75AF3FAA"/>
    <w:rsid w:val="75D51A55"/>
    <w:rsid w:val="76780840"/>
    <w:rsid w:val="783B524E"/>
    <w:rsid w:val="7B193C74"/>
    <w:rsid w:val="7C014572"/>
    <w:rsid w:val="7C91721D"/>
    <w:rsid w:val="7DFA7853"/>
    <w:rsid w:val="7FAB4FDD"/>
    <w:rsid w:val="7FFDFA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after="290" w:line="372" w:lineRule="auto"/>
      <w:outlineLvl w:val="4"/>
    </w:pPr>
    <w:rPr>
      <w:b/>
      <w:sz w:val="28"/>
    </w:rPr>
  </w:style>
  <w:style w:type="paragraph" w:styleId="6">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17">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0"/>
    <w:pPr>
      <w:ind w:firstLine="420"/>
    </w:pPr>
    <w:rPr>
      <w:szCs w:val="24"/>
    </w:rPr>
  </w:style>
  <w:style w:type="paragraph" w:styleId="8">
    <w:name w:val="annotation text"/>
    <w:basedOn w:val="1"/>
    <w:qFormat/>
    <w:uiPriority w:val="0"/>
  </w:style>
  <w:style w:type="paragraph" w:styleId="9">
    <w:name w:val="Body Text"/>
    <w:basedOn w:val="1"/>
    <w:next w:val="1"/>
    <w:link w:val="21"/>
    <w:qFormat/>
    <w:uiPriority w:val="0"/>
    <w:pPr>
      <w:spacing w:after="120"/>
    </w:pPr>
  </w:style>
  <w:style w:type="paragraph" w:styleId="10">
    <w:name w:val="Body Text Indent"/>
    <w:basedOn w:val="1"/>
    <w:qFormat/>
    <w:uiPriority w:val="0"/>
    <w:pPr>
      <w:spacing w:after="120"/>
      <w:ind w:left="420" w:leftChars="200"/>
    </w:pPr>
  </w:style>
  <w:style w:type="paragraph" w:styleId="11">
    <w:name w:val="Plain Text"/>
    <w:basedOn w:val="1"/>
    <w:qFormat/>
    <w:uiPriority w:val="0"/>
    <w:pPr>
      <w:widowControl w:val="0"/>
      <w:spacing w:after="0" w:line="240" w:lineRule="auto"/>
      <w:jc w:val="both"/>
    </w:pPr>
    <w:rPr>
      <w:rFonts w:ascii="宋体" w:hAnsi="Courier New" w:eastAsia="宋体" w:cs="Times New Roman"/>
      <w:sz w:val="20"/>
      <w:szCs w:val="20"/>
    </w:rPr>
  </w:style>
  <w:style w:type="paragraph" w:styleId="12">
    <w:name w:val="Balloon Text"/>
    <w:basedOn w:val="1"/>
    <w:link w:val="25"/>
    <w:qFormat/>
    <w:uiPriority w:val="0"/>
    <w:pPr>
      <w:spacing w:after="0" w:line="240" w:lineRule="auto"/>
    </w:pPr>
    <w:rPr>
      <w:sz w:val="18"/>
      <w:szCs w:val="18"/>
    </w:rPr>
  </w:style>
  <w:style w:type="paragraph" w:styleId="13">
    <w:name w:val="footer"/>
    <w:basedOn w:val="1"/>
    <w:qFormat/>
    <w:uiPriority w:val="99"/>
    <w:pPr>
      <w:tabs>
        <w:tab w:val="center" w:pos="4153"/>
        <w:tab w:val="right" w:pos="8306"/>
      </w:tabs>
      <w:snapToGrid w:val="0"/>
    </w:pPr>
    <w:rPr>
      <w:sz w:val="18"/>
      <w:szCs w:val="18"/>
    </w:rPr>
  </w:style>
  <w:style w:type="paragraph" w:styleId="14">
    <w:name w:val="Body Text First Indent 2"/>
    <w:basedOn w:val="10"/>
    <w:qFormat/>
    <w:uiPriority w:val="0"/>
    <w:pPr>
      <w:ind w:firstLine="420" w:firstLineChars="200"/>
    </w:pPr>
    <w:rPr>
      <w:rFonts w:ascii="Times New Roman" w:hAnsi="Times New Roman" w:cs="Times New Roman"/>
      <w:sz w:val="28"/>
    </w:rPr>
  </w:style>
  <w:style w:type="paragraph" w:styleId="15">
    <w:name w:val="header"/>
    <w:basedOn w:val="1"/>
    <w:link w:val="26"/>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eastAsia="宋体" w:cs="宋体"/>
      <w:sz w:val="24"/>
      <w:szCs w:val="24"/>
    </w:rPr>
  </w:style>
  <w:style w:type="character" w:styleId="18">
    <w:name w:val="page number"/>
    <w:basedOn w:val="17"/>
    <w:qFormat/>
    <w:uiPriority w:val="0"/>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正文文本 Char"/>
    <w:link w:val="9"/>
    <w:qFormat/>
    <w:uiPriority w:val="0"/>
  </w:style>
  <w:style w:type="paragraph" w:styleId="22">
    <w:name w:val="List Paragraph"/>
    <w:basedOn w:val="1"/>
    <w:qFormat/>
    <w:uiPriority w:val="34"/>
    <w:pPr>
      <w:ind w:firstLine="420" w:firstLineChars="200"/>
    </w:pPr>
  </w:style>
  <w:style w:type="paragraph" w:styleId="23">
    <w:name w:val="Quote"/>
    <w:next w:val="1"/>
    <w:link w:val="24"/>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24">
    <w:name w:val="引用 Char"/>
    <w:basedOn w:val="17"/>
    <w:link w:val="23"/>
    <w:qFormat/>
    <w:uiPriority w:val="0"/>
    <w:rPr>
      <w:rFonts w:ascii="Calibri" w:hAnsi="Calibri" w:eastAsia="宋体" w:cs="Times New Roman"/>
      <w:i/>
      <w:sz w:val="21"/>
    </w:rPr>
  </w:style>
  <w:style w:type="character" w:customStyle="1" w:styleId="25">
    <w:name w:val="批注框文本 Char"/>
    <w:basedOn w:val="17"/>
    <w:link w:val="12"/>
    <w:qFormat/>
    <w:uiPriority w:val="0"/>
    <w:rPr>
      <w:sz w:val="18"/>
      <w:szCs w:val="18"/>
    </w:rPr>
  </w:style>
  <w:style w:type="character" w:customStyle="1" w:styleId="26">
    <w:name w:val="页眉 Char"/>
    <w:basedOn w:val="17"/>
    <w:link w:val="15"/>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808</Words>
  <Characters>4610</Characters>
  <Lines>38</Lines>
  <Paragraphs>10</Paragraphs>
  <TotalTime>25</TotalTime>
  <ScaleCrop>false</ScaleCrop>
  <LinksUpToDate>false</LinksUpToDate>
  <CharactersWithSpaces>5408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2024-11-07T10:16:00Z</dcterms:created>
  <dc:creator>朝起缘落</dc:creator>
  <cp:lastModifiedBy>1</cp:lastModifiedBy>
  <dcterms:modified xsi:type="dcterms:W3CDTF">2024-11-19T03:05:49Z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B08C3CB0781F4F91B5887F98163F4C88_13</vt:lpwstr>
  </property>
</Properties>
</file>