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关于机关宿舍楼智慧安全用电模块、电能表、电表箱采购及迁移项目的澄清说明</w:t>
      </w:r>
    </w:p>
    <w:p>
      <w:pPr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各供应商：</w:t>
      </w:r>
    </w:p>
    <w:p>
      <w:pPr>
        <w:pStyle w:val="2"/>
        <w:ind w:left="0" w:leftChars="0" w:firstLine="64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经现场确认，现对此项目“</w:t>
      </w:r>
      <w:r>
        <w:rPr>
          <w:rFonts w:hint="eastAsia" w:ascii="仿宋" w:hAnsi="仿宋" w:eastAsia="仿宋"/>
          <w:sz w:val="32"/>
          <w:szCs w:val="32"/>
        </w:rPr>
        <w:t>采购材料一览表</w:t>
      </w:r>
      <w:r>
        <w:rPr>
          <w:rFonts w:hint="eastAsia"/>
          <w:sz w:val="32"/>
          <w:szCs w:val="32"/>
          <w:lang w:val="en-US" w:eastAsia="zh-CN"/>
        </w:rPr>
        <w:t>”内容进行更新，项目其他内容不做更改。请各供应商以此份内容为准进行询价回复，给您造成不便，敬请谅解！</w:t>
      </w:r>
    </w:p>
    <w:p>
      <w:pPr>
        <w:pStyle w:val="2"/>
        <w:ind w:left="0" w:leftChars="0" w:firstLine="640" w:firstLineChars="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深圳市深水龙岗水务集团有限公司安全管理部</w:t>
      </w:r>
    </w:p>
    <w:p>
      <w:pPr>
        <w:pStyle w:val="2"/>
        <w:ind w:left="0" w:leftChars="0" w:firstLine="640" w:firstLineChars="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2024年9月30日</w:t>
      </w:r>
    </w:p>
    <w:p>
      <w:pPr>
        <w:pStyle w:val="2"/>
        <w:ind w:left="0" w:leftChars="0" w:firstLine="0" w:firstLineChars="0"/>
        <w:jc w:val="both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采购材料一览表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tbl>
      <w:tblPr>
        <w:tblStyle w:val="10"/>
        <w:tblW w:w="8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170"/>
        <w:gridCol w:w="2865"/>
        <w:gridCol w:w="780"/>
        <w:gridCol w:w="525"/>
        <w:gridCol w:w="489"/>
        <w:gridCol w:w="1206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829" w:type="dxa"/>
            <w:gridSpan w:val="5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由深水龙岗</w:t>
            </w:r>
            <w:r>
              <w:rPr>
                <w:rFonts w:ascii="宋体" w:hAnsi="宋体"/>
                <w:b/>
              </w:rPr>
              <w:t>水务</w:t>
            </w:r>
            <w:r>
              <w:rPr>
                <w:rFonts w:hint="eastAsia" w:ascii="宋体" w:hAnsi="宋体"/>
                <w:b/>
              </w:rPr>
              <w:t>集团填写</w:t>
            </w:r>
          </w:p>
        </w:tc>
        <w:tc>
          <w:tcPr>
            <w:tcW w:w="2328" w:type="dxa"/>
            <w:gridSpan w:val="2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由供应商填写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</w:trPr>
        <w:tc>
          <w:tcPr>
            <w:tcW w:w="471" w:type="dxa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70" w:type="dxa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材料/服务</w:t>
            </w:r>
          </w:p>
        </w:tc>
        <w:tc>
          <w:tcPr>
            <w:tcW w:w="2865" w:type="dxa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</w:t>
            </w:r>
          </w:p>
        </w:tc>
        <w:tc>
          <w:tcPr>
            <w:tcW w:w="780" w:type="dxa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供货时间</w:t>
            </w:r>
          </w:p>
        </w:tc>
        <w:tc>
          <w:tcPr>
            <w:tcW w:w="525" w:type="dxa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489" w:type="dxa"/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</w:t>
            </w:r>
          </w:p>
        </w:tc>
        <w:tc>
          <w:tcPr>
            <w:tcW w:w="1206" w:type="dxa"/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单价</w:t>
            </w:r>
            <w:r>
              <w:rPr>
                <w:rFonts w:hint="eastAsia" w:ascii="宋体" w:hAnsi="宋体"/>
                <w:b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lang w:eastAsia="zh-CN"/>
              </w:rPr>
              <w:t>）</w:t>
            </w:r>
          </w:p>
        </w:tc>
        <w:tc>
          <w:tcPr>
            <w:tcW w:w="1122" w:type="dxa"/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总价</w:t>
            </w:r>
            <w:r>
              <w:rPr>
                <w:rFonts w:hint="eastAsia" w:ascii="宋体" w:hAnsi="宋体"/>
                <w:b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智慧塑壳断路器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新型智慧塑壳断路器 3P+N，三相额定125A可调，剩余电流最大1000mA可调，分断50KA，RS485接口，两路输入输出，总线接口，可接入T30，可接标准HPLC采集器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智慧微断，带漏保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智慧微断220V,2P带漏保，额定63A，C型，短路分断能力10KA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电源模组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含防浪涌功能,额定泄放10kA,最大泄放20kA,额定输出2A,单相电输入。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通讯模组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支持4G全网通+支持WiFi，支持掉电报警，带内置WiFi天线，外置2米吸盘4G天线。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通讯模组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塑壳配套转换模组：塑壳配套微断时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使用，485转6Pi 总线转换器 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流量卡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移动流量卡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，到期需提前一个月充值。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5年,100M/月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智能电表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220V，0.25-0.5（60）A。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传输集中器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上行通过3G/4G/5G或以太网，下行支持直接通过RS485到表，或者通过LoRa下行到采集器，再由采集器到表。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透明可视电箱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多位透明电表箱塑料表箱单相9户电表箱（定制）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系统显示屏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32寸液晶显示屏，贴墙壁装，展示智慧用电大数据管理平台。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系统控制主机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Intel(R) Core(TM) i5系列CPU/内存16G内存/512G固态硬盘，电源主机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工程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安装实施费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工程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辅材辅料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合同签订后15天内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批</w:t>
            </w: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7506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总价合计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YWE5NjAwNDYwMDkzODY2YTc0ZjE3NGQyMmU1ZDIifQ=="/>
  </w:docVars>
  <w:rsids>
    <w:rsidRoot w:val="00000000"/>
    <w:rsid w:val="07C248D5"/>
    <w:rsid w:val="0A0E32E1"/>
    <w:rsid w:val="0B410605"/>
    <w:rsid w:val="0E84177D"/>
    <w:rsid w:val="16D85C88"/>
    <w:rsid w:val="21562581"/>
    <w:rsid w:val="30DB0C48"/>
    <w:rsid w:val="381706FC"/>
    <w:rsid w:val="582B18EA"/>
    <w:rsid w:val="66942F8F"/>
    <w:rsid w:val="6B1026D3"/>
    <w:rsid w:val="71264E88"/>
    <w:rsid w:val="77FD0EBB"/>
    <w:rsid w:val="786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仿宋_GB2312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center"/>
      <w:outlineLvl w:val="0"/>
    </w:pPr>
    <w:rPr>
      <w:rFonts w:ascii="Times New Roman" w:eastAsia="宋体"/>
      <w:b/>
      <w:kern w:val="0"/>
      <w:sz w:val="32"/>
      <w:szCs w:val="20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spacing w:before="240" w:after="240"/>
      <w:ind w:left="720" w:hanging="432"/>
      <w:outlineLvl w:val="2"/>
    </w:pPr>
    <w:rPr>
      <w:rFonts w:ascii="Times New Roman" w:eastAsia="宋体"/>
      <w:b/>
      <w:kern w:val="0"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200" w:firstLine="200" w:firstLineChars="200"/>
    </w:pPr>
    <w:rPr>
      <w:snapToGrid w:val="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Normal Indent"/>
    <w:basedOn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annotation text"/>
    <w:basedOn w:val="1"/>
    <w:qFormat/>
    <w:uiPriority w:val="0"/>
    <w:pPr>
      <w:keepNext/>
      <w:keepLines/>
      <w:adjustRightInd w:val="0"/>
      <w:spacing w:line="360" w:lineRule="atLeast"/>
      <w:textAlignment w:val="baseline"/>
    </w:pPr>
    <w:rPr>
      <w:rFonts w:ascii="Times New Roman" w:eastAsia="宋体"/>
      <w:kern w:val="0"/>
      <w:sz w:val="24"/>
      <w:szCs w:val="20"/>
    </w:rPr>
  </w:style>
  <w:style w:type="paragraph" w:styleId="9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9243</Words>
  <Characters>10069</Characters>
  <Lines>0</Lines>
  <Paragraphs>0</Paragraphs>
  <TotalTime>3</TotalTime>
  <ScaleCrop>false</ScaleCrop>
  <LinksUpToDate>false</LinksUpToDate>
  <CharactersWithSpaces>10307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2024-09-25T01:50:00Z</dcterms:created>
  <dc:creator>Administrator</dc:creator>
  <cp:lastModifiedBy>Administrator</cp:lastModifiedBy>
  <cp:lastPrinted>2024-09-30T09:33:04Z</cp:lastPrinted>
  <dcterms:modified xsi:type="dcterms:W3CDTF">2024-09-30T09:38:56Z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E4AD091639264AF68230655BD9E3BD70_13</vt:lpwstr>
  </property>
</Properties>
</file>