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3"/>
        <w:rPr>
          <w:rFonts w:hint="eastAsia" w:ascii="宋体" w:hAnsi="宋体" w:eastAsia="宋体" w:cs="宋体"/>
          <w:highlight w:val="none"/>
        </w:rPr>
      </w:pPr>
    </w:p>
    <w:p>
      <w:pPr>
        <w:tabs>
          <w:tab w:val="left" w:pos="7560"/>
        </w:tabs>
        <w:spacing w:line="560" w:lineRule="exact"/>
        <w:ind w:firstLine="560" w:firstLineChars="200"/>
        <w:rPr>
          <w:rFonts w:hint="eastAsia" w:ascii="宋体" w:hAnsi="宋体" w:eastAsia="宋体" w:cs="宋体"/>
          <w:sz w:val="28"/>
          <w:highlight w:val="none"/>
        </w:rPr>
      </w:pPr>
    </w:p>
    <w:p>
      <w:pPr>
        <w:pStyle w:val="25"/>
        <w:rPr>
          <w:rFonts w:hint="eastAsia" w:ascii="宋体" w:hAnsi="宋体" w:eastAsia="宋体" w:cs="宋体"/>
          <w:highlight w:val="none"/>
        </w:rPr>
      </w:pPr>
    </w:p>
    <w:p>
      <w:pPr>
        <w:rPr>
          <w:rFonts w:hint="eastAsia" w:ascii="宋体" w:hAnsi="宋体" w:eastAsia="宋体" w:cs="宋体"/>
          <w:highlight w:val="none"/>
        </w:rPr>
      </w:pPr>
    </w:p>
    <w:p>
      <w:pPr>
        <w:tabs>
          <w:tab w:val="left" w:pos="7560"/>
        </w:tabs>
        <w:spacing w:line="560" w:lineRule="exact"/>
        <w:jc w:val="center"/>
        <w:rPr>
          <w:rFonts w:hint="default" w:ascii="宋体" w:hAnsi="宋体" w:eastAsia="宋体" w:cs="宋体"/>
          <w:b/>
          <w:bCs/>
          <w:sz w:val="48"/>
          <w:highlight w:val="none"/>
          <w:lang w:val="en-US"/>
        </w:rPr>
      </w:pPr>
      <w:r>
        <w:rPr>
          <w:rFonts w:hint="eastAsia" w:ascii="宋体" w:hAnsi="宋体" w:cs="宋体"/>
          <w:b/>
          <w:bCs/>
          <w:sz w:val="48"/>
          <w:highlight w:val="none"/>
          <w:lang w:eastAsia="zh-CN"/>
        </w:rPr>
        <w:t>深圳会计进修学院生活用水市政接驳工程（一体化加压设备）</w:t>
      </w:r>
    </w:p>
    <w:p>
      <w:pPr>
        <w:tabs>
          <w:tab w:val="left" w:pos="7560"/>
        </w:tabs>
        <w:spacing w:line="560" w:lineRule="exact"/>
        <w:ind w:firstLine="3132" w:firstLineChars="650"/>
        <w:rPr>
          <w:rFonts w:hint="eastAsia" w:ascii="宋体" w:hAnsi="宋体" w:eastAsia="宋体" w:cs="宋体"/>
          <w:b/>
          <w:bCs/>
          <w:sz w:val="48"/>
          <w:highlight w:val="none"/>
        </w:rPr>
      </w:pPr>
    </w:p>
    <w:p>
      <w:pPr>
        <w:tabs>
          <w:tab w:val="left" w:pos="7560"/>
        </w:tabs>
        <w:spacing w:line="560" w:lineRule="exact"/>
        <w:ind w:firstLine="3132" w:firstLineChars="650"/>
        <w:rPr>
          <w:rFonts w:hint="eastAsia" w:ascii="宋体" w:hAnsi="宋体" w:eastAsia="宋体" w:cs="宋体"/>
          <w:b/>
          <w:bCs/>
          <w:sz w:val="48"/>
          <w:highlight w:val="none"/>
        </w:rPr>
      </w:pPr>
    </w:p>
    <w:p>
      <w:pPr>
        <w:tabs>
          <w:tab w:val="left" w:pos="7560"/>
        </w:tabs>
        <w:spacing w:line="560" w:lineRule="exact"/>
        <w:ind w:firstLine="3132" w:firstLineChars="650"/>
        <w:rPr>
          <w:rFonts w:hint="eastAsia" w:ascii="宋体" w:hAnsi="宋体" w:eastAsia="宋体" w:cs="宋体"/>
          <w:b/>
          <w:bCs/>
          <w:sz w:val="48"/>
          <w:highlight w:val="none"/>
        </w:rPr>
      </w:pPr>
      <w:r>
        <w:rPr>
          <w:rFonts w:hint="eastAsia" w:ascii="宋体" w:hAnsi="宋体" w:eastAsia="宋体" w:cs="宋体"/>
          <w:b/>
          <w:bCs/>
          <w:sz w:val="48"/>
          <w:highlight w:val="none"/>
        </w:rPr>
        <w:t>招标文件</w:t>
      </w:r>
    </w:p>
    <w:p>
      <w:pPr>
        <w:tabs>
          <w:tab w:val="left" w:pos="7560"/>
        </w:tabs>
        <w:spacing w:line="560" w:lineRule="exact"/>
        <w:ind w:firstLine="560" w:firstLineChars="200"/>
        <w:rPr>
          <w:rFonts w:hint="eastAsia" w:ascii="宋体" w:hAnsi="宋体" w:eastAsia="宋体" w:cs="宋体"/>
          <w:sz w:val="28"/>
          <w:highlight w:val="none"/>
        </w:rPr>
      </w:pPr>
    </w:p>
    <w:p>
      <w:pPr>
        <w:pStyle w:val="25"/>
        <w:rPr>
          <w:rFonts w:hint="eastAsia" w:ascii="宋体" w:hAnsi="宋体" w:eastAsia="宋体" w:cs="宋体"/>
          <w:highlight w:val="none"/>
        </w:rPr>
      </w:pPr>
    </w:p>
    <w:p>
      <w:pPr>
        <w:pStyle w:val="25"/>
        <w:rPr>
          <w:rFonts w:hint="eastAsia" w:ascii="宋体" w:hAnsi="宋体" w:eastAsia="宋体" w:cs="宋体"/>
          <w:highlight w:val="none"/>
        </w:rPr>
      </w:pPr>
    </w:p>
    <w:p>
      <w:pPr>
        <w:pStyle w:val="25"/>
        <w:rPr>
          <w:rFonts w:hint="eastAsia" w:ascii="宋体" w:hAnsi="宋体" w:eastAsia="宋体" w:cs="宋体"/>
          <w:highlight w:val="none"/>
        </w:rPr>
      </w:pPr>
    </w:p>
    <w:p>
      <w:pPr>
        <w:tabs>
          <w:tab w:val="left" w:pos="7560"/>
        </w:tabs>
        <w:spacing w:line="560" w:lineRule="exact"/>
        <w:ind w:firstLine="562" w:firstLineChars="200"/>
        <w:rPr>
          <w:rFonts w:hint="eastAsia" w:ascii="宋体" w:hAnsi="宋体" w:eastAsia="宋体" w:cs="宋体"/>
          <w:b/>
          <w:sz w:val="28"/>
          <w:highlight w:val="none"/>
          <w:lang w:eastAsia="zh-CN"/>
        </w:rPr>
      </w:pPr>
      <w:r>
        <w:rPr>
          <w:rFonts w:hint="eastAsia" w:ascii="宋体" w:hAnsi="宋体" w:eastAsia="宋体" w:cs="宋体"/>
          <w:b/>
          <w:sz w:val="28"/>
          <w:highlight w:val="none"/>
        </w:rPr>
        <w:t>项目编号：</w:t>
      </w:r>
      <w:r>
        <w:rPr>
          <w:rFonts w:hint="eastAsia" w:ascii="宋体" w:hAnsi="宋体" w:cs="宋体"/>
          <w:b/>
          <w:sz w:val="28"/>
          <w:highlight w:val="none"/>
          <w:lang w:eastAsia="zh-CN"/>
        </w:rPr>
        <w:t>环水建设招</w:t>
      </w:r>
      <w:r>
        <w:rPr>
          <w:rFonts w:hint="eastAsia" w:ascii="宋体" w:hAnsi="宋体" w:eastAsia="宋体" w:cs="宋体"/>
          <w:b/>
          <w:sz w:val="28"/>
          <w:highlight w:val="none"/>
          <w:lang w:eastAsia="zh-CN"/>
        </w:rPr>
        <w:t>(投)标字[2024]021号</w:t>
      </w:r>
    </w:p>
    <w:p>
      <w:pPr>
        <w:tabs>
          <w:tab w:val="left" w:pos="7560"/>
        </w:tabs>
        <w:spacing w:line="560" w:lineRule="exact"/>
        <w:ind w:firstLine="562" w:firstLineChars="200"/>
        <w:rPr>
          <w:rFonts w:hint="eastAsia" w:ascii="宋体" w:hAnsi="宋体" w:eastAsia="宋体" w:cs="宋体"/>
          <w:b/>
          <w:sz w:val="28"/>
          <w:highlight w:val="none"/>
        </w:rPr>
      </w:pPr>
    </w:p>
    <w:p>
      <w:pPr>
        <w:tabs>
          <w:tab w:val="left" w:pos="7560"/>
        </w:tabs>
        <w:spacing w:line="560" w:lineRule="exact"/>
        <w:ind w:firstLine="562" w:firstLineChars="200"/>
        <w:rPr>
          <w:rFonts w:hint="eastAsia" w:ascii="宋体" w:hAnsi="宋体" w:eastAsia="宋体" w:cs="宋体"/>
          <w:b/>
          <w:sz w:val="28"/>
          <w:highlight w:val="none"/>
          <w:lang w:eastAsia="zh-CN"/>
        </w:rPr>
      </w:pPr>
      <w:r>
        <w:rPr>
          <w:rFonts w:hint="eastAsia" w:ascii="宋体" w:hAnsi="宋体" w:eastAsia="宋体" w:cs="宋体"/>
          <w:b/>
          <w:sz w:val="28"/>
          <w:highlight w:val="none"/>
        </w:rPr>
        <w:t>招标人：</w:t>
      </w:r>
      <w:r>
        <w:rPr>
          <w:rFonts w:hint="eastAsia" w:ascii="宋体" w:hAnsi="宋体" w:cs="宋体"/>
          <w:b/>
          <w:sz w:val="28"/>
          <w:highlight w:val="none"/>
          <w:lang w:eastAsia="zh-CN"/>
        </w:rPr>
        <w:t>深圳市环水建设工程有限公司</w:t>
      </w:r>
    </w:p>
    <w:p>
      <w:pPr>
        <w:tabs>
          <w:tab w:val="left" w:pos="7560"/>
        </w:tabs>
        <w:spacing w:line="560" w:lineRule="exact"/>
        <w:ind w:firstLine="562" w:firstLineChars="200"/>
        <w:rPr>
          <w:rFonts w:hint="eastAsia" w:ascii="宋体" w:hAnsi="宋体" w:eastAsia="宋体" w:cs="宋体"/>
          <w:b/>
          <w:sz w:val="28"/>
          <w:highlight w:val="none"/>
        </w:rPr>
      </w:pPr>
    </w:p>
    <w:p>
      <w:pPr>
        <w:tabs>
          <w:tab w:val="left" w:pos="7560"/>
        </w:tabs>
        <w:spacing w:line="560" w:lineRule="exact"/>
        <w:ind w:firstLine="562" w:firstLineChars="200"/>
        <w:rPr>
          <w:rFonts w:hint="eastAsia" w:ascii="宋体" w:hAnsi="宋体" w:eastAsia="宋体" w:cs="宋体"/>
          <w:b/>
          <w:sz w:val="28"/>
          <w:highlight w:val="none"/>
        </w:rPr>
      </w:pPr>
      <w:r>
        <w:rPr>
          <w:rFonts w:hint="eastAsia" w:ascii="宋体" w:hAnsi="宋体" w:eastAsia="宋体" w:cs="宋体"/>
          <w:b/>
          <w:sz w:val="28"/>
          <w:highlight w:val="none"/>
        </w:rPr>
        <w:t>招标代理机构：深圳市深水水务咨询有限公司</w:t>
      </w:r>
    </w:p>
    <w:p>
      <w:pPr>
        <w:tabs>
          <w:tab w:val="left" w:pos="7560"/>
        </w:tabs>
        <w:spacing w:line="560" w:lineRule="exact"/>
        <w:jc w:val="center"/>
        <w:rPr>
          <w:rFonts w:hint="eastAsia" w:ascii="宋体" w:hAnsi="宋体" w:eastAsia="宋体" w:cs="宋体"/>
          <w:b/>
          <w:sz w:val="30"/>
          <w:szCs w:val="30"/>
          <w:highlight w:val="none"/>
        </w:rPr>
      </w:pPr>
    </w:p>
    <w:p>
      <w:pPr>
        <w:tabs>
          <w:tab w:val="left" w:pos="7560"/>
        </w:tabs>
        <w:spacing w:line="560" w:lineRule="exact"/>
        <w:jc w:val="center"/>
        <w:rPr>
          <w:rFonts w:hint="eastAsia" w:ascii="宋体" w:hAnsi="宋体" w:eastAsia="宋体" w:cs="宋体"/>
          <w:b/>
          <w:sz w:val="30"/>
          <w:szCs w:val="30"/>
          <w:highlight w:val="none"/>
        </w:rPr>
      </w:pPr>
    </w:p>
    <w:p>
      <w:pPr>
        <w:tabs>
          <w:tab w:val="left" w:pos="7560"/>
        </w:tabs>
        <w:spacing w:line="560" w:lineRule="exact"/>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202</w:t>
      </w:r>
      <w:r>
        <w:rPr>
          <w:rFonts w:hint="eastAsia" w:ascii="宋体" w:hAnsi="宋体" w:cs="宋体"/>
          <w:b/>
          <w:sz w:val="30"/>
          <w:szCs w:val="30"/>
          <w:highlight w:val="none"/>
          <w:lang w:val="en-US" w:eastAsia="zh-CN"/>
        </w:rPr>
        <w:t>4</w:t>
      </w:r>
      <w:r>
        <w:rPr>
          <w:rFonts w:hint="eastAsia" w:ascii="宋体" w:hAnsi="宋体" w:eastAsia="宋体" w:cs="宋体"/>
          <w:b/>
          <w:sz w:val="30"/>
          <w:szCs w:val="30"/>
          <w:highlight w:val="none"/>
        </w:rPr>
        <w:t>年</w:t>
      </w:r>
      <w:r>
        <w:rPr>
          <w:rFonts w:hint="eastAsia" w:ascii="宋体" w:hAnsi="宋体" w:cs="宋体"/>
          <w:b/>
          <w:sz w:val="30"/>
          <w:szCs w:val="30"/>
          <w:highlight w:val="none"/>
          <w:lang w:val="en-US" w:eastAsia="zh-CN"/>
        </w:rPr>
        <w:t>3</w:t>
      </w:r>
      <w:r>
        <w:rPr>
          <w:rFonts w:hint="eastAsia" w:ascii="宋体" w:hAnsi="宋体" w:eastAsia="宋体" w:cs="宋体"/>
          <w:b/>
          <w:sz w:val="30"/>
          <w:szCs w:val="30"/>
          <w:highlight w:val="none"/>
        </w:rPr>
        <w:t>月</w:t>
      </w:r>
    </w:p>
    <w:p>
      <w:pPr>
        <w:tabs>
          <w:tab w:val="left" w:pos="7560"/>
        </w:tabs>
        <w:spacing w:line="560" w:lineRule="exact"/>
        <w:ind w:firstLine="560" w:firstLineChars="200"/>
        <w:rPr>
          <w:rFonts w:hint="eastAsia" w:ascii="宋体" w:hAnsi="宋体" w:eastAsia="宋体" w:cs="宋体"/>
          <w:sz w:val="28"/>
          <w:highlight w:val="none"/>
        </w:rPr>
      </w:pPr>
    </w:p>
    <w:p>
      <w:pPr>
        <w:tabs>
          <w:tab w:val="left" w:pos="7560"/>
        </w:tabs>
        <w:spacing w:line="560" w:lineRule="exact"/>
        <w:ind w:firstLine="560" w:firstLineChars="200"/>
        <w:rPr>
          <w:rFonts w:hint="eastAsia" w:ascii="宋体" w:hAnsi="宋体" w:eastAsia="宋体" w:cs="宋体"/>
          <w:sz w:val="28"/>
          <w:highlight w:val="none"/>
        </w:rPr>
      </w:pPr>
    </w:p>
    <w:p>
      <w:pPr>
        <w:jc w:val="center"/>
        <w:rPr>
          <w:rFonts w:hint="eastAsia" w:ascii="宋体" w:hAnsi="宋体" w:eastAsia="宋体" w:cs="宋体"/>
          <w:highlight w:val="none"/>
        </w:rPr>
        <w:sectPr>
          <w:footerReference r:id="rId3" w:type="default"/>
          <w:pgSz w:w="11906" w:h="16838"/>
          <w:pgMar w:top="1418" w:right="1418" w:bottom="1361" w:left="1418" w:header="851" w:footer="992" w:gutter="0"/>
          <w:pgBorders>
            <w:top w:val="none" w:sz="0" w:space="0"/>
            <w:left w:val="none" w:sz="0" w:space="0"/>
            <w:bottom w:val="none" w:sz="0" w:space="0"/>
            <w:right w:val="none" w:sz="0" w:space="0"/>
          </w:pgBorders>
          <w:cols w:space="720" w:num="1"/>
          <w:docGrid w:type="lines" w:linePitch="312" w:charSpace="0"/>
        </w:sectPr>
      </w:pPr>
    </w:p>
    <w:p>
      <w:pPr>
        <w:pStyle w:val="26"/>
        <w:spacing w:before="120" w:after="120"/>
        <w:rPr>
          <w:rFonts w:hint="eastAsia" w:ascii="宋体" w:hAnsi="宋体" w:eastAsia="宋体" w:cs="宋体"/>
          <w:sz w:val="28"/>
          <w:highlight w:val="none"/>
        </w:rPr>
      </w:pPr>
      <w:bookmarkStart w:id="0" w:name="_Toc133706437"/>
      <w:bookmarkStart w:id="1" w:name="_Toc82078532"/>
      <w:bookmarkStart w:id="2" w:name="_Toc133705371"/>
      <w:bookmarkStart w:id="3" w:name="_Toc133706113"/>
      <w:bookmarkStart w:id="4" w:name="_Toc133706583"/>
      <w:bookmarkStart w:id="5" w:name="合同协议书"/>
      <w:r>
        <w:rPr>
          <w:rFonts w:hint="eastAsia" w:ascii="宋体" w:hAnsi="宋体" w:eastAsia="宋体" w:cs="宋体"/>
          <w:sz w:val="36"/>
          <w:highlight w:val="none"/>
        </w:rPr>
        <w:t>第一章  招标公告</w:t>
      </w:r>
      <w:bookmarkEnd w:id="0"/>
      <w:bookmarkEnd w:id="1"/>
      <w:bookmarkEnd w:id="2"/>
      <w:bookmarkEnd w:id="3"/>
      <w:bookmarkEnd w:id="4"/>
    </w:p>
    <w:p>
      <w:pPr>
        <w:pStyle w:val="19"/>
        <w:snapToGrid w:val="0"/>
        <w:spacing w:line="360" w:lineRule="auto"/>
        <w:rPr>
          <w:rFonts w:hint="eastAsia" w:ascii="宋体" w:hAnsi="宋体" w:eastAsia="宋体" w:cs="宋体"/>
          <w:sz w:val="21"/>
          <w:szCs w:val="21"/>
          <w:highlight w:val="none"/>
        </w:rPr>
      </w:pPr>
    </w:p>
    <w:p>
      <w:pPr>
        <w:pStyle w:val="19"/>
        <w:snapToGrid w:val="0"/>
        <w:spacing w:line="360" w:lineRule="auto"/>
        <w:rPr>
          <w:rFonts w:hint="eastAsia" w:ascii="宋体" w:hAnsi="宋体" w:eastAsia="宋体" w:cs="宋体"/>
          <w:color w:val="auto"/>
          <w:sz w:val="21"/>
          <w:szCs w:val="21"/>
          <w:highlight w:val="none"/>
        </w:rPr>
      </w:pPr>
      <w:r>
        <w:rPr>
          <w:rFonts w:hint="eastAsia" w:ascii="宋体" w:hAnsi="宋体" w:cs="宋体"/>
          <w:sz w:val="21"/>
          <w:szCs w:val="21"/>
          <w:highlight w:val="none"/>
          <w:lang w:eastAsia="zh-CN"/>
        </w:rPr>
        <w:t>深圳市环水建设工程有限公司</w:t>
      </w:r>
      <w:r>
        <w:rPr>
          <w:rFonts w:hint="eastAsia" w:ascii="宋体" w:hAnsi="宋体" w:eastAsia="宋体" w:cs="宋体"/>
          <w:sz w:val="21"/>
          <w:szCs w:val="21"/>
          <w:highlight w:val="none"/>
        </w:rPr>
        <w:t>（以下简称“招标人”）委托深圳市深水水务咨询有限公司（以下简称“招标代理”），就</w:t>
      </w:r>
      <w:r>
        <w:rPr>
          <w:rFonts w:hint="eastAsia" w:ascii="宋体" w:hAnsi="宋体" w:cs="宋体"/>
          <w:b/>
          <w:bCs/>
          <w:sz w:val="21"/>
          <w:szCs w:val="21"/>
          <w:highlight w:val="none"/>
          <w:lang w:eastAsia="zh-CN"/>
        </w:rPr>
        <w:t>深圳会计进修学院生活用水市政接驳工程（一体化加压设备）</w:t>
      </w: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环水建设招(投)标字[2024]021号</w:t>
      </w:r>
      <w:r>
        <w:rPr>
          <w:rFonts w:hint="eastAsia" w:ascii="宋体" w:hAnsi="宋体" w:eastAsia="宋体" w:cs="宋体"/>
          <w:color w:val="auto"/>
          <w:sz w:val="21"/>
          <w:szCs w:val="21"/>
          <w:highlight w:val="none"/>
        </w:rPr>
        <w:t>）进行公开招标。欢迎符合资格要求并能提供相关服务的公司参加投标。</w:t>
      </w:r>
    </w:p>
    <w:p>
      <w:pPr>
        <w:spacing w:before="124" w:beforeLines="40" w:after="124" w:afterLines="40"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w:t>
      </w:r>
      <w:bookmarkStart w:id="6" w:name="OLE_LINK2"/>
      <w:r>
        <w:rPr>
          <w:rFonts w:hint="eastAsia" w:ascii="宋体" w:hAnsi="宋体" w:eastAsia="宋体" w:cs="宋体"/>
          <w:b/>
          <w:color w:val="auto"/>
          <w:kern w:val="0"/>
          <w:szCs w:val="21"/>
          <w:highlight w:val="none"/>
        </w:rPr>
        <w:t>招标项目的名称、</w:t>
      </w:r>
      <w:bookmarkEnd w:id="6"/>
      <w:r>
        <w:rPr>
          <w:rFonts w:hint="eastAsia" w:ascii="宋体" w:hAnsi="宋体" w:eastAsia="宋体" w:cs="宋体"/>
          <w:b/>
          <w:color w:val="auto"/>
          <w:kern w:val="0"/>
          <w:szCs w:val="21"/>
          <w:highlight w:val="none"/>
        </w:rPr>
        <w:t>编号、概况、招标范围及内容</w:t>
      </w:r>
      <w:r>
        <w:rPr>
          <w:rFonts w:hint="eastAsia" w:ascii="宋体" w:hAnsi="宋体" w:eastAsia="宋体" w:cs="宋体"/>
          <w:b/>
          <w:color w:val="auto"/>
          <w:kern w:val="0"/>
          <w:szCs w:val="21"/>
          <w:highlight w:val="none"/>
          <w:lang w:eastAsia="zh-CN"/>
        </w:rPr>
        <w:t>、供货期</w:t>
      </w:r>
      <w:r>
        <w:rPr>
          <w:rFonts w:hint="eastAsia" w:ascii="宋体" w:hAnsi="宋体" w:eastAsia="宋体" w:cs="宋体"/>
          <w:b/>
          <w:color w:val="auto"/>
          <w:kern w:val="0"/>
          <w:szCs w:val="21"/>
          <w:highlight w:val="none"/>
        </w:rPr>
        <w:t>、招标控制价</w:t>
      </w:r>
      <w:r>
        <w:rPr>
          <w:rFonts w:hint="eastAsia" w:ascii="宋体" w:hAnsi="宋体" w:eastAsia="宋体" w:cs="宋体"/>
          <w:b/>
          <w:color w:val="auto"/>
          <w:kern w:val="0"/>
          <w:szCs w:val="21"/>
          <w:highlight w:val="none"/>
          <w:lang w:eastAsia="zh-CN"/>
        </w:rPr>
        <w:t>、投标报价上限</w:t>
      </w:r>
      <w:r>
        <w:rPr>
          <w:rFonts w:hint="eastAsia" w:ascii="宋体" w:hAnsi="宋体" w:eastAsia="宋体" w:cs="宋体"/>
          <w:b/>
          <w:color w:val="auto"/>
          <w:kern w:val="0"/>
          <w:szCs w:val="21"/>
          <w:highlight w:val="none"/>
        </w:rPr>
        <w:t>：</w:t>
      </w:r>
    </w:p>
    <w:p>
      <w:pPr>
        <w:pStyle w:val="19"/>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1、项目名称：</w:t>
      </w:r>
      <w:r>
        <w:rPr>
          <w:rFonts w:hint="eastAsia" w:ascii="宋体" w:hAnsi="宋体" w:cs="宋体"/>
          <w:color w:val="auto"/>
          <w:sz w:val="21"/>
          <w:szCs w:val="21"/>
          <w:highlight w:val="none"/>
          <w:lang w:eastAsia="zh-CN"/>
        </w:rPr>
        <w:t>深圳会计进修学院生活用水市政接驳工程（一体化加压设备）</w:t>
      </w:r>
    </w:p>
    <w:p>
      <w:pPr>
        <w:pStyle w:val="19"/>
        <w:snapToGrid w:val="0"/>
        <w:spacing w:line="360" w:lineRule="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2、项目编号：</w:t>
      </w:r>
      <w:r>
        <w:rPr>
          <w:rFonts w:hint="eastAsia" w:ascii="宋体" w:hAnsi="宋体" w:cs="宋体"/>
          <w:color w:val="auto"/>
          <w:sz w:val="21"/>
          <w:szCs w:val="21"/>
          <w:highlight w:val="none"/>
          <w:lang w:eastAsia="zh-CN"/>
        </w:rPr>
        <w:t>环水建设招(投)标字[2024]021号</w:t>
      </w:r>
    </w:p>
    <w:p>
      <w:pPr>
        <w:pStyle w:val="19"/>
        <w:snapToGrid w:val="0"/>
        <w:spacing w:line="36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3、项目概况：</w:t>
      </w:r>
      <w:r>
        <w:rPr>
          <w:rFonts w:hint="eastAsia" w:ascii="宋体" w:hAnsi="宋体" w:cs="宋体"/>
          <w:sz w:val="21"/>
          <w:szCs w:val="21"/>
          <w:highlight w:val="none"/>
          <w:lang w:eastAsia="zh-CN"/>
        </w:rPr>
        <w:t>深圳会计进修学院生活用水市政接驳工程</w:t>
      </w:r>
      <w:r>
        <w:rPr>
          <w:rFonts w:hint="eastAsia" w:ascii="宋体" w:hAnsi="宋体" w:cs="宋体"/>
          <w:sz w:val="21"/>
          <w:szCs w:val="21"/>
          <w:highlight w:val="none"/>
          <w:lang w:val="en-US" w:eastAsia="zh-CN"/>
        </w:rPr>
        <w:t>建设内容是</w:t>
      </w:r>
      <w:r>
        <w:rPr>
          <w:rFonts w:hint="eastAsia" w:ascii="宋体" w:hAnsi="宋体" w:eastAsia="宋体" w:cs="宋体"/>
          <w:sz w:val="21"/>
          <w:szCs w:val="21"/>
          <w:highlight w:val="none"/>
        </w:rPr>
        <w:t>由南侧菠萝山污水泵站附近DN800开口，新建加压设备、覆塑不锈钢管DN80 管约1666m、球墨铸铁给水管 DN100管约809m等。根据项目生产需要，拟采购水泵、阀门及自控电气设备等一体化加压设备</w:t>
      </w:r>
      <w:r>
        <w:rPr>
          <w:rFonts w:hint="eastAsia" w:ascii="宋体" w:hAnsi="宋体" w:eastAsia="宋体" w:cs="宋体"/>
          <w:sz w:val="21"/>
          <w:szCs w:val="21"/>
          <w:highlight w:val="none"/>
          <w:lang w:eastAsia="zh-CN"/>
        </w:rPr>
        <w:t>。</w:t>
      </w:r>
    </w:p>
    <w:p>
      <w:pPr>
        <w:pStyle w:val="19"/>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4、招标范围及内容：本次采购范围包括但不限于水泵、阀门及自控电气设备等一体化加压设备，具体详见货物需求表。（注：数量均为暂定量，具体以项目实施过程中实际发生的采购数量为准）</w:t>
      </w:r>
    </w:p>
    <w:p>
      <w:pPr>
        <w:pStyle w:val="19"/>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供货</w:t>
      </w:r>
      <w:r>
        <w:rPr>
          <w:rFonts w:hint="eastAsia" w:ascii="宋体" w:hAnsi="宋体" w:eastAsia="宋体" w:cs="宋体"/>
          <w:sz w:val="21"/>
          <w:szCs w:val="21"/>
          <w:highlight w:val="none"/>
        </w:rPr>
        <w:t>期：货物运抵现场时间自中标通知书发放之日起60个日历日内（乙方需在供货期内完成货物及其他相关配套设施的供应、技术支持等工作，并按甲方要求分批到货，具体供货时间以甲方通知为准）</w:t>
      </w:r>
    </w:p>
    <w:p>
      <w:pPr>
        <w:pStyle w:val="19"/>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6、招标控制价：</w:t>
      </w:r>
      <w:r>
        <w:rPr>
          <w:rFonts w:hint="eastAsia" w:ascii="宋体" w:hAnsi="宋体" w:cs="宋体"/>
          <w:sz w:val="21"/>
          <w:szCs w:val="21"/>
          <w:highlight w:val="none"/>
          <w:lang w:eastAsia="zh-CN"/>
        </w:rPr>
        <w:t>1325567.58</w:t>
      </w:r>
      <w:r>
        <w:rPr>
          <w:rFonts w:hint="eastAsia" w:ascii="宋体" w:hAnsi="宋体" w:eastAsia="宋体" w:cs="宋体"/>
          <w:sz w:val="21"/>
          <w:szCs w:val="21"/>
          <w:highlight w:val="none"/>
        </w:rPr>
        <w:t>元。</w:t>
      </w:r>
    </w:p>
    <w:p>
      <w:pPr>
        <w:pStyle w:val="19"/>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7、投标报价上限：招标控制价下浮</w:t>
      </w:r>
      <w:r>
        <w:rPr>
          <w:rFonts w:hint="eastAsia" w:ascii="宋体" w:hAnsi="宋体" w:cs="宋体"/>
          <w:sz w:val="21"/>
          <w:szCs w:val="21"/>
          <w:highlight w:val="none"/>
          <w:lang w:val="en-US" w:eastAsia="zh-CN"/>
        </w:rPr>
        <w:t>18</w:t>
      </w:r>
      <w:r>
        <w:rPr>
          <w:rFonts w:hint="eastAsia" w:ascii="宋体" w:hAnsi="宋体" w:eastAsia="宋体" w:cs="宋体"/>
          <w:sz w:val="21"/>
          <w:szCs w:val="21"/>
          <w:highlight w:val="none"/>
        </w:rPr>
        <w:t>%，即投标报价上限为：</w:t>
      </w:r>
      <w:r>
        <w:rPr>
          <w:rFonts w:hint="eastAsia" w:ascii="宋体" w:hAnsi="宋体" w:cs="宋体"/>
          <w:sz w:val="21"/>
          <w:szCs w:val="21"/>
          <w:highlight w:val="none"/>
          <w:lang w:eastAsia="zh-CN"/>
        </w:rPr>
        <w:t>1086965.42</w:t>
      </w:r>
      <w:r>
        <w:rPr>
          <w:rFonts w:hint="eastAsia" w:ascii="宋体" w:hAnsi="宋体" w:eastAsia="宋体" w:cs="宋体"/>
          <w:sz w:val="21"/>
          <w:szCs w:val="21"/>
          <w:highlight w:val="none"/>
        </w:rPr>
        <w:t>元。</w:t>
      </w:r>
    </w:p>
    <w:p>
      <w:pPr>
        <w:spacing w:before="124" w:beforeLines="40" w:after="124" w:afterLines="40" w:line="360" w:lineRule="auto"/>
        <w:ind w:firstLine="422" w:firstLineChars="200"/>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二、拟公开发布平台（媒介）及公告周期：</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1、深圳环水集团招标采购数字管理平台</w:t>
      </w:r>
      <w:r>
        <w:rPr>
          <w:rFonts w:hint="eastAsia" w:ascii="宋体" w:hAnsi="宋体" w:cs="宋体"/>
          <w:szCs w:val="21"/>
          <w:highlight w:val="none"/>
          <w:lang w:eastAsia="zh-CN"/>
        </w:rPr>
        <w:t>、</w:t>
      </w:r>
      <w:r>
        <w:rPr>
          <w:rFonts w:hint="eastAsia" w:ascii="宋体" w:hAnsi="宋体" w:eastAsia="宋体" w:cs="宋体"/>
          <w:szCs w:val="21"/>
          <w:highlight w:val="none"/>
        </w:rPr>
        <w:t>深圳市国资委阳光采购平台；</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2、采用公开招标方式，公告时间不少于</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个</w:t>
      </w:r>
      <w:r>
        <w:rPr>
          <w:rFonts w:hint="eastAsia" w:ascii="宋体" w:hAnsi="宋体" w:eastAsia="宋体" w:cs="宋体"/>
          <w:szCs w:val="21"/>
          <w:highlight w:val="none"/>
          <w:lang w:val="en-US" w:eastAsia="zh-CN"/>
        </w:rPr>
        <w:t>工作</w:t>
      </w:r>
      <w:r>
        <w:rPr>
          <w:rFonts w:hint="eastAsia" w:ascii="宋体" w:hAnsi="宋体" w:eastAsia="宋体" w:cs="宋体"/>
          <w:szCs w:val="21"/>
          <w:highlight w:val="none"/>
        </w:rPr>
        <w:t>日。评定分离，本项目</w:t>
      </w:r>
      <w:r>
        <w:rPr>
          <w:rFonts w:hint="eastAsia" w:ascii="宋体" w:hAnsi="宋体" w:eastAsia="宋体" w:cs="宋体"/>
          <w:szCs w:val="21"/>
          <w:highlight w:val="none"/>
          <w:lang w:val="en-US" w:eastAsia="zh-CN"/>
        </w:rPr>
        <w:t>不</w:t>
      </w:r>
      <w:r>
        <w:rPr>
          <w:rFonts w:hint="eastAsia" w:ascii="宋体" w:hAnsi="宋体" w:eastAsia="宋体" w:cs="宋体"/>
          <w:szCs w:val="21"/>
          <w:highlight w:val="none"/>
        </w:rPr>
        <w:t>要求编制技术标，</w:t>
      </w:r>
      <w:r>
        <w:rPr>
          <w:rFonts w:hint="eastAsia" w:ascii="宋体" w:hAnsi="宋体" w:eastAsia="宋体" w:cs="宋体"/>
          <w:szCs w:val="21"/>
          <w:highlight w:val="none"/>
          <w:lang w:val="en-US" w:eastAsia="zh-CN"/>
        </w:rPr>
        <w:t>不</w:t>
      </w:r>
      <w:r>
        <w:rPr>
          <w:rFonts w:hint="eastAsia" w:ascii="宋体" w:hAnsi="宋体" w:eastAsia="宋体" w:cs="宋体"/>
          <w:szCs w:val="21"/>
          <w:highlight w:val="none"/>
        </w:rPr>
        <w:t>进行技术标评审。定标方法采用二次竞价定标法（简单多数）。</w:t>
      </w:r>
    </w:p>
    <w:p>
      <w:pPr>
        <w:spacing w:before="124" w:beforeLines="40" w:after="124" w:afterLines="40" w:line="360" w:lineRule="auto"/>
        <w:ind w:firstLine="422" w:firstLineChars="200"/>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lang w:val="en-US" w:eastAsia="zh-CN"/>
        </w:rPr>
        <w:t>三</w:t>
      </w:r>
      <w:r>
        <w:rPr>
          <w:rFonts w:hint="eastAsia" w:ascii="宋体" w:hAnsi="宋体" w:eastAsia="宋体" w:cs="宋体"/>
          <w:b/>
          <w:kern w:val="0"/>
          <w:szCs w:val="21"/>
          <w:highlight w:val="none"/>
        </w:rPr>
        <w:t>、供应商资格要求</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1、投标人必须为中华人民共和国境内注册的独立法人或合伙制企业或者其他组织；</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2、投标人须为</w:t>
      </w:r>
      <w:r>
        <w:rPr>
          <w:rFonts w:hint="eastAsia" w:ascii="宋体" w:hAnsi="宋体" w:eastAsia="宋体" w:cs="宋体"/>
          <w:szCs w:val="21"/>
          <w:highlight w:val="none"/>
          <w:lang w:val="en-US" w:eastAsia="zh-CN"/>
        </w:rPr>
        <w:t>离心</w:t>
      </w:r>
      <w:r>
        <w:rPr>
          <w:rFonts w:hint="eastAsia" w:ascii="宋体" w:hAnsi="宋体" w:eastAsia="宋体" w:cs="宋体"/>
          <w:szCs w:val="21"/>
          <w:highlight w:val="none"/>
        </w:rPr>
        <w:t>泵的制造商或合法代理商。投标人为代理商的，必须提供制造商（分公司、办事处授权无效）针对本次投标项目出具的合法有效的授权书，且同一制造商只允许授权一家有效的代理商参与本次投标，否则均按无效标处理。制造商与其合法代理商不得同时参加本次投标；</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3、本项目不接受联合体投标。</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4、其他投标条件：</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（1）单位法人为同一人或者存在控股、管理关系的不同单位，不得同时参加投标；</w:t>
      </w:r>
    </w:p>
    <w:p>
      <w:pPr>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（2）近3年内（从招标公告发布之日起倒算）投标人或者其法定代表人有行贿犯罪记录的，不得参加此次投标；</w:t>
      </w:r>
    </w:p>
    <w:p>
      <w:pPr>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szCs w:val="21"/>
          <w:highlight w:val="none"/>
        </w:rPr>
        <w:t>（3）近1年内（从截标之日起倒算）因串通投标、转包、以他人名义投标或者违法分包等违法行为受到建设、交通或者财政部门行政处罚的，不得参加此次投标。</w:t>
      </w:r>
    </w:p>
    <w:p>
      <w:pPr>
        <w:spacing w:before="124" w:beforeLines="40" w:after="124" w:afterLines="40" w:line="360" w:lineRule="auto"/>
        <w:ind w:firstLine="422" w:firstLineChars="200"/>
        <w:jc w:val="left"/>
        <w:rPr>
          <w:rFonts w:hint="eastAsia" w:ascii="宋体" w:hAnsi="宋体" w:eastAsia="宋体" w:cs="宋体"/>
          <w:b/>
          <w:kern w:val="0"/>
          <w:szCs w:val="21"/>
          <w:highlight w:val="none"/>
        </w:rPr>
      </w:pPr>
      <w:r>
        <w:rPr>
          <w:rFonts w:hint="eastAsia" w:ascii="宋体" w:hAnsi="宋体" w:cs="宋体"/>
          <w:b/>
          <w:kern w:val="0"/>
          <w:szCs w:val="21"/>
          <w:highlight w:val="none"/>
          <w:lang w:val="en-US" w:eastAsia="zh-CN"/>
        </w:rPr>
        <w:t>四</w:t>
      </w:r>
      <w:r>
        <w:rPr>
          <w:rFonts w:hint="eastAsia" w:ascii="宋体" w:hAnsi="宋体" w:eastAsia="宋体" w:cs="宋体"/>
          <w:b/>
          <w:kern w:val="0"/>
          <w:szCs w:val="21"/>
          <w:highlight w:val="none"/>
        </w:rPr>
        <w:t>、公告期限、投标报名、获取招标文件的时间、地点、方式</w:t>
      </w:r>
      <w:r>
        <w:rPr>
          <w:rFonts w:hint="eastAsia" w:ascii="宋体" w:hAnsi="宋体" w:cs="宋体"/>
          <w:b/>
          <w:kern w:val="0"/>
          <w:szCs w:val="21"/>
          <w:highlight w:val="none"/>
          <w:lang w:eastAsia="zh-CN"/>
        </w:rPr>
        <w:t>、</w:t>
      </w:r>
      <w:r>
        <w:rPr>
          <w:rFonts w:hint="eastAsia" w:ascii="宋体" w:hAnsi="宋体" w:cs="宋体"/>
          <w:b/>
          <w:kern w:val="0"/>
          <w:szCs w:val="21"/>
          <w:highlight w:val="none"/>
          <w:lang w:val="en-US" w:eastAsia="zh-CN"/>
        </w:rPr>
        <w:t>开标时间</w:t>
      </w:r>
      <w:r>
        <w:rPr>
          <w:rFonts w:hint="eastAsia" w:ascii="宋体" w:hAnsi="宋体" w:eastAsia="宋体" w:cs="宋体"/>
          <w:b/>
          <w:kern w:val="0"/>
          <w:szCs w:val="21"/>
          <w:highlight w:val="none"/>
        </w:rPr>
        <w:t>及招标文件售价：</w:t>
      </w:r>
    </w:p>
    <w:p>
      <w:pPr>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1、本公告期限自202</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21</w:t>
      </w:r>
      <w:r>
        <w:rPr>
          <w:rFonts w:hint="eastAsia" w:ascii="宋体" w:hAnsi="宋体" w:eastAsia="宋体" w:cs="宋体"/>
          <w:kern w:val="0"/>
          <w:szCs w:val="21"/>
          <w:highlight w:val="none"/>
        </w:rPr>
        <w:t>日</w:t>
      </w:r>
      <w:r>
        <w:rPr>
          <w:rFonts w:hint="eastAsia" w:ascii="宋体" w:hAnsi="宋体" w:cs="宋体"/>
          <w:kern w:val="0"/>
          <w:szCs w:val="21"/>
          <w:highlight w:val="none"/>
          <w:lang w:val="en-US" w:eastAsia="zh-CN"/>
        </w:rPr>
        <w:t>09：00</w:t>
      </w:r>
      <w:r>
        <w:rPr>
          <w:rFonts w:hint="eastAsia" w:ascii="宋体" w:hAnsi="宋体" w:eastAsia="宋体" w:cs="宋体"/>
          <w:kern w:val="0"/>
          <w:szCs w:val="21"/>
          <w:highlight w:val="none"/>
        </w:rPr>
        <w:t>至202</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27</w:t>
      </w:r>
      <w:r>
        <w:rPr>
          <w:rFonts w:hint="eastAsia" w:ascii="宋体" w:hAnsi="宋体" w:eastAsia="宋体" w:cs="宋体"/>
          <w:kern w:val="0"/>
          <w:szCs w:val="21"/>
          <w:highlight w:val="none"/>
        </w:rPr>
        <w:t>日</w:t>
      </w:r>
      <w:r>
        <w:rPr>
          <w:rFonts w:hint="eastAsia" w:ascii="宋体" w:hAnsi="宋体" w:cs="宋体"/>
          <w:kern w:val="0"/>
          <w:szCs w:val="21"/>
          <w:highlight w:val="none"/>
          <w:lang w:val="en-US" w:eastAsia="zh-CN"/>
        </w:rPr>
        <w:t>18:00</w:t>
      </w:r>
      <w:r>
        <w:rPr>
          <w:rFonts w:hint="eastAsia" w:ascii="宋体" w:hAnsi="宋体" w:eastAsia="宋体" w:cs="宋体"/>
          <w:kern w:val="0"/>
          <w:szCs w:val="21"/>
          <w:highlight w:val="none"/>
        </w:rPr>
        <w:t>止。</w:t>
      </w:r>
    </w:p>
    <w:p>
      <w:pPr>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2、获取招标文件时间：202</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21</w:t>
      </w:r>
      <w:r>
        <w:rPr>
          <w:rFonts w:hint="eastAsia" w:ascii="宋体" w:hAnsi="宋体" w:eastAsia="宋体" w:cs="宋体"/>
          <w:kern w:val="0"/>
          <w:szCs w:val="21"/>
          <w:highlight w:val="none"/>
        </w:rPr>
        <w:t>日</w:t>
      </w:r>
      <w:r>
        <w:rPr>
          <w:rFonts w:hint="eastAsia" w:ascii="宋体" w:hAnsi="宋体" w:cs="宋体"/>
          <w:kern w:val="0"/>
          <w:szCs w:val="21"/>
          <w:highlight w:val="none"/>
          <w:lang w:val="en-US" w:eastAsia="zh-CN"/>
        </w:rPr>
        <w:t>09：00</w:t>
      </w:r>
      <w:r>
        <w:rPr>
          <w:rFonts w:hint="eastAsia" w:ascii="宋体" w:hAnsi="宋体" w:eastAsia="宋体" w:cs="宋体"/>
          <w:kern w:val="0"/>
          <w:szCs w:val="21"/>
          <w:highlight w:val="none"/>
        </w:rPr>
        <w:t>至202</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27</w:t>
      </w:r>
      <w:r>
        <w:rPr>
          <w:rFonts w:hint="eastAsia" w:ascii="宋体" w:hAnsi="宋体" w:eastAsia="宋体" w:cs="宋体"/>
          <w:kern w:val="0"/>
          <w:szCs w:val="21"/>
          <w:highlight w:val="none"/>
        </w:rPr>
        <w:t>日</w:t>
      </w:r>
      <w:r>
        <w:rPr>
          <w:rFonts w:hint="eastAsia" w:ascii="宋体" w:hAnsi="宋体" w:cs="宋体"/>
          <w:kern w:val="0"/>
          <w:szCs w:val="21"/>
          <w:highlight w:val="none"/>
          <w:lang w:val="en-US" w:eastAsia="zh-CN"/>
        </w:rPr>
        <w:t>18:00</w:t>
      </w:r>
      <w:r>
        <w:rPr>
          <w:rFonts w:hint="eastAsia" w:ascii="宋体" w:hAnsi="宋体" w:eastAsia="宋体" w:cs="宋体"/>
          <w:kern w:val="0"/>
          <w:szCs w:val="21"/>
          <w:highlight w:val="none"/>
        </w:rPr>
        <w:t>（</w:t>
      </w:r>
      <w:r>
        <w:rPr>
          <w:rFonts w:hint="eastAsia" w:ascii="宋体" w:hAnsi="宋体" w:eastAsia="宋体" w:cs="宋体"/>
          <w:szCs w:val="21"/>
          <w:highlight w:val="none"/>
        </w:rPr>
        <w:t>公休日及</w:t>
      </w:r>
      <w:r>
        <w:rPr>
          <w:rFonts w:hint="eastAsia" w:ascii="宋体" w:hAnsi="宋体" w:eastAsia="宋体" w:cs="宋体"/>
          <w:kern w:val="0"/>
          <w:szCs w:val="21"/>
          <w:highlight w:val="none"/>
        </w:rPr>
        <w:t>节假日除外</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投标人可在该日期区间的工作时间内获取招标文件</w:t>
      </w:r>
      <w:r>
        <w:rPr>
          <w:rFonts w:hint="eastAsia" w:ascii="宋体" w:hAnsi="宋体" w:eastAsia="宋体" w:cs="宋体"/>
          <w:kern w:val="0"/>
          <w:szCs w:val="21"/>
          <w:highlight w:val="none"/>
        </w:rPr>
        <w:t>）。</w:t>
      </w:r>
    </w:p>
    <w:p>
      <w:pPr>
        <w:snapToGrid w:val="0"/>
        <w:spacing w:line="360" w:lineRule="auto"/>
        <w:ind w:left="0" w:leftChars="0" w:firstLine="420" w:firstLineChars="200"/>
        <w:rPr>
          <w:highlight w:val="none"/>
        </w:rPr>
      </w:pPr>
      <w:r>
        <w:rPr>
          <w:rFonts w:hint="eastAsia" w:ascii="宋体" w:hAnsi="宋体" w:eastAsia="宋体" w:cs="宋体"/>
          <w:kern w:val="0"/>
          <w:szCs w:val="21"/>
          <w:highlight w:val="none"/>
        </w:rPr>
        <w:t>3、招标文件质疑截止时间：202</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24</w:t>
      </w:r>
      <w:r>
        <w:rPr>
          <w:rFonts w:hint="eastAsia" w:ascii="宋体" w:hAnsi="宋体" w:eastAsia="宋体" w:cs="宋体"/>
          <w:kern w:val="0"/>
          <w:szCs w:val="21"/>
          <w:highlight w:val="none"/>
        </w:rPr>
        <w:t>日</w:t>
      </w:r>
      <w:r>
        <w:rPr>
          <w:rFonts w:hint="eastAsia" w:ascii="宋体" w:hAnsi="宋体" w:cs="宋体"/>
          <w:kern w:val="0"/>
          <w:szCs w:val="21"/>
          <w:highlight w:val="none"/>
          <w:lang w:val="en-US" w:eastAsia="zh-CN"/>
        </w:rPr>
        <w:t>17</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0</w:t>
      </w:r>
      <w:r>
        <w:rPr>
          <w:rFonts w:hint="eastAsia" w:ascii="宋体" w:hAnsi="宋体" w:eastAsia="宋体" w:cs="宋体"/>
          <w:kern w:val="0"/>
          <w:szCs w:val="21"/>
          <w:highlight w:val="none"/>
        </w:rPr>
        <w:t>0时，招标文件答疑截止时间：202</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25</w:t>
      </w:r>
      <w:r>
        <w:rPr>
          <w:rFonts w:hint="eastAsia" w:ascii="宋体" w:hAnsi="宋体" w:eastAsia="宋体" w:cs="宋体"/>
          <w:kern w:val="0"/>
          <w:szCs w:val="21"/>
          <w:highlight w:val="none"/>
        </w:rPr>
        <w:t>日</w:t>
      </w:r>
      <w:r>
        <w:rPr>
          <w:rFonts w:hint="eastAsia" w:ascii="宋体" w:hAnsi="宋体" w:cs="宋体"/>
          <w:kern w:val="0"/>
          <w:szCs w:val="21"/>
          <w:highlight w:val="none"/>
          <w:lang w:val="en-US" w:eastAsia="zh-CN"/>
        </w:rPr>
        <w:t>17</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0</w:t>
      </w:r>
      <w:r>
        <w:rPr>
          <w:rFonts w:hint="eastAsia" w:ascii="宋体" w:hAnsi="宋体" w:eastAsia="宋体" w:cs="宋体"/>
          <w:kern w:val="0"/>
          <w:szCs w:val="21"/>
          <w:highlight w:val="none"/>
        </w:rPr>
        <w:t>0时。</w:t>
      </w:r>
    </w:p>
    <w:p>
      <w:pPr>
        <w:snapToGrid w:val="0"/>
        <w:spacing w:line="360" w:lineRule="auto"/>
        <w:ind w:left="0" w:leftChars="0" w:firstLine="420" w:firstLineChars="200"/>
        <w:rPr>
          <w:highlight w:val="none"/>
        </w:rPr>
      </w:pP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rPr>
        <w:t>、</w:t>
      </w:r>
      <w:r>
        <w:rPr>
          <w:rFonts w:hint="eastAsia" w:ascii="宋体" w:hAnsi="宋体" w:cs="宋体"/>
          <w:kern w:val="0"/>
          <w:szCs w:val="21"/>
          <w:highlight w:val="none"/>
          <w:lang w:val="en-US" w:eastAsia="zh-CN"/>
        </w:rPr>
        <w:t>开标</w:t>
      </w:r>
      <w:r>
        <w:rPr>
          <w:rFonts w:hint="eastAsia" w:ascii="宋体" w:hAnsi="宋体" w:eastAsia="宋体" w:cs="宋体"/>
          <w:kern w:val="0"/>
          <w:szCs w:val="21"/>
          <w:highlight w:val="none"/>
        </w:rPr>
        <w:t>时间：202</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28</w:t>
      </w:r>
      <w:r>
        <w:rPr>
          <w:rFonts w:hint="eastAsia" w:ascii="宋体" w:hAnsi="宋体" w:eastAsia="宋体" w:cs="宋体"/>
          <w:kern w:val="0"/>
          <w:szCs w:val="21"/>
          <w:highlight w:val="none"/>
        </w:rPr>
        <w:t>日</w:t>
      </w:r>
      <w:r>
        <w:rPr>
          <w:rFonts w:hint="eastAsia" w:ascii="宋体" w:hAnsi="宋体" w:cs="宋体"/>
          <w:kern w:val="0"/>
          <w:szCs w:val="21"/>
          <w:highlight w:val="none"/>
          <w:lang w:val="en-US" w:eastAsia="zh-CN"/>
        </w:rPr>
        <w:t>9</w:t>
      </w:r>
      <w:r>
        <w:rPr>
          <w:rFonts w:hint="eastAsia" w:ascii="宋体" w:hAnsi="宋体" w:eastAsia="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0时。</w:t>
      </w:r>
    </w:p>
    <w:p>
      <w:pPr>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5</w:t>
      </w:r>
      <w:r>
        <w:rPr>
          <w:rFonts w:hint="eastAsia" w:ascii="宋体" w:hAnsi="宋体" w:eastAsia="宋体" w:cs="宋体"/>
          <w:kern w:val="0"/>
          <w:szCs w:val="21"/>
          <w:highlight w:val="none"/>
        </w:rPr>
        <w:t>、获取招标文件方式：投标人将报名资料发送至招标代理邮箱</w:t>
      </w:r>
      <w:r>
        <w:rPr>
          <w:rFonts w:hint="eastAsia" w:ascii="宋体" w:hAnsi="宋体" w:eastAsia="宋体" w:cs="宋体"/>
          <w:kern w:val="0"/>
          <w:szCs w:val="21"/>
          <w:highlight w:val="none"/>
          <w:lang w:eastAsia="zh-CN"/>
        </w:rPr>
        <w:t>（</w:t>
      </w:r>
      <w:r>
        <w:rPr>
          <w:rFonts w:hint="eastAsia" w:ascii="宋体" w:hAnsi="宋体" w:cs="宋体"/>
          <w:kern w:val="0"/>
          <w:szCs w:val="21"/>
          <w:highlight w:val="none"/>
          <w:lang w:val="en-US" w:eastAsia="zh-CN"/>
        </w:rPr>
        <w:t>330989438@qq.com</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并按要求缴纳标书费后，将标书费付款凭证上传至“深圳环水集团招标采购数字管理平台（https://cg.sz-water.com.cn）”，待招标代理确认后，自行下载招标文件</w:t>
      </w:r>
      <w:r>
        <w:rPr>
          <w:rFonts w:hint="eastAsia" w:ascii="宋体" w:hAnsi="宋体" w:eastAsia="宋体" w:cs="宋体"/>
          <w:szCs w:val="21"/>
          <w:highlight w:val="none"/>
        </w:rPr>
        <w:t>。</w:t>
      </w:r>
    </w:p>
    <w:p>
      <w:pPr>
        <w:snapToGrid w:val="0"/>
        <w:spacing w:line="360" w:lineRule="auto"/>
        <w:ind w:firstLine="420" w:firstLineChars="20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6</w:t>
      </w:r>
      <w:r>
        <w:rPr>
          <w:rFonts w:hint="eastAsia" w:ascii="宋体" w:hAnsi="宋体" w:eastAsia="宋体" w:cs="宋体"/>
          <w:kern w:val="0"/>
          <w:szCs w:val="21"/>
          <w:highlight w:val="none"/>
        </w:rPr>
        <w:t>、获取招标文件联系人：</w:t>
      </w:r>
      <w:r>
        <w:rPr>
          <w:rFonts w:hint="eastAsia" w:ascii="宋体" w:hAnsi="宋体" w:cs="宋体"/>
          <w:kern w:val="0"/>
          <w:szCs w:val="21"/>
          <w:highlight w:val="none"/>
          <w:lang w:val="en-US" w:eastAsia="zh-CN"/>
        </w:rPr>
        <w:t>杨</w:t>
      </w:r>
      <w:r>
        <w:rPr>
          <w:rFonts w:hint="eastAsia" w:ascii="宋体" w:hAnsi="宋体" w:eastAsia="宋体" w:cs="宋体"/>
          <w:kern w:val="0"/>
          <w:szCs w:val="21"/>
          <w:highlight w:val="none"/>
        </w:rPr>
        <w:t>工     获取招标文件联系电话：</w:t>
      </w:r>
      <w:r>
        <w:rPr>
          <w:rFonts w:hint="eastAsia" w:ascii="宋体" w:hAnsi="宋体" w:cs="宋体"/>
          <w:kern w:val="0"/>
          <w:szCs w:val="21"/>
          <w:highlight w:val="none"/>
          <w:lang w:val="en-US" w:eastAsia="zh-CN"/>
        </w:rPr>
        <w:t>18824246125</w:t>
      </w:r>
    </w:p>
    <w:p>
      <w:pPr>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7</w:t>
      </w:r>
      <w:r>
        <w:rPr>
          <w:rFonts w:hint="eastAsia" w:ascii="宋体" w:hAnsi="宋体" w:eastAsia="宋体" w:cs="宋体"/>
          <w:kern w:val="0"/>
          <w:szCs w:val="21"/>
          <w:highlight w:val="none"/>
        </w:rPr>
        <w:t>、招标文件售价：人民币500元/套，招标文件售后不退</w:t>
      </w:r>
      <w:r>
        <w:rPr>
          <w:rFonts w:hint="eastAsia" w:ascii="宋体" w:hAnsi="宋体" w:eastAsia="宋体" w:cs="宋体"/>
          <w:highlight w:val="none"/>
        </w:rPr>
        <w:t>（仅支持扫码支付）</w:t>
      </w:r>
      <w:r>
        <w:rPr>
          <w:rFonts w:hint="eastAsia" w:ascii="宋体" w:hAnsi="宋体" w:eastAsia="宋体" w:cs="宋体"/>
          <w:kern w:val="0"/>
          <w:szCs w:val="21"/>
          <w:highlight w:val="none"/>
        </w:rPr>
        <w:t>。</w:t>
      </w:r>
    </w:p>
    <w:p>
      <w:pPr>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8</w:t>
      </w:r>
      <w:r>
        <w:rPr>
          <w:rFonts w:hint="eastAsia" w:ascii="宋体" w:hAnsi="宋体" w:eastAsia="宋体" w:cs="宋体"/>
          <w:kern w:val="0"/>
          <w:szCs w:val="21"/>
          <w:highlight w:val="none"/>
        </w:rPr>
        <w:t>、投标报名资料相关要求：</w:t>
      </w:r>
    </w:p>
    <w:p>
      <w:pPr>
        <w:snapToGrid w:val="0"/>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w:t>
      </w:r>
      <w:r>
        <w:rPr>
          <w:rFonts w:hint="eastAsia" w:ascii="宋体" w:hAnsi="宋体" w:eastAsia="宋体" w:cs="宋体"/>
          <w:szCs w:val="21"/>
          <w:highlight w:val="none"/>
        </w:rPr>
        <w:t>投标人营业执照或事业单位法人证书等证明文件的原件扫描件</w:t>
      </w:r>
      <w:r>
        <w:rPr>
          <w:rFonts w:hint="eastAsia" w:ascii="宋体" w:hAnsi="宋体" w:cs="宋体"/>
          <w:szCs w:val="21"/>
          <w:highlight w:val="none"/>
          <w:lang w:eastAsia="zh-CN"/>
        </w:rPr>
        <w:t>；</w:t>
      </w:r>
    </w:p>
    <w:p>
      <w:pPr>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（2）法定代表人证明书、授权委托书、法定代表人身份证复印件、被授权委托人身份证复印件、被授权委托人联系方式（电话、邮箱）；</w:t>
      </w:r>
    </w:p>
    <w:p>
      <w:pPr>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）以上资料均需加盖公章，原件中标备查。</w:t>
      </w:r>
    </w:p>
    <w:p>
      <w:pPr>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9</w:t>
      </w:r>
      <w:r>
        <w:rPr>
          <w:rFonts w:hint="eastAsia" w:ascii="宋体" w:hAnsi="宋体" w:eastAsia="宋体" w:cs="宋体"/>
          <w:kern w:val="0"/>
          <w:szCs w:val="21"/>
          <w:highlight w:val="none"/>
        </w:rPr>
        <w:t>、投标报名时的资料查验不代表资格审查的最终通过或合格，投标人最终资格的确认以资格后审委员会组织的资格审查为准。</w:t>
      </w:r>
    </w:p>
    <w:p>
      <w:pPr>
        <w:spacing w:before="124" w:beforeLines="40" w:after="124" w:afterLines="40" w:line="360" w:lineRule="auto"/>
        <w:ind w:firstLine="422" w:firstLineChars="200"/>
        <w:jc w:val="left"/>
        <w:rPr>
          <w:rFonts w:hint="eastAsia" w:ascii="宋体" w:hAnsi="宋体" w:eastAsia="宋体" w:cs="宋体"/>
          <w:b/>
          <w:kern w:val="0"/>
          <w:szCs w:val="21"/>
          <w:highlight w:val="none"/>
        </w:rPr>
      </w:pPr>
      <w:r>
        <w:rPr>
          <w:rFonts w:hint="eastAsia" w:ascii="宋体" w:hAnsi="宋体" w:cs="宋体"/>
          <w:b/>
          <w:kern w:val="0"/>
          <w:szCs w:val="21"/>
          <w:highlight w:val="none"/>
          <w:lang w:val="en-US" w:eastAsia="zh-CN"/>
        </w:rPr>
        <w:t>五</w:t>
      </w:r>
      <w:r>
        <w:rPr>
          <w:rFonts w:hint="eastAsia" w:ascii="宋体" w:hAnsi="宋体" w:eastAsia="宋体" w:cs="宋体"/>
          <w:b/>
          <w:kern w:val="0"/>
          <w:szCs w:val="21"/>
          <w:highlight w:val="none"/>
        </w:rPr>
        <w:t>、递交投标文件截止时间</w:t>
      </w:r>
      <w:r>
        <w:rPr>
          <w:rFonts w:hint="eastAsia" w:ascii="宋体" w:hAnsi="宋体" w:cs="宋体"/>
          <w:b/>
          <w:kern w:val="0"/>
          <w:szCs w:val="21"/>
          <w:highlight w:val="none"/>
          <w:lang w:eastAsia="zh-CN"/>
        </w:rPr>
        <w:t>、递交方式</w:t>
      </w:r>
      <w:r>
        <w:rPr>
          <w:rFonts w:hint="eastAsia" w:ascii="宋体" w:hAnsi="宋体" w:eastAsia="宋体" w:cs="宋体"/>
          <w:b/>
          <w:kern w:val="0"/>
          <w:szCs w:val="21"/>
          <w:highlight w:val="none"/>
        </w:rPr>
        <w:t>：</w:t>
      </w:r>
    </w:p>
    <w:p>
      <w:pPr>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cs="宋体"/>
          <w:kern w:val="0"/>
          <w:szCs w:val="21"/>
          <w:highlight w:val="none"/>
          <w:lang w:val="en-US" w:eastAsia="zh-CN"/>
        </w:rPr>
        <w:t>1</w:t>
      </w:r>
      <w:r>
        <w:rPr>
          <w:rFonts w:hint="eastAsia" w:ascii="宋体" w:hAnsi="宋体" w:eastAsia="宋体" w:cs="宋体"/>
          <w:kern w:val="0"/>
          <w:szCs w:val="21"/>
          <w:highlight w:val="none"/>
        </w:rPr>
        <w:t>、递交投标文件截止时间：202</w:t>
      </w:r>
      <w:r>
        <w:rPr>
          <w:rFonts w:hint="eastAsia" w:ascii="宋体" w:hAnsi="宋体" w:cs="宋体"/>
          <w:kern w:val="0"/>
          <w:szCs w:val="21"/>
          <w:highlight w:val="none"/>
          <w:lang w:val="en-US" w:eastAsia="zh-CN"/>
        </w:rPr>
        <w:t>4</w:t>
      </w:r>
      <w:r>
        <w:rPr>
          <w:rFonts w:hint="eastAsia" w:ascii="宋体" w:hAnsi="宋体" w:eastAsia="宋体" w:cs="宋体"/>
          <w:kern w:val="0"/>
          <w:szCs w:val="21"/>
          <w:highlight w:val="none"/>
        </w:rPr>
        <w:t>年</w:t>
      </w:r>
      <w:r>
        <w:rPr>
          <w:rFonts w:hint="eastAsia" w:ascii="宋体" w:hAnsi="宋体" w:cs="宋体"/>
          <w:kern w:val="0"/>
          <w:szCs w:val="21"/>
          <w:highlight w:val="none"/>
          <w:lang w:val="en-US" w:eastAsia="zh-CN"/>
        </w:rPr>
        <w:t>3</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28</w:t>
      </w:r>
      <w:r>
        <w:rPr>
          <w:rFonts w:hint="eastAsia" w:ascii="宋体" w:hAnsi="宋体" w:eastAsia="宋体" w:cs="宋体"/>
          <w:kern w:val="0"/>
          <w:szCs w:val="21"/>
          <w:highlight w:val="none"/>
        </w:rPr>
        <w:t>日</w:t>
      </w:r>
      <w:r>
        <w:rPr>
          <w:rFonts w:hint="eastAsia" w:ascii="宋体" w:hAnsi="宋体" w:cs="宋体"/>
          <w:kern w:val="0"/>
          <w:szCs w:val="21"/>
          <w:highlight w:val="none"/>
          <w:lang w:val="en-US" w:eastAsia="zh-CN"/>
        </w:rPr>
        <w:t>09</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0</w:t>
      </w:r>
      <w:r>
        <w:rPr>
          <w:rFonts w:hint="eastAsia" w:ascii="宋体" w:hAnsi="宋体" w:eastAsia="宋体" w:cs="宋体"/>
          <w:kern w:val="0"/>
          <w:szCs w:val="21"/>
          <w:highlight w:val="none"/>
        </w:rPr>
        <w:t>（北京时间）。</w:t>
      </w:r>
    </w:p>
    <w:p>
      <w:pPr>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kern w:val="0"/>
          <w:szCs w:val="21"/>
          <w:highlight w:val="none"/>
        </w:rPr>
        <w:t>2、递交方式：线上递交：所有电子版投标文件应于上传投标文件截止之前上传至深圳环水集团招标采购数字管理平台。另：截标时间后两小时内将电子版投标文件发送至</w:t>
      </w:r>
      <w:r>
        <w:rPr>
          <w:rFonts w:hint="eastAsia" w:ascii="宋体" w:hAnsi="宋体" w:cs="宋体"/>
          <w:kern w:val="0"/>
          <w:szCs w:val="21"/>
          <w:highlight w:val="none"/>
          <w:lang w:eastAsia="zh-CN"/>
        </w:rPr>
        <w:t>330989438@qq.com</w:t>
      </w:r>
      <w:r>
        <w:rPr>
          <w:rFonts w:hint="eastAsia" w:ascii="宋体" w:hAnsi="宋体" w:eastAsia="宋体" w:cs="宋体"/>
          <w:kern w:val="0"/>
          <w:szCs w:val="21"/>
          <w:highlight w:val="none"/>
        </w:rPr>
        <w:t>（电子版包含word版和PDF版投标文件）。该电子版投标文件须和投标人上传至深圳环水集团招标采购数字管理平台上的保持一致，如不一致，以投标人上传至深圳环水集团招标采购数字管理平台上的投标文件为准。</w:t>
      </w:r>
    </w:p>
    <w:p>
      <w:p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注：(1)线上递交的电子投标文件于投标截止时间前，将盖章后PDF版本上传至深圳环水集团招标采购数字管理平台(https://cg.sz-water.com.cn)。</w:t>
      </w:r>
    </w:p>
    <w:p>
      <w:pPr>
        <w:snapToGrid w:val="0"/>
        <w:spacing w:line="360" w:lineRule="auto"/>
        <w:ind w:firstLine="420" w:firstLineChars="200"/>
        <w:rPr>
          <w:rFonts w:hint="eastAsia" w:ascii="宋体" w:hAnsi="宋体" w:eastAsia="宋体" w:cs="宋体"/>
          <w:kern w:val="0"/>
          <w:szCs w:val="21"/>
          <w:highlight w:val="none"/>
        </w:rPr>
      </w:pPr>
      <w:r>
        <w:rPr>
          <w:rFonts w:hint="eastAsia" w:ascii="宋体" w:hAnsi="宋体" w:eastAsia="宋体" w:cs="宋体"/>
          <w:sz w:val="21"/>
          <w:szCs w:val="21"/>
          <w:highlight w:val="none"/>
        </w:rPr>
        <w:t>(2)在规定时间内未将投标文件上传指定平台的和不符合规定的投标文件，将不被接受。</w:t>
      </w:r>
    </w:p>
    <w:p>
      <w:pPr>
        <w:spacing w:before="124" w:beforeLines="40" w:after="124" w:afterLines="40" w:line="360" w:lineRule="auto"/>
        <w:ind w:firstLine="422" w:firstLineChars="200"/>
        <w:jc w:val="left"/>
        <w:rPr>
          <w:rFonts w:hint="eastAsia" w:ascii="宋体" w:hAnsi="宋体" w:eastAsia="宋体" w:cs="宋体"/>
          <w:b/>
          <w:kern w:val="0"/>
          <w:szCs w:val="21"/>
          <w:highlight w:val="none"/>
        </w:rPr>
      </w:pPr>
      <w:r>
        <w:rPr>
          <w:rFonts w:hint="eastAsia" w:ascii="宋体" w:hAnsi="宋体" w:cs="宋体"/>
          <w:b/>
          <w:kern w:val="0"/>
          <w:szCs w:val="21"/>
          <w:highlight w:val="none"/>
          <w:lang w:val="en-US" w:eastAsia="zh-CN"/>
        </w:rPr>
        <w:t>六</w:t>
      </w:r>
      <w:r>
        <w:rPr>
          <w:rFonts w:hint="eastAsia" w:ascii="宋体" w:hAnsi="宋体" w:eastAsia="宋体" w:cs="宋体"/>
          <w:b/>
          <w:kern w:val="0"/>
          <w:szCs w:val="21"/>
          <w:highlight w:val="none"/>
        </w:rPr>
        <w:t>、发布公告的媒介：</w:t>
      </w:r>
    </w:p>
    <w:p>
      <w:pPr>
        <w:pStyle w:val="19"/>
        <w:ind w:firstLine="48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深圳环水集团招标采购数字管理平台https://cg.sz-water.com.cn</w:t>
      </w:r>
    </w:p>
    <w:p>
      <w:pPr>
        <w:spacing w:before="124" w:beforeLines="40" w:after="124" w:afterLines="40" w:line="360" w:lineRule="auto"/>
        <w:ind w:firstLine="420" w:firstLineChars="20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深圳阳光采购平台https://www.szygcgpt.com</w:t>
      </w:r>
    </w:p>
    <w:p>
      <w:pPr>
        <w:spacing w:before="124" w:beforeLines="40" w:after="124" w:afterLines="40" w:line="360" w:lineRule="auto"/>
        <w:ind w:firstLine="422" w:firstLineChars="200"/>
        <w:jc w:val="left"/>
        <w:rPr>
          <w:rFonts w:hint="eastAsia" w:ascii="宋体" w:hAnsi="宋体" w:eastAsia="宋体" w:cs="宋体"/>
          <w:b/>
          <w:kern w:val="0"/>
          <w:szCs w:val="21"/>
          <w:highlight w:val="none"/>
        </w:rPr>
      </w:pPr>
      <w:r>
        <w:rPr>
          <w:rFonts w:hint="eastAsia" w:ascii="宋体" w:hAnsi="宋体" w:cs="宋体"/>
          <w:b/>
          <w:kern w:val="0"/>
          <w:szCs w:val="21"/>
          <w:highlight w:val="none"/>
          <w:lang w:val="en-US" w:eastAsia="zh-CN"/>
        </w:rPr>
        <w:t>七</w:t>
      </w:r>
      <w:r>
        <w:rPr>
          <w:rFonts w:hint="eastAsia" w:ascii="宋体" w:hAnsi="宋体" w:eastAsia="宋体" w:cs="宋体"/>
          <w:b/>
          <w:kern w:val="0"/>
          <w:szCs w:val="21"/>
          <w:highlight w:val="none"/>
        </w:rPr>
        <w:t>、 重要提示：</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（1）本招标文件所涉及的时间一律为北京时间。</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（2）投标人有义务在招标活动期间浏览指定公告网站，招标人在网站上公布的与本次招标项目有关的信息视为已送达各投标人。招标人恕不再电话通知各投标人。</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（3）以上若有变更招标人会通过深圳环水集团招标采购数字管理平台（https://cg.sz-water.com.cn）、深圳阳光采购平台（https://www.szygcgpt.com）发布相关通知，请投标人关注。</w:t>
      </w:r>
    </w:p>
    <w:p>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（4）投标人报价不得超出投标报价上限，否则作废标处理。</w:t>
      </w:r>
    </w:p>
    <w:p>
      <w:pPr>
        <w:spacing w:before="124" w:beforeLines="40" w:after="124" w:afterLines="40" w:line="360" w:lineRule="auto"/>
        <w:ind w:firstLine="422" w:firstLineChars="200"/>
        <w:jc w:val="left"/>
        <w:rPr>
          <w:rFonts w:hint="eastAsia" w:ascii="宋体" w:hAnsi="宋体" w:eastAsia="宋体" w:cs="宋体"/>
          <w:b/>
          <w:kern w:val="0"/>
          <w:szCs w:val="21"/>
          <w:highlight w:val="none"/>
        </w:rPr>
      </w:pPr>
      <w:r>
        <w:rPr>
          <w:rFonts w:hint="eastAsia" w:ascii="宋体" w:hAnsi="宋体" w:cs="宋体"/>
          <w:b/>
          <w:kern w:val="0"/>
          <w:szCs w:val="21"/>
          <w:highlight w:val="none"/>
          <w:lang w:val="en-US" w:eastAsia="zh-CN"/>
        </w:rPr>
        <w:t>八</w:t>
      </w:r>
      <w:r>
        <w:rPr>
          <w:rFonts w:hint="eastAsia" w:ascii="宋体" w:hAnsi="宋体" w:eastAsia="宋体" w:cs="宋体"/>
          <w:b/>
          <w:kern w:val="0"/>
          <w:szCs w:val="21"/>
          <w:highlight w:val="none"/>
        </w:rPr>
        <w:t>、联系事项：</w:t>
      </w:r>
    </w:p>
    <w:tbl>
      <w:tblPr>
        <w:tblStyle w:val="5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92"/>
        <w:gridCol w:w="64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2092" w:type="dxa"/>
            <w:vAlign w:val="center"/>
          </w:tcPr>
          <w:p>
            <w:pPr>
              <w:pStyle w:val="19"/>
              <w:adjustRightInd w:val="0"/>
              <w:snapToGrid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招标人</w:t>
            </w:r>
          </w:p>
        </w:tc>
        <w:tc>
          <w:tcPr>
            <w:tcW w:w="6404" w:type="dxa"/>
            <w:vAlign w:val="center"/>
          </w:tcPr>
          <w:p>
            <w:pPr>
              <w:pStyle w:val="19"/>
              <w:adjustRightInd w:val="0"/>
              <w:snapToGrid w:val="0"/>
              <w:spacing w:line="360" w:lineRule="auto"/>
              <w:ind w:firstLine="0" w:firstLineChars="0"/>
              <w:jc w:val="left"/>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深圳市环水建设工程有限公司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92" w:type="dxa"/>
            <w:vAlign w:val="center"/>
          </w:tcPr>
          <w:p>
            <w:pPr>
              <w:pStyle w:val="19"/>
              <w:adjustRightInd w:val="0"/>
              <w:snapToGrid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招标代理机构</w:t>
            </w:r>
          </w:p>
        </w:tc>
        <w:tc>
          <w:tcPr>
            <w:tcW w:w="6404" w:type="dxa"/>
            <w:vAlign w:val="center"/>
          </w:tcPr>
          <w:p>
            <w:pPr>
              <w:pStyle w:val="19"/>
              <w:adjustRightInd w:val="0"/>
              <w:snapToGrid w:val="0"/>
              <w:spacing w:line="36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深圳市深水水务咨询有限公司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2092" w:type="dxa"/>
            <w:vAlign w:val="center"/>
          </w:tcPr>
          <w:p>
            <w:pPr>
              <w:pStyle w:val="19"/>
              <w:adjustRightInd w:val="0"/>
              <w:snapToGrid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联系地址</w:t>
            </w:r>
          </w:p>
        </w:tc>
        <w:tc>
          <w:tcPr>
            <w:tcW w:w="6404" w:type="dxa"/>
            <w:vAlign w:val="center"/>
          </w:tcPr>
          <w:p>
            <w:pPr>
              <w:pStyle w:val="19"/>
              <w:adjustRightInd w:val="0"/>
              <w:snapToGrid w:val="0"/>
              <w:spacing w:line="36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深圳市罗湖区清水河街道清水河社区清水河一路112号罗湖投资控股大厦裙楼401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2092" w:type="dxa"/>
            <w:vAlign w:val="center"/>
          </w:tcPr>
          <w:p>
            <w:pPr>
              <w:pStyle w:val="19"/>
              <w:adjustRightInd w:val="0"/>
              <w:snapToGrid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项目咨询电话</w:t>
            </w:r>
          </w:p>
        </w:tc>
        <w:tc>
          <w:tcPr>
            <w:tcW w:w="6404" w:type="dxa"/>
            <w:vAlign w:val="center"/>
          </w:tcPr>
          <w:p>
            <w:pPr>
              <w:pStyle w:val="19"/>
              <w:adjustRightInd w:val="0"/>
              <w:snapToGrid w:val="0"/>
              <w:spacing w:line="36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杨工</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18824246125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2092" w:type="dxa"/>
            <w:vAlign w:val="center"/>
          </w:tcPr>
          <w:p>
            <w:pPr>
              <w:pStyle w:val="19"/>
              <w:adjustRightInd w:val="0"/>
              <w:snapToGrid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联系邮箱</w:t>
            </w:r>
          </w:p>
        </w:tc>
        <w:tc>
          <w:tcPr>
            <w:tcW w:w="6404" w:type="dxa"/>
            <w:vAlign w:val="center"/>
          </w:tcPr>
          <w:p>
            <w:pPr>
              <w:pStyle w:val="19"/>
              <w:adjustRightInd w:val="0"/>
              <w:snapToGrid w:val="0"/>
              <w:spacing w:line="360" w:lineRule="auto"/>
              <w:ind w:firstLine="0" w:firstLineChars="0"/>
              <w:jc w:val="lef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330989438@qq.com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2092" w:type="dxa"/>
            <w:vAlign w:val="center"/>
          </w:tcPr>
          <w:p>
            <w:pPr>
              <w:pStyle w:val="19"/>
              <w:adjustRightInd w:val="0"/>
              <w:snapToGrid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p>
        </w:tc>
        <w:tc>
          <w:tcPr>
            <w:tcW w:w="6404" w:type="dxa"/>
            <w:vAlign w:val="center"/>
          </w:tcPr>
          <w:p>
            <w:pPr>
              <w:pStyle w:val="19"/>
              <w:adjustRightInd w:val="0"/>
              <w:snapToGrid w:val="0"/>
              <w:spacing w:line="360" w:lineRule="auto"/>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518000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8496" w:type="dxa"/>
            <w:gridSpan w:val="2"/>
            <w:vAlign w:val="center"/>
          </w:tcPr>
          <w:p>
            <w:pPr>
              <w:pStyle w:val="19"/>
              <w:adjustRightInd w:val="0"/>
              <w:snapToGrid w:val="0"/>
              <w:ind w:firstLine="200" w:firstLineChars="0"/>
              <w:jc w:val="center"/>
              <w:rPr>
                <w:rFonts w:hint="eastAsia" w:ascii="宋体" w:hAnsi="宋体" w:eastAsia="宋体" w:cs="宋体"/>
                <w:b/>
                <w:sz w:val="21"/>
                <w:szCs w:val="21"/>
                <w:highlight w:val="none"/>
              </w:rPr>
            </w:pPr>
            <w:r>
              <w:rPr>
                <w:rFonts w:hint="eastAsia" w:ascii="宋体" w:hAnsi="宋体" w:cs="宋体"/>
                <w:b/>
                <w:sz w:val="21"/>
                <w:szCs w:val="21"/>
                <w:highlight w:val="none"/>
              </w:rPr>
              <w:t>标书费和招标代理服务费的缴费银行信息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2092" w:type="dxa"/>
            <w:vAlign w:val="center"/>
          </w:tcPr>
          <w:p>
            <w:pPr>
              <w:pStyle w:val="19"/>
              <w:adjustRightInd w:val="0"/>
              <w:snapToGrid w:val="0"/>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rPr>
              <w:t>开户银行</w:t>
            </w:r>
          </w:p>
        </w:tc>
        <w:tc>
          <w:tcPr>
            <w:tcW w:w="6404" w:type="dxa"/>
            <w:vAlign w:val="center"/>
          </w:tcPr>
          <w:p>
            <w:pPr>
              <w:pStyle w:val="19"/>
              <w:adjustRightInd w:val="0"/>
              <w:snapToGrid w:val="0"/>
              <w:ind w:firstLine="0" w:firstLine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交通银行深圳金叶支行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2092" w:type="dxa"/>
            <w:vAlign w:val="center"/>
          </w:tcPr>
          <w:p>
            <w:pPr>
              <w:pStyle w:val="19"/>
              <w:adjustRightInd w:val="0"/>
              <w:snapToGrid w:val="0"/>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rPr>
              <w:t>收款单位</w:t>
            </w:r>
          </w:p>
        </w:tc>
        <w:tc>
          <w:tcPr>
            <w:tcW w:w="6404" w:type="dxa"/>
            <w:vAlign w:val="center"/>
          </w:tcPr>
          <w:p>
            <w:pPr>
              <w:pStyle w:val="19"/>
              <w:adjustRightInd w:val="0"/>
              <w:snapToGrid w:val="0"/>
              <w:ind w:firstLine="0" w:firstLineChars="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深圳市深水水务咨询有限公司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2092" w:type="dxa"/>
            <w:vAlign w:val="center"/>
          </w:tcPr>
          <w:p>
            <w:pPr>
              <w:pStyle w:val="19"/>
              <w:adjustRightInd w:val="0"/>
              <w:snapToGrid w:val="0"/>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rPr>
              <w:t>银行账号</w:t>
            </w:r>
          </w:p>
        </w:tc>
        <w:tc>
          <w:tcPr>
            <w:tcW w:w="6404" w:type="dxa"/>
            <w:vAlign w:val="center"/>
          </w:tcPr>
          <w:p>
            <w:pPr>
              <w:pStyle w:val="19"/>
              <w:adjustRightInd w:val="0"/>
              <w:snapToGrid w:val="0"/>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443899991010003343618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2092" w:type="dxa"/>
            <w:vAlign w:val="center"/>
          </w:tcPr>
          <w:p>
            <w:pPr>
              <w:pStyle w:val="19"/>
              <w:adjustRightInd w:val="0"/>
              <w:snapToGrid w:val="0"/>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rPr>
              <w:t>备    注</w:t>
            </w:r>
          </w:p>
        </w:tc>
        <w:tc>
          <w:tcPr>
            <w:tcW w:w="6404" w:type="dxa"/>
            <w:vAlign w:val="center"/>
          </w:tcPr>
          <w:p>
            <w:pPr>
              <w:pStyle w:val="19"/>
              <w:adjustRightInd w:val="0"/>
              <w:snapToGrid w:val="0"/>
              <w:ind w:firstLine="0" w:firstLineChars="0"/>
              <w:jc w:val="left"/>
              <w:rPr>
                <w:rFonts w:hint="eastAsia" w:ascii="宋体" w:hAnsi="宋体" w:eastAsia="宋体" w:cs="宋体"/>
                <w:sz w:val="21"/>
                <w:szCs w:val="21"/>
                <w:highlight w:val="none"/>
              </w:rPr>
            </w:pPr>
            <w:r>
              <w:rPr>
                <w:rFonts w:hint="eastAsia" w:ascii="宋体" w:hAnsi="宋体" w:cs="宋体"/>
                <w:sz w:val="21"/>
                <w:szCs w:val="21"/>
                <w:highlight w:val="none"/>
              </w:rPr>
              <w:t>招标代理服务费以缴费通知书为准</w:t>
            </w:r>
          </w:p>
        </w:tc>
      </w:tr>
    </w:tbl>
    <w:p>
      <w:pPr>
        <w:pStyle w:val="26"/>
        <w:spacing w:before="120" w:after="120"/>
        <w:rPr>
          <w:rFonts w:hint="eastAsia" w:ascii="宋体" w:hAnsi="宋体" w:eastAsia="宋体" w:cs="宋体"/>
          <w:highlight w:val="none"/>
        </w:rPr>
      </w:pPr>
      <w:r>
        <w:rPr>
          <w:rFonts w:hint="eastAsia" w:ascii="宋体" w:hAnsi="宋体" w:eastAsia="宋体" w:cs="宋体"/>
          <w:sz w:val="21"/>
          <w:szCs w:val="21"/>
          <w:highlight w:val="none"/>
        </w:rPr>
        <w:br w:type="page"/>
      </w:r>
      <w:bookmarkStart w:id="7" w:name="_Toc41471720"/>
      <w:bookmarkStart w:id="8" w:name="_Toc133706584"/>
      <w:bookmarkStart w:id="9" w:name="_Toc31417"/>
      <w:bookmarkStart w:id="10" w:name="_Toc1922"/>
      <w:bookmarkStart w:id="11" w:name="_Toc133706438"/>
      <w:bookmarkStart w:id="12" w:name="_Toc24017"/>
      <w:bookmarkStart w:id="13" w:name="_Toc21705"/>
      <w:bookmarkStart w:id="14" w:name="_Toc133706114"/>
      <w:bookmarkStart w:id="15" w:name="_Toc17362"/>
      <w:bookmarkStart w:id="16" w:name="_Toc10193"/>
      <w:bookmarkStart w:id="17" w:name="_Toc6258"/>
      <w:bookmarkStart w:id="18" w:name="_Toc23420"/>
      <w:bookmarkStart w:id="19" w:name="_Toc11108"/>
      <w:bookmarkStart w:id="20" w:name="_Toc27222"/>
      <w:bookmarkStart w:id="21" w:name="_Toc133705372"/>
      <w:bookmarkStart w:id="22" w:name="_Toc27700"/>
      <w:bookmarkStart w:id="23" w:name="_Toc28953"/>
      <w:bookmarkStart w:id="24" w:name="_Toc6582"/>
      <w:bookmarkStart w:id="25" w:name="_Toc10064"/>
      <w:r>
        <w:rPr>
          <w:rFonts w:hint="eastAsia" w:ascii="宋体" w:hAnsi="宋体" w:eastAsia="宋体" w:cs="宋体"/>
          <w:sz w:val="36"/>
          <w:highlight w:val="none"/>
        </w:rPr>
        <w:t>第二章  投标人须知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7"/>
        <w:jc w:val="center"/>
        <w:rPr>
          <w:rFonts w:hint="eastAsia" w:ascii="宋体" w:hAnsi="宋体" w:eastAsia="宋体" w:cs="宋体"/>
          <w:highlight w:val="none"/>
        </w:rPr>
      </w:pPr>
      <w:bookmarkStart w:id="26" w:name="_Toc133706585"/>
      <w:bookmarkStart w:id="27" w:name="_Toc25509"/>
      <w:bookmarkStart w:id="28" w:name="_Toc8319"/>
      <w:bookmarkStart w:id="29" w:name="_Toc24840"/>
      <w:bookmarkStart w:id="30" w:name="_Toc24759"/>
      <w:bookmarkStart w:id="31" w:name="_Toc32694"/>
      <w:bookmarkStart w:id="32" w:name="_Toc2784"/>
      <w:bookmarkStart w:id="33" w:name="_Toc24652"/>
      <w:bookmarkStart w:id="34" w:name="_Toc8615"/>
      <w:bookmarkStart w:id="35" w:name="_Toc20896"/>
      <w:bookmarkStart w:id="36" w:name="_Toc133705373"/>
      <w:bookmarkStart w:id="37" w:name="_Toc11827"/>
      <w:bookmarkStart w:id="38" w:name="_Toc41471721"/>
      <w:bookmarkStart w:id="39" w:name="_Toc4032"/>
      <w:bookmarkStart w:id="40" w:name="_Toc27133"/>
      <w:bookmarkStart w:id="41" w:name="_Toc133706439"/>
      <w:bookmarkStart w:id="42" w:name="_Toc133706115"/>
      <w:bookmarkStart w:id="43" w:name="_Toc15255"/>
      <w:bookmarkStart w:id="44" w:name="_Toc4771"/>
      <w:r>
        <w:rPr>
          <w:rFonts w:hint="eastAsia" w:ascii="宋体" w:hAnsi="宋体" w:eastAsia="宋体" w:cs="宋体"/>
          <w:highlight w:val="none"/>
        </w:rPr>
        <w:t>一、投标须知前附表</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bl>
      <w:tblPr>
        <w:tblStyle w:val="58"/>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864"/>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4" w:type="dxa"/>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864" w:type="dxa"/>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条款名称</w:t>
            </w:r>
          </w:p>
        </w:tc>
        <w:tc>
          <w:tcPr>
            <w:tcW w:w="6973" w:type="dxa"/>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4"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864"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招标人</w:t>
            </w:r>
          </w:p>
        </w:tc>
        <w:tc>
          <w:tcPr>
            <w:tcW w:w="6973" w:type="dxa"/>
            <w:vAlign w:val="center"/>
          </w:tcPr>
          <w:p>
            <w:pPr>
              <w:pStyle w:val="19"/>
              <w:snapToGrid w:val="0"/>
              <w:spacing w:line="360" w:lineRule="auto"/>
              <w:ind w:firstLine="0" w:firstLineChars="0"/>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深圳市环水建设工程有限公司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4"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864"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招标代理机构</w:t>
            </w:r>
          </w:p>
        </w:tc>
        <w:tc>
          <w:tcPr>
            <w:tcW w:w="6973" w:type="dxa"/>
            <w:vAlign w:val="center"/>
          </w:tcPr>
          <w:p>
            <w:pPr>
              <w:snapToGrid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深圳市深水水务咨询有限公司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14"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864"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项目名称</w:t>
            </w:r>
          </w:p>
        </w:tc>
        <w:tc>
          <w:tcPr>
            <w:tcW w:w="6973" w:type="dxa"/>
            <w:vAlign w:val="center"/>
          </w:tcPr>
          <w:p>
            <w:pPr>
              <w:pStyle w:val="19"/>
              <w:snapToGrid w:val="0"/>
              <w:spacing w:line="360" w:lineRule="auto"/>
              <w:ind w:firstLine="0" w:firstLineChars="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eastAsia="zh-CN"/>
              </w:rPr>
              <w:t>深圳会计进修学院生活用水市政接驳工程（一体化加压设备）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4"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864"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招标范围</w:t>
            </w:r>
          </w:p>
        </w:tc>
        <w:tc>
          <w:tcPr>
            <w:tcW w:w="6973" w:type="dxa"/>
            <w:vAlign w:val="center"/>
          </w:tcPr>
          <w:p>
            <w:pPr>
              <w:pStyle w:val="19"/>
              <w:snapToGrid w:val="0"/>
              <w:spacing w:line="360" w:lineRule="auto"/>
              <w:ind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本次采购范围包括但不限于水泵、阀门及自控电气设备等一体化加压设备，具体详见货物需求表。（注：数量均为暂定量，具体以项目实施过程中实际发生的采购数量为准。）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投标人资格要求</w:t>
            </w:r>
          </w:p>
        </w:tc>
        <w:tc>
          <w:tcPr>
            <w:tcW w:w="6973" w:type="dxa"/>
            <w:tcBorders>
              <w:top w:val="single" w:color="auto" w:sz="4" w:space="0"/>
              <w:left w:val="single" w:color="auto" w:sz="4" w:space="0"/>
              <w:bottom w:val="single" w:color="auto" w:sz="4" w:space="0"/>
              <w:right w:val="single" w:color="auto" w:sz="4" w:space="0"/>
            </w:tcBorders>
            <w:vAlign w:val="center"/>
          </w:tcPr>
          <w:p>
            <w:pPr>
              <w:pStyle w:val="19"/>
              <w:snapToGrid w:val="0"/>
              <w:spacing w:line="360" w:lineRule="auto"/>
              <w:ind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1、投标人必须为中华人民共和国境内注册的独立法人或合伙制企业或者其他组织；</w:t>
            </w:r>
          </w:p>
          <w:p>
            <w:pPr>
              <w:pStyle w:val="19"/>
              <w:snapToGrid w:val="0"/>
              <w:spacing w:line="360" w:lineRule="auto"/>
              <w:ind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投标人须为离心泵的制造商或合法代理商。投标人为代理商的，必须提供制造商（分公司、办事处授权无效）针对本次投标项目出具的合法有效的授权书，且同一制造商只允许授权一家有效的代理商参与本次投标，否则均按无效标处理。制造商与其合法代理商不得同时参加本次投标；</w:t>
            </w:r>
          </w:p>
          <w:p>
            <w:pPr>
              <w:pStyle w:val="19"/>
              <w:snapToGrid w:val="0"/>
              <w:spacing w:line="360" w:lineRule="auto"/>
              <w:ind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3、本项目不接受联合体投标。</w:t>
            </w:r>
          </w:p>
          <w:p>
            <w:pPr>
              <w:pStyle w:val="19"/>
              <w:snapToGrid w:val="0"/>
              <w:spacing w:line="360" w:lineRule="auto"/>
              <w:ind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4、其他投标条件：</w:t>
            </w:r>
          </w:p>
          <w:p>
            <w:pPr>
              <w:pStyle w:val="19"/>
              <w:snapToGrid w:val="0"/>
              <w:spacing w:line="360" w:lineRule="auto"/>
              <w:ind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（1）单位法人为同一人或者存在控股、管理关系的不同单位，不得同时参加投标；</w:t>
            </w:r>
          </w:p>
          <w:p>
            <w:pPr>
              <w:pStyle w:val="19"/>
              <w:snapToGrid w:val="0"/>
              <w:spacing w:line="360" w:lineRule="auto"/>
              <w:ind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（2）近3年内（从招标公告发布之日起倒算）投标人或者其法定代表人有行贿犯罪记录的，不得参加此次投标；</w:t>
            </w:r>
          </w:p>
          <w:p>
            <w:pPr>
              <w:pStyle w:val="19"/>
              <w:snapToGrid w:val="0"/>
              <w:spacing w:line="360" w:lineRule="auto"/>
              <w:ind w:firstLine="0" w:firstLineChars="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（3）近1年内（从截标之日起倒算）因串通投标、转包、以他人名义投标或者违法分包等违法行为受到建设、交通或者财政部门行政处罚的，不得参加此次投标。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供货期</w:t>
            </w:r>
          </w:p>
        </w:tc>
        <w:tc>
          <w:tcPr>
            <w:tcW w:w="697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货物运抵现场时间自中标通知书发放之日起60个日历日内（乙方需在供货期内完成货物及其他相关配套设施的供应、技术支持等工作，并按甲方要求分批到货，具体供货时间以甲方通知为准）。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项目招标控制价及投标上限价</w:t>
            </w:r>
          </w:p>
        </w:tc>
        <w:tc>
          <w:tcPr>
            <w:tcW w:w="6973" w:type="dxa"/>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招标控制价：</w:t>
            </w:r>
            <w:r>
              <w:rPr>
                <w:rFonts w:hint="eastAsia" w:ascii="宋体" w:hAnsi="宋体" w:cs="宋体"/>
                <w:sz w:val="21"/>
                <w:szCs w:val="21"/>
                <w:highlight w:val="none"/>
                <w:lang w:eastAsia="zh-CN"/>
              </w:rPr>
              <w:t>1325567.58</w:t>
            </w:r>
            <w:r>
              <w:rPr>
                <w:rFonts w:hint="eastAsia" w:ascii="宋体" w:hAnsi="宋体" w:eastAsia="宋体" w:cs="宋体"/>
                <w:sz w:val="21"/>
                <w:szCs w:val="21"/>
                <w:highlight w:val="none"/>
              </w:rPr>
              <w:t>元。</w:t>
            </w:r>
          </w:p>
          <w:p>
            <w:pPr>
              <w:pStyle w:val="4"/>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投标报价上限：招标控制价下浮</w:t>
            </w:r>
            <w:r>
              <w:rPr>
                <w:rFonts w:hint="eastAsia" w:ascii="宋体" w:hAnsi="宋体" w:cs="宋体"/>
                <w:sz w:val="21"/>
                <w:szCs w:val="21"/>
                <w:highlight w:val="none"/>
                <w:lang w:val="en-US" w:eastAsia="zh-CN"/>
              </w:rPr>
              <w:t>18</w:t>
            </w:r>
            <w:r>
              <w:rPr>
                <w:rFonts w:hint="eastAsia" w:ascii="宋体" w:hAnsi="宋体" w:eastAsia="宋体" w:cs="宋体"/>
                <w:sz w:val="21"/>
                <w:szCs w:val="21"/>
                <w:highlight w:val="none"/>
              </w:rPr>
              <w:t>%，即投标报价上限为：</w:t>
            </w:r>
            <w:r>
              <w:rPr>
                <w:rFonts w:hint="eastAsia" w:ascii="宋体" w:hAnsi="宋体" w:cs="宋体"/>
                <w:sz w:val="21"/>
                <w:szCs w:val="21"/>
                <w:highlight w:val="none"/>
                <w:lang w:eastAsia="zh-CN"/>
              </w:rPr>
              <w:t>1086965.42</w:t>
            </w:r>
            <w:r>
              <w:rPr>
                <w:rFonts w:hint="eastAsia" w:ascii="宋体" w:hAnsi="宋体" w:eastAsia="宋体" w:cs="宋体"/>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投标预备会</w:t>
            </w:r>
          </w:p>
        </w:tc>
        <w:tc>
          <w:tcPr>
            <w:tcW w:w="6973"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投标文件的递交</w:t>
            </w:r>
          </w:p>
        </w:tc>
        <w:tc>
          <w:tcPr>
            <w:tcW w:w="6973" w:type="dxa"/>
            <w:tcBorders>
              <w:top w:val="single" w:color="auto" w:sz="4" w:space="0"/>
              <w:left w:val="single" w:color="auto" w:sz="4" w:space="0"/>
              <w:bottom w:val="single" w:color="auto" w:sz="4" w:space="0"/>
              <w:right w:val="single" w:color="auto" w:sz="4" w:space="0"/>
            </w:tcBorders>
            <w:vAlign w:val="center"/>
          </w:tcPr>
          <w:p>
            <w:pPr>
              <w:pStyle w:val="4"/>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1、递交截止时间：202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28</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9</w:t>
            </w:r>
            <w:r>
              <w:rPr>
                <w:rFonts w:hint="eastAsia" w:ascii="宋体" w:hAnsi="宋体" w:eastAsia="宋体" w:cs="宋体"/>
                <w:sz w:val="21"/>
                <w:szCs w:val="21"/>
                <w:highlight w:val="none"/>
              </w:rPr>
              <w:t>:00（北京时间）</w:t>
            </w:r>
          </w:p>
          <w:p>
            <w:pPr>
              <w:pStyle w:val="4"/>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2、递交方式：线上递交：所有电子版投标文件应于上传投标文件截止之前上传至深圳环水集团招标采购数字管理平台。另：截标时间后两小时内将电子版投标文件发送至</w:t>
            </w:r>
            <w:r>
              <w:rPr>
                <w:rFonts w:hint="eastAsia" w:ascii="宋体" w:hAnsi="宋体" w:cs="宋体"/>
                <w:sz w:val="21"/>
                <w:szCs w:val="21"/>
                <w:highlight w:val="none"/>
                <w:lang w:eastAsia="zh-CN"/>
              </w:rPr>
              <w:t>330989438@qq.com</w:t>
            </w:r>
            <w:r>
              <w:rPr>
                <w:rFonts w:hint="eastAsia" w:ascii="宋体" w:hAnsi="宋体" w:eastAsia="宋体" w:cs="宋体"/>
                <w:sz w:val="21"/>
                <w:szCs w:val="21"/>
                <w:highlight w:val="none"/>
              </w:rPr>
              <w:t>（电子版包含word版和PDF版投标文件）。该电子版投标文件须和投标人上传至深圳环水集团招标采购数字管理平台上的保持一致，如不一致，以投标人上传至深圳环水集团招标采购数字管理平台上的投标文件为准。</w:t>
            </w:r>
          </w:p>
          <w:p>
            <w:pPr>
              <w:pStyle w:val="4"/>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电子投标文件组成：</w:t>
            </w:r>
          </w:p>
          <w:p>
            <w:pPr>
              <w:pStyle w:val="4"/>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█资格审查文件电子标书</w:t>
            </w:r>
          </w:p>
          <w:p>
            <w:pPr>
              <w:pStyle w:val="4"/>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█资信标电子标书</w:t>
            </w:r>
          </w:p>
          <w:p>
            <w:pPr>
              <w:pStyle w:val="4"/>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█商务标电子标书</w:t>
            </w:r>
          </w:p>
          <w:p>
            <w:pPr>
              <w:pStyle w:val="4"/>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3、如投标人中标后须将纸质投标文件1份并胶装送至招标人处。</w:t>
            </w:r>
          </w:p>
          <w:p>
            <w:pPr>
              <w:pStyle w:val="4"/>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注：(1)线上递交的电子投标文件于投标截止时间前，将盖章后PDF版本上传至深圳环水集团招标采购数字管理平台(https://cg.sz-water.com.cn)。</w:t>
            </w:r>
          </w:p>
          <w:p>
            <w:pPr>
              <w:pStyle w:val="4"/>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(2)在规定时间内未将投标文件上传指定平台的和不符合规定的投标文件，将不被接受。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备选方案</w:t>
            </w:r>
          </w:p>
        </w:tc>
        <w:tc>
          <w:tcPr>
            <w:tcW w:w="69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highlight w:val="none"/>
              </w:rPr>
            </w:pPr>
            <w:r>
              <w:rPr>
                <w:rFonts w:hint="eastAsia" w:ascii="宋体" w:hAnsi="宋体" w:eastAsia="宋体" w:cs="宋体"/>
                <w:kern w:val="0"/>
                <w:szCs w:val="21"/>
                <w:highlight w:val="none"/>
              </w:rPr>
              <w:t>不允许投标人提交替代方案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11</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投标截止时间/开标时间</w:t>
            </w:r>
          </w:p>
        </w:tc>
        <w:tc>
          <w:tcPr>
            <w:tcW w:w="69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highlight w:val="none"/>
              </w:rPr>
            </w:pPr>
            <w:r>
              <w:rPr>
                <w:rFonts w:hint="eastAsia" w:ascii="宋体" w:hAnsi="宋体" w:eastAsia="宋体" w:cs="宋体"/>
                <w:kern w:val="0"/>
                <w:szCs w:val="21"/>
                <w:highlight w:val="none"/>
              </w:rPr>
              <w:t>详见招标公告中相关内容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递交投标文件地点</w:t>
            </w:r>
          </w:p>
        </w:tc>
        <w:tc>
          <w:tcPr>
            <w:tcW w:w="69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highlight w:val="none"/>
              </w:rPr>
            </w:pPr>
            <w:r>
              <w:rPr>
                <w:rFonts w:hint="eastAsia" w:ascii="宋体" w:hAnsi="宋体" w:eastAsia="宋体" w:cs="宋体"/>
                <w:kern w:val="0"/>
                <w:szCs w:val="21"/>
                <w:highlight w:val="none"/>
              </w:rPr>
              <w:t>详见招标公告中相关内容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13</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资格审查方式</w:t>
            </w:r>
          </w:p>
        </w:tc>
        <w:tc>
          <w:tcPr>
            <w:tcW w:w="69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14</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kern w:val="0"/>
                <w:szCs w:val="21"/>
                <w:highlight w:val="none"/>
              </w:rPr>
              <w:t>评标方法及标准</w:t>
            </w:r>
          </w:p>
        </w:tc>
        <w:tc>
          <w:tcPr>
            <w:tcW w:w="69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Cs w:val="21"/>
                <w:highlight w:val="none"/>
                <w:lang w:val="en-US" w:eastAsia="zh-CN"/>
              </w:rPr>
            </w:pPr>
            <w:r>
              <w:rPr>
                <w:rFonts w:hint="eastAsia" w:ascii="宋体" w:hAnsi="宋体" w:eastAsia="宋体" w:cs="宋体"/>
                <w:kern w:val="0"/>
                <w:szCs w:val="21"/>
                <w:highlight w:val="none"/>
              </w:rPr>
              <w:t>本项目</w:t>
            </w:r>
            <w:r>
              <w:rPr>
                <w:rFonts w:hint="eastAsia" w:ascii="宋体" w:hAnsi="宋体" w:cs="宋体"/>
                <w:kern w:val="0"/>
                <w:szCs w:val="21"/>
                <w:highlight w:val="none"/>
                <w:lang w:val="en-US" w:eastAsia="zh-CN"/>
              </w:rPr>
              <w:t>无评标环节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15</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投标有效期</w:t>
            </w:r>
          </w:p>
        </w:tc>
        <w:tc>
          <w:tcPr>
            <w:tcW w:w="69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90</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AUTOTEXT  input436 \* MERGEFORMAT </w:instrText>
            </w:r>
            <w:r>
              <w:rPr>
                <w:rFonts w:hint="eastAsia" w:ascii="宋体" w:hAnsi="宋体" w:eastAsia="宋体" w:cs="宋体"/>
                <w:szCs w:val="21"/>
                <w:highlight w:val="none"/>
              </w:rPr>
              <w:fldChar w:fldCharType="end"/>
            </w:r>
            <w:r>
              <w:rPr>
                <w:rFonts w:hint="eastAsia" w:ascii="宋体" w:hAnsi="宋体" w:eastAsia="宋体" w:cs="宋体"/>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16</w:t>
            </w:r>
          </w:p>
        </w:tc>
        <w:tc>
          <w:tcPr>
            <w:tcW w:w="1864"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投标担保</w:t>
            </w:r>
          </w:p>
        </w:tc>
        <w:tc>
          <w:tcPr>
            <w:tcW w:w="69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□投标担保的金额：</w:t>
            </w:r>
            <w:r>
              <w:rPr>
                <w:rFonts w:hint="eastAsia" w:ascii="宋体" w:hAnsi="宋体" w:eastAsia="宋体" w:cs="宋体"/>
                <w:color w:val="000000"/>
                <w:kern w:val="0"/>
                <w:szCs w:val="21"/>
                <w:highlight w:val="none"/>
                <w:u w:val="single"/>
              </w:rPr>
              <w:t xml:space="preserve">   </w:t>
            </w:r>
            <w:r>
              <w:rPr>
                <w:rFonts w:hint="eastAsia" w:ascii="宋体" w:hAnsi="宋体" w:eastAsia="宋体" w:cs="宋体"/>
                <w:color w:val="000000"/>
                <w:kern w:val="0"/>
                <w:szCs w:val="21"/>
                <w:highlight w:val="none"/>
              </w:rPr>
              <w:t>万元</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color w:val="000000"/>
                <w:kern w:val="0"/>
                <w:szCs w:val="21"/>
                <w:highlight w:val="none"/>
              </w:rPr>
              <w:t>无需提供投标担保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p>
        </w:tc>
        <w:tc>
          <w:tcPr>
            <w:tcW w:w="1864"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p>
        </w:tc>
        <w:tc>
          <w:tcPr>
            <w:tcW w:w="69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担保形式：</w:t>
            </w:r>
          </w:p>
          <w:p>
            <w:pPr>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1.银行保函（电子保函/纸质保函），由投标人基本账户开户银行所在网点或其上级银行机构出具</w:t>
            </w:r>
          </w:p>
          <w:p>
            <w:pPr>
              <w:adjustRightInd w:val="0"/>
              <w:snapToGrid w:val="0"/>
              <w:spacing w:line="360" w:lineRule="auto"/>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2.保证金（现金/支票），从投标人基本账户汇出</w:t>
            </w:r>
          </w:p>
          <w:p>
            <w:pPr>
              <w:adjustRightInd w:val="0"/>
              <w:snapToGrid w:val="0"/>
              <w:spacing w:line="360" w:lineRule="auto"/>
              <w:jc w:val="left"/>
              <w:rPr>
                <w:rFonts w:hint="eastAsia" w:ascii="宋体" w:hAnsi="宋体" w:eastAsia="宋体" w:cs="宋体"/>
                <w:szCs w:val="21"/>
                <w:highlight w:val="none"/>
              </w:rPr>
            </w:pPr>
            <w:r>
              <w:rPr>
                <w:rFonts w:hint="eastAsia" w:ascii="宋体" w:hAnsi="宋体" w:eastAsia="宋体" w:cs="宋体"/>
                <w:color w:val="000000"/>
                <w:kern w:val="0"/>
                <w:szCs w:val="21"/>
                <w:highlight w:val="none"/>
              </w:rPr>
              <w:t>3.保证保险，保费通过投标人基本账户支付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17</w:t>
            </w:r>
          </w:p>
        </w:tc>
        <w:tc>
          <w:tcPr>
            <w:tcW w:w="1864"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履约担保</w:t>
            </w:r>
          </w:p>
        </w:tc>
        <w:tc>
          <w:tcPr>
            <w:tcW w:w="69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金额：</w:t>
            </w:r>
            <w:r>
              <w:rPr>
                <w:rFonts w:hint="eastAsia" w:ascii="宋体" w:hAnsi="宋体" w:cs="宋体"/>
                <w:szCs w:val="21"/>
                <w:highlight w:val="none"/>
                <w:u w:val="single"/>
                <w:lang w:val="en-US" w:eastAsia="zh-CN"/>
              </w:rPr>
              <w:t>中标金额10%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p>
        </w:tc>
        <w:tc>
          <w:tcPr>
            <w:tcW w:w="1864"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p>
        </w:tc>
        <w:tc>
          <w:tcPr>
            <w:tcW w:w="69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担保形式：</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sym w:font="Wingdings 2" w:char="0052"/>
            </w:r>
            <w:r>
              <w:rPr>
                <w:rFonts w:hint="eastAsia" w:ascii="宋体" w:hAnsi="宋体" w:eastAsia="宋体" w:cs="宋体"/>
                <w:szCs w:val="21"/>
                <w:highlight w:val="none"/>
              </w:rPr>
              <w:t xml:space="preserve">银行保函 </w:t>
            </w:r>
            <w:r>
              <w:rPr>
                <w:rFonts w:hint="eastAsia" w:ascii="宋体" w:hAnsi="宋体" w:eastAsia="宋体" w:cs="宋体"/>
                <w:szCs w:val="21"/>
                <w:highlight w:val="none"/>
              </w:rPr>
              <w:sym w:font="Wingdings 2" w:char="00A3"/>
            </w:r>
            <w:r>
              <w:rPr>
                <w:rFonts w:hint="eastAsia" w:ascii="宋体" w:hAnsi="宋体" w:eastAsia="宋体" w:cs="宋体"/>
                <w:szCs w:val="21"/>
                <w:highlight w:val="none"/>
              </w:rPr>
              <w:t xml:space="preserve">保证保险 </w:t>
            </w:r>
            <w:r>
              <w:rPr>
                <w:rFonts w:hint="eastAsia" w:ascii="宋体" w:hAnsi="宋体" w:eastAsia="宋体" w:cs="宋体"/>
                <w:szCs w:val="21"/>
                <w:highlight w:val="none"/>
              </w:rPr>
              <w:sym w:font="Wingdings 2" w:char="00A3"/>
            </w:r>
            <w:r>
              <w:rPr>
                <w:rFonts w:hint="eastAsia" w:ascii="宋体" w:hAnsi="宋体" w:eastAsia="宋体" w:cs="宋体"/>
                <w:szCs w:val="21"/>
                <w:highlight w:val="none"/>
              </w:rPr>
              <w:t>专业工程担保公司担保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vMerge w:val="restart"/>
            <w:tcBorders>
              <w:left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18</w:t>
            </w:r>
          </w:p>
        </w:tc>
        <w:tc>
          <w:tcPr>
            <w:tcW w:w="1864" w:type="dxa"/>
            <w:vMerge w:val="restart"/>
            <w:tcBorders>
              <w:left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支付担保</w:t>
            </w:r>
          </w:p>
        </w:tc>
        <w:tc>
          <w:tcPr>
            <w:tcW w:w="69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金额：</w:t>
            </w:r>
            <w:r>
              <w:rPr>
                <w:rFonts w:hint="eastAsia" w:ascii="宋体" w:hAnsi="宋体" w:eastAsia="宋体" w:cs="宋体"/>
                <w:szCs w:val="21"/>
                <w:highlight w:val="none"/>
                <w:u w:val="single"/>
              </w:rPr>
              <w:t xml:space="preserve"> </w:t>
            </w:r>
            <w:r>
              <w:rPr>
                <w:rFonts w:hint="eastAsia" w:ascii="宋体" w:hAnsi="宋体" w:eastAsia="宋体" w:cs="宋体"/>
                <w:b/>
                <w:bCs/>
                <w:szCs w:val="21"/>
                <w:highlight w:val="none"/>
                <w:u w:val="single"/>
                <w:lang w:val="en-US" w:eastAsia="zh-CN"/>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p>
        </w:tc>
        <w:tc>
          <w:tcPr>
            <w:tcW w:w="1864"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rPr>
            </w:pPr>
          </w:p>
        </w:tc>
        <w:tc>
          <w:tcPr>
            <w:tcW w:w="69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担保形式：</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sym w:font="Wingdings 2" w:char="00A3"/>
            </w:r>
            <w:r>
              <w:rPr>
                <w:rFonts w:hint="eastAsia" w:ascii="宋体" w:hAnsi="宋体" w:eastAsia="宋体" w:cs="宋体"/>
                <w:szCs w:val="21"/>
                <w:highlight w:val="none"/>
              </w:rPr>
              <w:t xml:space="preserve">银行保函 </w:t>
            </w:r>
            <w:r>
              <w:rPr>
                <w:rFonts w:hint="eastAsia" w:ascii="宋体" w:hAnsi="宋体" w:eastAsia="宋体" w:cs="宋体"/>
                <w:szCs w:val="21"/>
                <w:highlight w:val="none"/>
              </w:rPr>
              <w:sym w:font="Wingdings 2" w:char="00A3"/>
            </w:r>
            <w:r>
              <w:rPr>
                <w:rFonts w:hint="eastAsia" w:ascii="宋体" w:hAnsi="宋体" w:eastAsia="宋体" w:cs="宋体"/>
                <w:szCs w:val="21"/>
                <w:highlight w:val="none"/>
              </w:rPr>
              <w:t xml:space="preserve">保证保险 </w:t>
            </w:r>
            <w:r>
              <w:rPr>
                <w:rFonts w:hint="eastAsia" w:ascii="宋体" w:hAnsi="宋体" w:eastAsia="宋体" w:cs="宋体"/>
                <w:szCs w:val="21"/>
                <w:highlight w:val="none"/>
              </w:rPr>
              <w:sym w:font="Wingdings 2" w:char="00A3"/>
            </w:r>
            <w:r>
              <w:rPr>
                <w:rFonts w:hint="eastAsia" w:ascii="宋体" w:hAnsi="宋体" w:eastAsia="宋体" w:cs="宋体"/>
                <w:szCs w:val="21"/>
                <w:highlight w:val="none"/>
              </w:rPr>
              <w:t>专业工程担保公司担保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9</w:t>
            </w:r>
          </w:p>
        </w:tc>
        <w:tc>
          <w:tcPr>
            <w:tcW w:w="18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定标入围方式</w:t>
            </w:r>
          </w:p>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（资格审查合格的投标人＞20名）</w:t>
            </w:r>
          </w:p>
        </w:tc>
        <w:tc>
          <w:tcPr>
            <w:tcW w:w="69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rPr>
                <w:rFonts w:hint="eastAsia" w:ascii="宋体" w:hAnsi="宋体" w:eastAsia="宋体" w:cs="宋体"/>
                <w:szCs w:val="21"/>
                <w:highlight w:val="none"/>
              </w:rPr>
            </w:pPr>
            <w:r>
              <w:rPr>
                <w:rFonts w:hint="eastAsia" w:ascii="宋体" w:hAnsi="宋体" w:eastAsia="宋体" w:cs="宋体"/>
                <w:szCs w:val="21"/>
                <w:highlight w:val="none"/>
              </w:rPr>
              <w:t>□票决法；</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□集体议事法；</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□价格法</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具体规则：</w:t>
            </w: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□抽签法</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■其它：</w:t>
            </w:r>
            <w:r>
              <w:rPr>
                <w:rFonts w:hint="eastAsia" w:ascii="宋体" w:hAnsi="宋体" w:eastAsia="宋体" w:cs="宋体"/>
                <w:szCs w:val="21"/>
                <w:highlight w:val="none"/>
                <w:u w:val="single"/>
              </w:rPr>
              <w:t>本项目不进行过多投标人淘汰。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14"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20</w:t>
            </w:r>
          </w:p>
        </w:tc>
        <w:tc>
          <w:tcPr>
            <w:tcW w:w="1864" w:type="dxa"/>
            <w:vMerge w:val="restart"/>
            <w:tcBorders>
              <w:top w:val="single" w:color="auto" w:sz="4" w:space="0"/>
              <w:left w:val="single" w:color="auto" w:sz="4" w:space="0"/>
              <w:right w:val="single" w:color="auto" w:sz="4" w:space="0"/>
            </w:tcBorders>
            <w:vAlign w:val="center"/>
          </w:tcPr>
          <w:p>
            <w:pPr>
              <w:topLinePunct/>
              <w:adjustRightInd w:val="0"/>
              <w:snapToGrid w:val="0"/>
              <w:jc w:val="center"/>
              <w:rPr>
                <w:rFonts w:hint="eastAsia" w:ascii="宋体" w:hAnsi="宋体" w:eastAsia="宋体" w:cs="宋体"/>
                <w:szCs w:val="21"/>
                <w:highlight w:val="none"/>
              </w:rPr>
            </w:pPr>
            <w:r>
              <w:rPr>
                <w:rFonts w:hint="eastAsia" w:ascii="宋体" w:hAnsi="宋体" w:eastAsia="宋体" w:cs="宋体"/>
                <w:kern w:val="0"/>
                <w:szCs w:val="21"/>
                <w:highlight w:val="none"/>
              </w:rPr>
              <w:t>定标方法</w:t>
            </w:r>
          </w:p>
        </w:tc>
        <w:tc>
          <w:tcPr>
            <w:tcW w:w="697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highlight w:val="none"/>
              </w:rPr>
              <w:t>□</w:t>
            </w:r>
            <w:r>
              <w:rPr>
                <w:rFonts w:hint="eastAsia" w:ascii="宋体" w:hAnsi="宋体" w:eastAsia="宋体" w:cs="宋体"/>
                <w:color w:val="auto"/>
                <w:kern w:val="0"/>
                <w:highlight w:val="none"/>
              </w:rPr>
              <w:fldChar w:fldCharType="begin"/>
            </w:r>
            <w:r>
              <w:rPr>
                <w:rFonts w:hint="eastAsia" w:ascii="宋体" w:hAnsi="宋体" w:eastAsia="宋体" w:cs="宋体"/>
                <w:color w:val="auto"/>
                <w:kern w:val="0"/>
                <w:highlight w:val="none"/>
              </w:rPr>
              <w:instrText xml:space="preserve"> AUTOTEXT  input178 \* MERGEFORMAT </w:instrText>
            </w:r>
            <w:r>
              <w:rPr>
                <w:rFonts w:hint="eastAsia" w:ascii="宋体" w:hAnsi="宋体" w:eastAsia="宋体" w:cs="宋体"/>
                <w:color w:val="auto"/>
                <w:kern w:val="0"/>
                <w:highlight w:val="none"/>
              </w:rPr>
              <w:fldChar w:fldCharType="end"/>
            </w:r>
            <w:r>
              <w:rPr>
                <w:rFonts w:hint="eastAsia" w:ascii="宋体" w:hAnsi="宋体" w:eastAsia="宋体" w:cs="宋体"/>
                <w:color w:val="auto"/>
                <w:kern w:val="0"/>
                <w:highlight w:val="none"/>
              </w:rPr>
              <w:t>直接票决定标法</w:t>
            </w:r>
          </w:p>
          <w:p>
            <w:pPr>
              <w:topLinePunct/>
              <w:adjustRightInd w:val="0"/>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票决方式：</w:t>
            </w:r>
          </w:p>
          <w:p>
            <w:pPr>
              <w:topLinePunct/>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input245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 xml:space="preserve">简单多数   </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input247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简单多数（且过半数）</w:t>
            </w:r>
          </w:p>
          <w:p>
            <w:pPr>
              <w:topLinePunct/>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input248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对比胜出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14" w:type="dxa"/>
            <w:vMerge w:val="continue"/>
            <w:tcBorders>
              <w:left w:val="single" w:color="auto" w:sz="4" w:space="0"/>
              <w:right w:val="single" w:color="auto" w:sz="4" w:space="0"/>
            </w:tcBorders>
            <w:vAlign w:val="center"/>
          </w:tcPr>
          <w:p>
            <w:pPr>
              <w:spacing w:line="360" w:lineRule="auto"/>
              <w:ind w:firstLine="210" w:firstLineChars="100"/>
              <w:rPr>
                <w:rFonts w:hint="eastAsia" w:ascii="宋体" w:hAnsi="宋体" w:eastAsia="宋体" w:cs="宋体"/>
                <w:highlight w:val="none"/>
              </w:rPr>
            </w:pPr>
          </w:p>
        </w:tc>
        <w:tc>
          <w:tcPr>
            <w:tcW w:w="1864" w:type="dxa"/>
            <w:vMerge w:val="continue"/>
            <w:tcBorders>
              <w:left w:val="single" w:color="auto" w:sz="4" w:space="0"/>
              <w:right w:val="single" w:color="auto" w:sz="4" w:space="0"/>
            </w:tcBorders>
            <w:vAlign w:val="center"/>
          </w:tcPr>
          <w:p>
            <w:pPr>
              <w:topLinePunct/>
              <w:adjustRightInd w:val="0"/>
              <w:snapToGrid w:val="0"/>
              <w:jc w:val="center"/>
              <w:rPr>
                <w:rFonts w:hint="eastAsia" w:ascii="宋体" w:hAnsi="宋体" w:eastAsia="宋体" w:cs="宋体"/>
                <w:highlight w:val="none"/>
              </w:rPr>
            </w:pPr>
          </w:p>
        </w:tc>
        <w:tc>
          <w:tcPr>
            <w:tcW w:w="697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highlight w:val="none"/>
              </w:rPr>
              <w:t>□</w:t>
            </w:r>
            <w:r>
              <w:rPr>
                <w:rFonts w:hint="eastAsia" w:ascii="宋体" w:hAnsi="宋体" w:eastAsia="宋体" w:cs="宋体"/>
                <w:color w:val="auto"/>
                <w:kern w:val="0"/>
                <w:highlight w:val="none"/>
              </w:rPr>
              <w:fldChar w:fldCharType="begin"/>
            </w:r>
            <w:r>
              <w:rPr>
                <w:rFonts w:hint="eastAsia" w:ascii="宋体" w:hAnsi="宋体" w:eastAsia="宋体" w:cs="宋体"/>
                <w:color w:val="auto"/>
                <w:kern w:val="0"/>
                <w:highlight w:val="none"/>
              </w:rPr>
              <w:instrText xml:space="preserve"> AUTOTEXT  input179 \* MERGEFORMAT </w:instrText>
            </w:r>
            <w:r>
              <w:rPr>
                <w:rFonts w:hint="eastAsia" w:ascii="宋体" w:hAnsi="宋体" w:eastAsia="宋体" w:cs="宋体"/>
                <w:color w:val="auto"/>
                <w:kern w:val="0"/>
                <w:highlight w:val="none"/>
              </w:rPr>
              <w:fldChar w:fldCharType="end"/>
            </w:r>
            <w:r>
              <w:rPr>
                <w:rFonts w:hint="eastAsia" w:ascii="宋体" w:hAnsi="宋体" w:eastAsia="宋体" w:cs="宋体"/>
                <w:color w:val="auto"/>
                <w:kern w:val="0"/>
                <w:highlight w:val="none"/>
              </w:rPr>
              <w:t>逐轮票决定标法</w:t>
            </w:r>
          </w:p>
          <w:p>
            <w:pPr>
              <w:topLinePunct/>
              <w:adjustRightInd w:val="0"/>
              <w:snapToGrid w:val="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票决方式：</w:t>
            </w:r>
          </w:p>
          <w:p>
            <w:pPr>
              <w:topLinePunct/>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input262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 xml:space="preserve">简单多数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input263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 xml:space="preserve">对比胜出        </w:t>
            </w:r>
          </w:p>
          <w:p>
            <w:pPr>
              <w:topLinePunct/>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input264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先票决后淘汰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14" w:type="dxa"/>
            <w:vMerge w:val="continue"/>
            <w:tcBorders>
              <w:left w:val="single" w:color="auto" w:sz="4" w:space="0"/>
              <w:right w:val="single" w:color="auto" w:sz="4" w:space="0"/>
            </w:tcBorders>
            <w:vAlign w:val="center"/>
          </w:tcPr>
          <w:p>
            <w:pPr>
              <w:spacing w:line="360" w:lineRule="auto"/>
              <w:ind w:firstLine="210" w:firstLineChars="100"/>
              <w:rPr>
                <w:rFonts w:hint="eastAsia" w:ascii="宋体" w:hAnsi="宋体" w:eastAsia="宋体" w:cs="宋体"/>
                <w:szCs w:val="21"/>
                <w:highlight w:val="none"/>
              </w:rPr>
            </w:pPr>
          </w:p>
        </w:tc>
        <w:tc>
          <w:tcPr>
            <w:tcW w:w="1864" w:type="dxa"/>
            <w:vMerge w:val="continue"/>
            <w:tcBorders>
              <w:left w:val="single" w:color="auto" w:sz="4" w:space="0"/>
              <w:right w:val="single" w:color="auto" w:sz="4" w:space="0"/>
            </w:tcBorders>
            <w:vAlign w:val="center"/>
          </w:tcPr>
          <w:p>
            <w:pPr>
              <w:topLinePunct/>
              <w:adjustRightInd w:val="0"/>
              <w:snapToGrid w:val="0"/>
              <w:jc w:val="center"/>
              <w:rPr>
                <w:rFonts w:hint="eastAsia" w:ascii="宋体" w:hAnsi="宋体" w:eastAsia="宋体" w:cs="宋体"/>
                <w:szCs w:val="21"/>
                <w:highlight w:val="none"/>
              </w:rPr>
            </w:pPr>
          </w:p>
        </w:tc>
        <w:tc>
          <w:tcPr>
            <w:tcW w:w="697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input212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二次竞价定标法（招标人可根据工程实际情况选择此种方式）</w:t>
            </w:r>
          </w:p>
          <w:p>
            <w:pPr>
              <w:topLinePunct/>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pPr>
              <w:topLinePunct/>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input265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 xml:space="preserve">简单多数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input266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对比胜出</w:t>
            </w:r>
          </w:p>
          <w:p>
            <w:pPr>
              <w:topLinePunct/>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竞价方式：</w:t>
            </w:r>
          </w:p>
          <w:p>
            <w:pPr>
              <w:topLinePunct/>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由定标委员会票决</w:t>
            </w:r>
            <w:r>
              <w:rPr>
                <w:rFonts w:hint="eastAsia" w:ascii="宋体" w:hAnsi="宋体" w:eastAsia="宋体" w:cs="宋体"/>
                <w:color w:val="auto"/>
                <w:kern w:val="0"/>
                <w:szCs w:val="21"/>
                <w:highlight w:val="none"/>
                <w:u w:val="single"/>
              </w:rPr>
              <w:t xml:space="preserve"> </w:t>
            </w:r>
            <w:r>
              <w:rPr>
                <w:rFonts w:hint="eastAsia" w:ascii="宋体" w:hAnsi="宋体" w:eastAsia="宋体" w:cs="宋体"/>
                <w:b/>
                <w:color w:val="auto"/>
                <w:highlight w:val="none"/>
                <w:u w:val="single"/>
              </w:rPr>
              <w:t xml:space="preserve">3 </w:t>
            </w:r>
            <w:r>
              <w:rPr>
                <w:rFonts w:hint="eastAsia" w:ascii="宋体" w:hAnsi="宋体" w:eastAsia="宋体" w:cs="宋体"/>
                <w:color w:val="auto"/>
                <w:kern w:val="0"/>
                <w:szCs w:val="21"/>
                <w:highlight w:val="none"/>
                <w:u w:val="single"/>
              </w:rPr>
              <w:fldChar w:fldCharType="begin"/>
            </w:r>
            <w:r>
              <w:rPr>
                <w:rFonts w:hint="eastAsia" w:ascii="宋体" w:hAnsi="宋体" w:eastAsia="宋体" w:cs="宋体"/>
                <w:color w:val="auto"/>
                <w:kern w:val="0"/>
                <w:szCs w:val="21"/>
                <w:highlight w:val="none"/>
                <w:u w:val="single"/>
              </w:rPr>
              <w:instrText xml:space="preserve"> AUTOTEXT  input213 \* MERGEFORMAT </w:instrText>
            </w:r>
            <w:r>
              <w:rPr>
                <w:rFonts w:hint="eastAsia" w:ascii="宋体" w:hAnsi="宋体" w:eastAsia="宋体" w:cs="宋体"/>
                <w:color w:val="auto"/>
                <w:kern w:val="0"/>
                <w:szCs w:val="21"/>
                <w:highlight w:val="none"/>
                <w:u w:val="single"/>
              </w:rPr>
              <w:fldChar w:fldCharType="end"/>
            </w:r>
            <w:r>
              <w:rPr>
                <w:rFonts w:hint="eastAsia" w:ascii="宋体" w:hAnsi="宋体" w:eastAsia="宋体" w:cs="宋体"/>
                <w:color w:val="auto"/>
                <w:kern w:val="0"/>
                <w:szCs w:val="21"/>
                <w:highlight w:val="none"/>
              </w:rPr>
              <w:t>家投标单位进行二次报价（参与二次竞价的投标人不得少于3名）</w:t>
            </w:r>
          </w:p>
          <w:p>
            <w:pPr>
              <w:topLinePunct/>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input214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综合考虑二次报价后,定标委员会通过票决方式确定中标候选人(招标人不承诺将合同授予报价最低的投标人)。</w:t>
            </w:r>
          </w:p>
          <w:p>
            <w:pPr>
              <w:topLinePunct/>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input215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其它：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single"/>
              </w:rPr>
              <w:fldChar w:fldCharType="begin"/>
            </w:r>
            <w:r>
              <w:rPr>
                <w:rFonts w:hint="eastAsia" w:ascii="宋体" w:hAnsi="宋体" w:eastAsia="宋体" w:cs="宋体"/>
                <w:color w:val="auto"/>
                <w:kern w:val="0"/>
                <w:szCs w:val="21"/>
                <w:highlight w:val="none"/>
                <w:u w:val="single"/>
              </w:rPr>
              <w:instrText xml:space="preserve"> AUTOTEXT  input236 \* MERGEFORMAT </w:instrText>
            </w:r>
            <w:r>
              <w:rPr>
                <w:rFonts w:hint="eastAsia" w:ascii="宋体" w:hAnsi="宋体" w:eastAsia="宋体" w:cs="宋体"/>
                <w:color w:val="auto"/>
                <w:kern w:val="0"/>
                <w:szCs w:val="21"/>
                <w:highlight w:val="none"/>
                <w:u w:val="single"/>
              </w:rPr>
              <w:fldChar w:fldCharType="end"/>
            </w:r>
          </w:p>
          <w:p>
            <w:pPr>
              <w:topLinePunct/>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注：提交二次报价文件截止时间为定标会开始时间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14" w:type="dxa"/>
            <w:vMerge w:val="continue"/>
            <w:tcBorders>
              <w:left w:val="single" w:color="auto" w:sz="4" w:space="0"/>
              <w:right w:val="single" w:color="auto" w:sz="4" w:space="0"/>
            </w:tcBorders>
            <w:vAlign w:val="center"/>
          </w:tcPr>
          <w:p>
            <w:pPr>
              <w:spacing w:line="360" w:lineRule="auto"/>
              <w:ind w:firstLine="210" w:firstLineChars="100"/>
              <w:rPr>
                <w:rFonts w:hint="eastAsia" w:ascii="宋体" w:hAnsi="宋体" w:eastAsia="宋体" w:cs="宋体"/>
                <w:szCs w:val="21"/>
                <w:highlight w:val="none"/>
              </w:rPr>
            </w:pPr>
          </w:p>
        </w:tc>
        <w:tc>
          <w:tcPr>
            <w:tcW w:w="1864" w:type="dxa"/>
            <w:vMerge w:val="continue"/>
            <w:tcBorders>
              <w:left w:val="single" w:color="auto" w:sz="4" w:space="0"/>
              <w:right w:val="single" w:color="auto" w:sz="4" w:space="0"/>
            </w:tcBorders>
            <w:vAlign w:val="center"/>
          </w:tcPr>
          <w:p>
            <w:pPr>
              <w:topLinePunct/>
              <w:adjustRightInd w:val="0"/>
              <w:snapToGrid w:val="0"/>
              <w:jc w:val="center"/>
              <w:rPr>
                <w:rFonts w:hint="eastAsia" w:ascii="宋体" w:hAnsi="宋体" w:eastAsia="宋体" w:cs="宋体"/>
                <w:szCs w:val="21"/>
                <w:highlight w:val="none"/>
              </w:rPr>
            </w:pPr>
          </w:p>
        </w:tc>
        <w:tc>
          <w:tcPr>
            <w:tcW w:w="697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rPr>
                <w:rFonts w:hint="eastAsia" w:ascii="宋体" w:hAnsi="宋体" w:eastAsia="宋体" w:cs="宋体"/>
                <w:color w:val="auto"/>
                <w:kern w:val="0"/>
                <w:szCs w:val="21"/>
                <w:highlight w:val="none"/>
                <w:u w:val="single"/>
              </w:rPr>
            </w:pP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AUTOTEXT  input166 \* MERGEFORMAT</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票决抽签定标法：进入抽签环节的投标人数量（N）</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Cs w:val="21"/>
                <w:highlight w:val="none"/>
                <w:u w:val="single"/>
              </w:rPr>
              <w:fldChar w:fldCharType="begin"/>
            </w:r>
            <w:r>
              <w:rPr>
                <w:rFonts w:hint="eastAsia" w:ascii="宋体" w:hAnsi="宋体" w:eastAsia="宋体" w:cs="宋体"/>
                <w:color w:val="auto"/>
                <w:kern w:val="0"/>
                <w:szCs w:val="21"/>
                <w:highlight w:val="none"/>
                <w:u w:val="single"/>
              </w:rPr>
              <w:instrText xml:space="preserve"> AUTOTEXT  input177 \* MERGEFORMAT </w:instrText>
            </w:r>
            <w:r>
              <w:rPr>
                <w:rFonts w:hint="eastAsia" w:ascii="宋体" w:hAnsi="宋体" w:eastAsia="宋体" w:cs="宋体"/>
                <w:color w:val="auto"/>
                <w:kern w:val="0"/>
                <w:szCs w:val="21"/>
                <w:highlight w:val="none"/>
                <w:u w:val="single"/>
              </w:rPr>
              <w:fldChar w:fldCharType="end"/>
            </w:r>
          </w:p>
          <w:p>
            <w:pPr>
              <w:topLinePunct/>
              <w:adjustRightInd w:val="0"/>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票决方式：</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input267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 xml:space="preserve">简单多数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input268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 xml:space="preserve">简单多数（且过半数）     </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input269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对比胜出</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抽签方式：</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input270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szCs w:val="21"/>
                <w:highlight w:val="none"/>
              </w:rPr>
              <w:t>80</w:t>
            </w:r>
            <w:r>
              <w:rPr>
                <w:rFonts w:hint="eastAsia" w:ascii="宋体" w:hAnsi="宋体" w:eastAsia="宋体" w:cs="宋体"/>
                <w:color w:val="auto"/>
                <w:kern w:val="0"/>
                <w:szCs w:val="21"/>
                <w:highlight w:val="none"/>
              </w:rPr>
              <w:t>个</w:t>
            </w:r>
            <w:r>
              <w:rPr>
                <w:rFonts w:hint="eastAsia" w:ascii="宋体" w:hAnsi="宋体" w:eastAsia="宋体" w:cs="宋体"/>
                <w:color w:val="auto"/>
                <w:szCs w:val="21"/>
                <w:highlight w:val="none"/>
              </w:rPr>
              <w:t>号码    □N个号码</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排序方式：</w:t>
            </w:r>
          </w:p>
          <w:p>
            <w:pPr>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input272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投标报价</w:t>
            </w:r>
            <w:r>
              <w:rPr>
                <w:rFonts w:hint="eastAsia" w:ascii="宋体" w:hAnsi="宋体" w:eastAsia="宋体" w:cs="宋体"/>
                <w:color w:val="auto"/>
                <w:szCs w:val="21"/>
                <w:highlight w:val="none"/>
              </w:rPr>
              <w:t>由低往高    □</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input273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highlight w:val="none"/>
              </w:rPr>
              <w:t>提交投标文件时间的先后顺序</w:t>
            </w:r>
          </w:p>
          <w:p>
            <w:pPr>
              <w:pStyle w:val="32"/>
              <w:topLinePunct/>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1"/>
                <w:highlight w:val="none"/>
              </w:rPr>
              <w:t>注：定标委员会可票决确定3家或以上中标候选人进入抽签环节（如需确定多名中标候选人的，进入抽签环节的投标人数量应当≥中标候选人数量+2）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14" w:type="dxa"/>
            <w:vMerge w:val="continue"/>
            <w:tcBorders>
              <w:left w:val="single" w:color="auto" w:sz="4" w:space="0"/>
              <w:right w:val="single" w:color="auto" w:sz="4" w:space="0"/>
            </w:tcBorders>
            <w:vAlign w:val="center"/>
          </w:tcPr>
          <w:p>
            <w:pPr>
              <w:spacing w:line="360" w:lineRule="auto"/>
              <w:ind w:firstLine="210" w:firstLineChars="100"/>
              <w:rPr>
                <w:rFonts w:hint="eastAsia" w:ascii="宋体" w:hAnsi="宋体" w:eastAsia="宋体" w:cs="宋体"/>
                <w:szCs w:val="21"/>
                <w:highlight w:val="none"/>
              </w:rPr>
            </w:pPr>
          </w:p>
        </w:tc>
        <w:tc>
          <w:tcPr>
            <w:tcW w:w="1864" w:type="dxa"/>
            <w:vMerge w:val="continue"/>
            <w:tcBorders>
              <w:left w:val="single" w:color="auto" w:sz="4" w:space="0"/>
              <w:right w:val="single" w:color="auto" w:sz="4" w:space="0"/>
            </w:tcBorders>
            <w:vAlign w:val="center"/>
          </w:tcPr>
          <w:p>
            <w:pPr>
              <w:topLinePunct/>
              <w:adjustRightInd w:val="0"/>
              <w:snapToGrid w:val="0"/>
              <w:jc w:val="center"/>
              <w:rPr>
                <w:rFonts w:hint="eastAsia" w:ascii="宋体" w:hAnsi="宋体" w:eastAsia="宋体" w:cs="宋体"/>
                <w:szCs w:val="21"/>
                <w:highlight w:val="none"/>
              </w:rPr>
            </w:pPr>
          </w:p>
        </w:tc>
        <w:tc>
          <w:tcPr>
            <w:tcW w:w="697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AUTOTEXT  input167 \* MERGEFORMAT</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集体议事定标法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14" w:type="dxa"/>
            <w:vMerge w:val="continue"/>
            <w:tcBorders>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eastAsia="宋体" w:cs="宋体"/>
                <w:szCs w:val="21"/>
                <w:highlight w:val="none"/>
              </w:rPr>
            </w:pPr>
          </w:p>
        </w:tc>
        <w:tc>
          <w:tcPr>
            <w:tcW w:w="1864" w:type="dxa"/>
            <w:vMerge w:val="continue"/>
            <w:tcBorders>
              <w:left w:val="single" w:color="auto" w:sz="4" w:space="0"/>
              <w:bottom w:val="single" w:color="auto" w:sz="4" w:space="0"/>
              <w:right w:val="single" w:color="auto" w:sz="4" w:space="0"/>
            </w:tcBorders>
            <w:vAlign w:val="center"/>
          </w:tcPr>
          <w:p>
            <w:pPr>
              <w:topLinePunct/>
              <w:adjustRightInd w:val="0"/>
              <w:snapToGrid w:val="0"/>
              <w:jc w:val="center"/>
              <w:rPr>
                <w:rFonts w:hint="eastAsia" w:ascii="宋体" w:hAnsi="宋体" w:eastAsia="宋体" w:cs="宋体"/>
                <w:szCs w:val="21"/>
                <w:highlight w:val="none"/>
              </w:rPr>
            </w:pPr>
          </w:p>
        </w:tc>
        <w:tc>
          <w:tcPr>
            <w:tcW w:w="697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AUTOTEXT  input114 \* MERGEFORMAT </w:instrTex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经建设、交通主管部门批准的其它方法：</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Cs w:val="21"/>
                <w:highlight w:val="none"/>
                <w:u w:val="single"/>
              </w:rPr>
              <w:fldChar w:fldCharType="begin"/>
            </w:r>
            <w:r>
              <w:rPr>
                <w:rFonts w:hint="eastAsia" w:ascii="宋体" w:hAnsi="宋体" w:eastAsia="宋体" w:cs="宋体"/>
                <w:color w:val="auto"/>
                <w:kern w:val="0"/>
                <w:szCs w:val="21"/>
                <w:highlight w:val="none"/>
                <w:u w:val="single"/>
              </w:rPr>
              <w:instrText xml:space="preserve"> AUTOTEXT  input115 \* MERGEFORMAT </w:instrText>
            </w:r>
            <w:r>
              <w:rPr>
                <w:rFonts w:hint="eastAsia" w:ascii="宋体" w:hAnsi="宋体" w:eastAsia="宋体" w:cs="宋体"/>
                <w:color w:val="auto"/>
                <w:kern w:val="0"/>
                <w:szCs w:val="21"/>
                <w:highlight w:val="none"/>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1</w:t>
            </w:r>
          </w:p>
        </w:tc>
        <w:tc>
          <w:tcPr>
            <w:tcW w:w="1864"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jc w:val="center"/>
              <w:rPr>
                <w:rFonts w:hint="eastAsia" w:ascii="宋体" w:hAnsi="宋体" w:eastAsia="宋体" w:cs="宋体"/>
                <w:szCs w:val="21"/>
                <w:highlight w:val="none"/>
              </w:rPr>
            </w:pPr>
            <w:r>
              <w:rPr>
                <w:rFonts w:hint="eastAsia" w:ascii="宋体" w:hAnsi="宋体" w:eastAsia="宋体" w:cs="宋体"/>
                <w:kern w:val="0"/>
                <w:szCs w:val="21"/>
                <w:highlight w:val="none"/>
              </w:rPr>
              <w:t>定标工作规则</w:t>
            </w:r>
          </w:p>
        </w:tc>
        <w:tc>
          <w:tcPr>
            <w:tcW w:w="69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autoSpaceDE/>
              <w:autoSpaceDN/>
              <w:bidi w:val="0"/>
              <w:adjustRightInd w:val="0"/>
              <w:snapToGrid w:val="0"/>
              <w:spacing w:line="360" w:lineRule="auto"/>
              <w:textAlignment w:val="auto"/>
              <w:rPr>
                <w:rFonts w:hint="eastAsia" w:ascii="宋体" w:hAnsi="宋体" w:eastAsia="宋体" w:cs="宋体"/>
                <w:color w:val="auto"/>
                <w:highlight w:val="none"/>
                <w:u w:val="single"/>
              </w:rPr>
            </w:pPr>
            <w:r>
              <w:rPr>
                <w:rFonts w:hint="eastAsia" w:ascii="宋体" w:hAnsi="宋体" w:eastAsia="宋体" w:cs="宋体"/>
                <w:color w:val="auto"/>
                <w:kern w:val="0"/>
                <w:szCs w:val="21"/>
                <w:highlight w:val="none"/>
              </w:rPr>
              <w:t>定标工作规则：</w:t>
            </w:r>
            <w:r>
              <w:rPr>
                <w:rFonts w:hint="eastAsia" w:ascii="宋体" w:hAnsi="宋体" w:eastAsia="宋体" w:cs="宋体"/>
                <w:color w:val="auto"/>
                <w:highlight w:val="none"/>
                <w:u w:val="single"/>
              </w:rPr>
              <w:cr/>
            </w:r>
            <w:r>
              <w:rPr>
                <w:rFonts w:hint="eastAsia" w:ascii="宋体" w:hAnsi="宋体" w:eastAsia="宋体" w:cs="宋体"/>
                <w:color w:val="auto"/>
                <w:highlight w:val="none"/>
                <w:u w:val="single"/>
              </w:rPr>
              <w:t>（1）定标方法：二次竞价定标法</w:t>
            </w:r>
            <w:r>
              <w:rPr>
                <w:rFonts w:hint="eastAsia" w:ascii="宋体" w:hAnsi="宋体" w:eastAsia="宋体" w:cs="宋体"/>
                <w:color w:val="auto"/>
                <w:highlight w:val="none"/>
                <w:u w:val="single"/>
              </w:rPr>
              <w:cr/>
            </w:r>
            <w:r>
              <w:rPr>
                <w:rFonts w:hint="eastAsia" w:ascii="宋体" w:hAnsi="宋体" w:eastAsia="宋体" w:cs="宋体"/>
                <w:color w:val="auto"/>
                <w:highlight w:val="none"/>
                <w:u w:val="single"/>
              </w:rPr>
              <w:t>（2）定标流程：</w:t>
            </w:r>
            <w:r>
              <w:rPr>
                <w:rFonts w:hint="eastAsia" w:ascii="宋体" w:hAnsi="宋体" w:eastAsia="宋体" w:cs="宋体"/>
                <w:color w:val="auto"/>
                <w:highlight w:val="none"/>
                <w:u w:val="single"/>
              </w:rPr>
              <w:cr/>
            </w:r>
            <w:r>
              <w:rPr>
                <w:rFonts w:hint="eastAsia" w:ascii="宋体" w:hAnsi="宋体" w:eastAsia="宋体" w:cs="宋体"/>
                <w:color w:val="auto"/>
                <w:highlight w:val="none"/>
                <w:u w:val="single"/>
              </w:rPr>
              <w:t>①第一轮票决：定标委员会通过票决（简单多数）方式推荐3家投标人进入二次竞价环节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u w:val="single"/>
                <w:lang w:val="en-US" w:eastAsia="zh-CN" w:bidi="ar-SA"/>
              </w:rPr>
              <w:t>第一轮票决考虑因素：投标人综合实力、投标人财务状况、投标人同类项目业绩、一次投标报价等方面。</w:t>
            </w:r>
          </w:p>
          <w:p>
            <w:pPr>
              <w:topLinePunct/>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a.当定标候选人大于3家时，招标人组建的定标委员会在进入投票范围的投标人中，以每人投票支持3个投标人的方式，得票最多的3个投标人进入二次竞价环节。</w:t>
            </w:r>
          </w:p>
          <w:p>
            <w:pPr>
              <w:topLinePunct/>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计算规则：根据得票数的多少进行排名，在得票最多的投标人中选取规定数量的投标人。投票结果中排序出现并列情形的，在不影响票决家数总数的情况下不须再次投票，投票结果中并列排序影响到结果时，以继续票决的方式进行确定。</w:t>
            </w:r>
          </w:p>
          <w:p>
            <w:pPr>
              <w:topLinePunct/>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b.当定标候选人等于3家时，定标委员会票决全部定标候选人进入二次竞价环节</w:t>
            </w:r>
            <w:r>
              <w:rPr>
                <w:rFonts w:hint="eastAsia" w:ascii="宋体" w:hAnsi="宋体" w:eastAsia="宋体" w:cs="宋体"/>
                <w:b/>
                <w:color w:val="auto"/>
                <w:highlight w:val="none"/>
                <w:u w:val="single"/>
              </w:rPr>
              <w:t>（注：若本项目进行二次招标，且进入定标环节的投标单位不足3家时，仍按此定标流程进行定标工作）</w:t>
            </w:r>
            <w:r>
              <w:rPr>
                <w:rFonts w:hint="eastAsia" w:ascii="宋体" w:hAnsi="宋体" w:eastAsia="宋体" w:cs="宋体"/>
                <w:color w:val="auto"/>
                <w:highlight w:val="none"/>
                <w:u w:val="single"/>
              </w:rPr>
              <w:t>；</w:t>
            </w:r>
          </w:p>
          <w:p>
            <w:pPr>
              <w:topLinePunct/>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②二次竞价</w:t>
            </w:r>
          </w:p>
          <w:p>
            <w:pPr>
              <w:topLinePunct/>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进入二次竞价环节的定标候选人在收到定标会现场通知后，应在通知的规定时间内按照招标文件载明的要求递交二次报价文件，未按时递交二次报价文件或二次报价文件不符合招标文件要求的，招标人默认该定标候选人的第二次报价与其第一次报价相同。全部二次竞价投标人在招标人代表及监督委员会的见证下，统一开启所有二次报价文件。</w:t>
            </w:r>
          </w:p>
          <w:p>
            <w:pPr>
              <w:topLinePunct/>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递交二次报价文件的地点为召开定标会的会议地点，报价文件格式要求详见第</w:t>
            </w:r>
            <w:r>
              <w:rPr>
                <w:rFonts w:hint="eastAsia" w:ascii="宋体" w:hAnsi="宋体" w:eastAsia="宋体" w:cs="宋体"/>
                <w:color w:val="auto"/>
                <w:highlight w:val="none"/>
                <w:u w:val="single"/>
                <w:lang w:val="en-US" w:eastAsia="zh-CN"/>
              </w:rPr>
              <w:t>五</w:t>
            </w:r>
            <w:r>
              <w:rPr>
                <w:rFonts w:hint="eastAsia" w:ascii="宋体" w:hAnsi="宋体" w:eastAsia="宋体" w:cs="宋体"/>
                <w:color w:val="auto"/>
                <w:highlight w:val="none"/>
                <w:u w:val="single"/>
              </w:rPr>
              <w:t>章 投标文件格式“二次报价文件”，需提供1正1副及1份电子版（U盘）（包含1份Excel版本清单报价文件、1份盖章版清单报价文件原件扫描件），加盖投标人单位公章并密封后递交，若正副本不一致的，以正本为准，若电子版与纸质件不一致的，以纸质件正本为准；若Excel版本与盖章版不一致，以盖章版为准。</w:t>
            </w:r>
          </w:p>
          <w:p>
            <w:pPr>
              <w:topLinePunct/>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第二次投标报价将作为投标人的最终投标报价，且不得低于成本。第二次投标报价以该单位第一次投标报价为上限，若第二次报价超过第一次投标报价，视为该投标单位的第二次投标报价与其第一次投标报价相同。第二次报价比第一次投标报价总体下浮比例超过10%的，该投标人需提交报价下浮内容明细及保证供货质量说明承诺书。未提交二次报价文件或二次报价文件未加盖投标人单位公章或第二次报价比第一次投标报价总体下浮比例超过10%但未提供承诺书的，默认该投标单位的第二次投标报价与其第一次投标报价相同。投标单位一旦中标，以该单位的第二次报价为本</w:t>
            </w:r>
            <w:r>
              <w:rPr>
                <w:rFonts w:hint="eastAsia" w:ascii="宋体" w:hAnsi="宋体" w:cs="宋体"/>
                <w:color w:val="auto"/>
                <w:highlight w:val="none"/>
                <w:u w:val="single"/>
                <w:lang w:val="en-US" w:eastAsia="zh-CN"/>
              </w:rPr>
              <w:t>项目</w:t>
            </w:r>
            <w:r>
              <w:rPr>
                <w:rFonts w:hint="eastAsia" w:ascii="宋体" w:hAnsi="宋体" w:eastAsia="宋体" w:cs="宋体"/>
                <w:color w:val="auto"/>
                <w:highlight w:val="none"/>
                <w:u w:val="single"/>
              </w:rPr>
              <w:t>的中标价。</w:t>
            </w:r>
          </w:p>
          <w:p>
            <w:pPr>
              <w:topLinePunct/>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③第二轮票决：定标委员会通过票决（简单多数）方式确定1名投标人为本项目中标候选人</w:t>
            </w:r>
          </w:p>
          <w:p>
            <w:pPr>
              <w:pStyle w:val="2"/>
              <w:ind w:left="0" w:leftChars="0" w:firstLine="0" w:firstLineChars="0"/>
              <w:rPr>
                <w:rFonts w:hint="eastAsia"/>
                <w:highlight w:val="none"/>
              </w:rPr>
            </w:pPr>
            <w:r>
              <w:rPr>
                <w:rFonts w:hint="eastAsia"/>
                <w:highlight w:val="none"/>
              </w:rPr>
              <w:t>第二轮票决考虑因素：投标人综合实力、投标人财务状况、投标人同类项目业绩、二次投标报价（如进行二次报价以二次报价为准，未进行二次报价则以一次报价为准）等要素综合考虑。</w:t>
            </w:r>
          </w:p>
          <w:p>
            <w:pPr>
              <w:topLinePunct/>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a.定标委员会应重点评估定标候选人的第二次投标报价，并结合定标考虑因素，票决确定1名中标候选人；</w:t>
            </w:r>
          </w:p>
          <w:p>
            <w:pPr>
              <w:topLinePunct/>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b.投票规则：招标人组建的定标委员会在进入投票范围的投标人中，以每人投票支持1个投标人的方式，得票最多的投标人为中标人。</w:t>
            </w:r>
          </w:p>
          <w:p>
            <w:pPr>
              <w:topLinePunct/>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计算规则：根据得票数的多少进行排名，推荐得票数最多的为中标人。投票结果中排序出现并列情形的，在不影响票决家数总数的情况下无须再次投票，投票结果中并列排序影响到结果时，以继续票决的方式进行确定。</w:t>
            </w:r>
          </w:p>
          <w:p>
            <w:pPr>
              <w:topLinePunct/>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u w:val="single"/>
              </w:rPr>
              <w:t>（3）定标原则：遵循公平、公正、择优、竞价、廉洁、保密、高效的原则。</w:t>
            </w:r>
            <w:r>
              <w:rPr>
                <w:rFonts w:hint="eastAsia" w:ascii="宋体" w:hAnsi="宋体" w:eastAsia="宋体" w:cs="宋体"/>
                <w:color w:val="auto"/>
                <w:kern w:val="0"/>
                <w:szCs w:val="21"/>
                <w:highlight w:val="none"/>
                <w:u w:val="single"/>
              </w:rPr>
              <w:fldChar w:fldCharType="begin"/>
            </w:r>
            <w:r>
              <w:rPr>
                <w:rFonts w:hint="eastAsia" w:ascii="宋体" w:hAnsi="宋体" w:eastAsia="宋体" w:cs="宋体"/>
                <w:color w:val="auto"/>
                <w:kern w:val="0"/>
                <w:szCs w:val="21"/>
                <w:highlight w:val="none"/>
                <w:u w:val="single"/>
              </w:rPr>
              <w:instrText xml:space="preserve"> AUTOTEXT  input261 \* MERGEFORMAT </w:instrText>
            </w:r>
            <w:r>
              <w:rPr>
                <w:rFonts w:hint="eastAsia" w:ascii="宋体" w:hAnsi="宋体" w:eastAsia="宋体" w:cs="宋体"/>
                <w:color w:val="auto"/>
                <w:kern w:val="0"/>
                <w:szCs w:val="21"/>
                <w:highlight w:val="none"/>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22</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是否退还投标文件</w:t>
            </w:r>
          </w:p>
        </w:tc>
        <w:tc>
          <w:tcPr>
            <w:tcW w:w="697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23</w:t>
            </w:r>
          </w:p>
        </w:tc>
        <w:tc>
          <w:tcPr>
            <w:tcW w:w="1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签订合同</w:t>
            </w:r>
          </w:p>
        </w:tc>
        <w:tc>
          <w:tcPr>
            <w:tcW w:w="69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1、自中标通知书发出之日起30日内；</w:t>
            </w:r>
          </w:p>
          <w:p>
            <w:pPr>
              <w:adjustRightInd w:val="0"/>
              <w:snapToGrid w:val="0"/>
              <w:spacing w:before="156" w:beforeLines="50"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2、中标人须与招标人签订合同。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24</w:t>
            </w:r>
          </w:p>
        </w:tc>
        <w:tc>
          <w:tcPr>
            <w:tcW w:w="1864"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其他投标条件</w:t>
            </w:r>
          </w:p>
        </w:tc>
        <w:tc>
          <w:tcPr>
            <w:tcW w:w="6973"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240" w:lineRule="auto"/>
              <w:ind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、因违反工程建设法律法规和安全生产管理规定而受到建设行政主管部门红色警示的企业，在红色警示期间，不接受其参与本次招标工程的投标；</w:t>
            </w:r>
          </w:p>
          <w:p>
            <w:pPr>
              <w:tabs>
                <w:tab w:val="left" w:pos="7560"/>
              </w:tabs>
              <w:spacing w:line="240" w:lineRule="auto"/>
              <w:ind w:firstLine="0" w:firstLine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、根据《深圳市人民政府印发&lt;关于建设工程招标投标改革若干规定&gt;的通知》（深府[2015]73号）规定，有下列情形之一的投标人或者从业人员不得参与投标：</w:t>
            </w:r>
          </w:p>
          <w:p>
            <w:pPr>
              <w:tabs>
                <w:tab w:val="left" w:pos="7560"/>
              </w:tabs>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①近3年内（从招标公告发布之日起倒算）投标人或者其法定代表人有行贿犯罪记录的。</w:t>
            </w:r>
          </w:p>
          <w:p>
            <w:pPr>
              <w:tabs>
                <w:tab w:val="left" w:pos="7560"/>
              </w:tabs>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②近1年内（从截标之日起倒算）因串通投标、转包、以他人名义投标或者违法分包等违法行为受到建设、交通或者财政部门行政处罚的。</w:t>
            </w:r>
          </w:p>
          <w:p>
            <w:pPr>
              <w:tabs>
                <w:tab w:val="left" w:pos="7560"/>
              </w:tabs>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③因违反工程质量、安全生产管理规定等原因被建设部门给予红色警示且在警示期内的。</w:t>
            </w:r>
          </w:p>
          <w:p>
            <w:pPr>
              <w:tabs>
                <w:tab w:val="left" w:pos="7560"/>
              </w:tabs>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④拖欠工人工资被有关部门责令改正而未改正的。</w:t>
            </w:r>
          </w:p>
          <w:p>
            <w:pPr>
              <w:tabs>
                <w:tab w:val="left" w:pos="7560"/>
              </w:tabs>
              <w:spacing w:line="240" w:lineRule="auto"/>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⑤应当拒绝投标的其他情形。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25</w:t>
            </w:r>
          </w:p>
        </w:tc>
        <w:tc>
          <w:tcPr>
            <w:tcW w:w="1864"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24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rPr>
              <w:t>二次报价文件递交说明</w:t>
            </w:r>
          </w:p>
        </w:tc>
        <w:tc>
          <w:tcPr>
            <w:tcW w:w="6973" w:type="dxa"/>
            <w:tcBorders>
              <w:top w:val="single" w:color="auto" w:sz="4" w:space="0"/>
              <w:left w:val="single" w:color="auto" w:sz="4" w:space="0"/>
              <w:bottom w:val="single" w:color="auto" w:sz="4" w:space="0"/>
              <w:right w:val="single" w:color="auto" w:sz="4" w:space="0"/>
            </w:tcBorders>
            <w:vAlign w:val="center"/>
          </w:tcPr>
          <w:p>
            <w:pPr>
              <w:pStyle w:val="32"/>
              <w:spacing w:line="240" w:lineRule="auto"/>
              <w:rPr>
                <w:rFonts w:hAnsi="宋体" w:cs="宋体"/>
                <w:sz w:val="21"/>
                <w:szCs w:val="21"/>
                <w:highlight w:val="none"/>
              </w:rPr>
            </w:pPr>
            <w:r>
              <w:rPr>
                <w:rFonts w:hAnsi="宋体" w:cs="宋体"/>
                <w:sz w:val="21"/>
                <w:szCs w:val="21"/>
                <w:highlight w:val="none"/>
              </w:rPr>
              <w:t>1、定标会议地点及时间：</w:t>
            </w:r>
            <w:r>
              <w:rPr>
                <w:rFonts w:hint="eastAsia" w:hAnsi="宋体" w:cs="宋体"/>
                <w:bCs/>
                <w:sz w:val="21"/>
                <w:szCs w:val="21"/>
                <w:highlight w:val="none"/>
              </w:rPr>
              <w:t>深圳市福田区深南中路1019号万德大厦</w:t>
            </w:r>
            <w:r>
              <w:rPr>
                <w:rFonts w:hint="eastAsia" w:hAnsi="宋体" w:cs="宋体"/>
                <w:sz w:val="21"/>
                <w:szCs w:val="21"/>
                <w:highlight w:val="none"/>
              </w:rPr>
              <w:t>，时间另行通知。</w:t>
            </w:r>
          </w:p>
          <w:p>
            <w:pPr>
              <w:pStyle w:val="32"/>
              <w:spacing w:line="240" w:lineRule="auto"/>
              <w:rPr>
                <w:rFonts w:hAnsi="宋体" w:cs="宋体"/>
                <w:sz w:val="21"/>
                <w:szCs w:val="21"/>
                <w:highlight w:val="none"/>
              </w:rPr>
            </w:pPr>
            <w:r>
              <w:rPr>
                <w:rFonts w:hAnsi="宋体" w:cs="宋体"/>
                <w:sz w:val="21"/>
                <w:szCs w:val="21"/>
                <w:highlight w:val="none"/>
              </w:rPr>
              <w:t>2、二次报价文件递交：进入二次竞价环节的定标候选人在收到</w:t>
            </w:r>
            <w:r>
              <w:rPr>
                <w:rFonts w:hint="eastAsia" w:hAnsi="宋体" w:cs="宋体"/>
                <w:sz w:val="21"/>
                <w:szCs w:val="21"/>
                <w:highlight w:val="none"/>
                <w:lang w:val="en-US" w:eastAsia="zh-CN"/>
              </w:rPr>
              <w:t>招标人（或招标代理）递交二次报价文件</w:t>
            </w:r>
            <w:r>
              <w:rPr>
                <w:rFonts w:hAnsi="宋体" w:cs="宋体"/>
                <w:sz w:val="21"/>
                <w:szCs w:val="21"/>
                <w:highlight w:val="none"/>
              </w:rPr>
              <w:t>通知后，应在通知的规定时间按照招标文件载明的要求递交二次报价文件，递交二次报价文件的地点为召开定标会的会议地点。</w:t>
            </w:r>
          </w:p>
          <w:p>
            <w:pPr>
              <w:pStyle w:val="32"/>
              <w:spacing w:line="240" w:lineRule="auto"/>
              <w:rPr>
                <w:rFonts w:hAnsi="宋体" w:cs="宋体"/>
                <w:sz w:val="21"/>
                <w:szCs w:val="21"/>
                <w:highlight w:val="none"/>
              </w:rPr>
            </w:pPr>
            <w:r>
              <w:rPr>
                <w:rFonts w:hAnsi="宋体" w:cs="宋体"/>
                <w:sz w:val="21"/>
                <w:szCs w:val="21"/>
                <w:highlight w:val="none"/>
              </w:rPr>
              <w:t>注：</w:t>
            </w:r>
          </w:p>
          <w:p>
            <w:pPr>
              <w:pStyle w:val="32"/>
              <w:spacing w:line="240" w:lineRule="auto"/>
              <w:rPr>
                <w:rFonts w:hAnsi="宋体" w:cs="宋体"/>
                <w:sz w:val="21"/>
                <w:szCs w:val="21"/>
                <w:highlight w:val="none"/>
              </w:rPr>
            </w:pPr>
            <w:r>
              <w:rPr>
                <w:rFonts w:hAnsi="宋体" w:cs="宋体"/>
                <w:sz w:val="21"/>
                <w:szCs w:val="21"/>
                <w:highlight w:val="none"/>
              </w:rPr>
              <w:t>①进入第二次竞价环节的定标候选人在收到定标会现场通知后，应在通知规定时间按照招标文件载明的要求递交二次报价文件，未按时递交二次报价文件或二次报价文件不符合招标文件要求的，招标人默认该定标候选人的二次报价与其一次提交的投标报价相同。全部进入二次竞价环节定标候选人提交的竞价文件在招标人代表及监督委员会的见证由现场工作人员统一开启；</w:t>
            </w:r>
          </w:p>
          <w:p>
            <w:pPr>
              <w:pStyle w:val="32"/>
              <w:spacing w:line="240" w:lineRule="auto"/>
              <w:rPr>
                <w:rFonts w:hAnsi="宋体" w:cs="宋体"/>
                <w:sz w:val="21"/>
                <w:szCs w:val="21"/>
                <w:highlight w:val="none"/>
              </w:rPr>
            </w:pPr>
            <w:r>
              <w:rPr>
                <w:rFonts w:hAnsi="宋体" w:cs="宋体"/>
                <w:sz w:val="21"/>
                <w:szCs w:val="21"/>
                <w:highlight w:val="none"/>
              </w:rPr>
              <w:t>②递交二次报价文件的地点为召开定标会的会议地点，报价文件格式要求详见第</w:t>
            </w:r>
            <w:r>
              <w:rPr>
                <w:rFonts w:hint="eastAsia" w:hAnsi="宋体" w:cs="宋体"/>
                <w:sz w:val="21"/>
                <w:szCs w:val="21"/>
                <w:highlight w:val="none"/>
              </w:rPr>
              <w:t>六</w:t>
            </w:r>
            <w:r>
              <w:rPr>
                <w:rFonts w:hAnsi="宋体" w:cs="宋体"/>
                <w:sz w:val="21"/>
                <w:szCs w:val="21"/>
                <w:highlight w:val="none"/>
              </w:rPr>
              <w:t>章“二次报价文件”格式，需提供纸质文件正副本各1份及1份电子版（U盘）（包含1份Excel版本清单报价文件、1份盖章版</w:t>
            </w:r>
            <w:r>
              <w:rPr>
                <w:rFonts w:hint="eastAsia" w:hAnsi="宋体" w:cs="宋体"/>
                <w:sz w:val="21"/>
                <w:szCs w:val="21"/>
                <w:highlight w:val="none"/>
              </w:rPr>
              <w:t>投标报价一览表及报价明细表文件原件扫描件</w:t>
            </w:r>
            <w:r>
              <w:rPr>
                <w:rFonts w:hAnsi="宋体" w:cs="宋体"/>
                <w:sz w:val="21"/>
                <w:szCs w:val="21"/>
                <w:highlight w:val="none"/>
              </w:rPr>
              <w:t>），加盖投标人单位公章并密封后递交，若正副本不一致的，以正本为准，若电子版与纸质件不一致的，以纸质件正本为准；若Excel版本与盖章版不一致，以盖章版为准；</w:t>
            </w:r>
          </w:p>
          <w:p>
            <w:pPr>
              <w:pStyle w:val="32"/>
              <w:spacing w:line="240" w:lineRule="auto"/>
              <w:rPr>
                <w:rFonts w:hAnsi="宋体" w:cs="宋体"/>
                <w:sz w:val="21"/>
                <w:szCs w:val="21"/>
                <w:highlight w:val="none"/>
              </w:rPr>
            </w:pPr>
            <w:r>
              <w:rPr>
                <w:rFonts w:hAnsi="宋体" w:cs="宋体"/>
                <w:sz w:val="21"/>
                <w:szCs w:val="21"/>
                <w:highlight w:val="none"/>
              </w:rPr>
              <w:t>③第二次投标报价将作为投标人的最终投标报价，且不得低于成本。第二次投标报价以该单位第一次投标报价为上限，若第二次报价超过第一次投标报价，视为该投标单位的第二次投标报价与其第一次投标报价相同。第二次投标报价比第一次投标报价总体下浮比例超过10%的，该投标人需提交报价下浮内容明细及保证</w:t>
            </w:r>
            <w:r>
              <w:rPr>
                <w:rFonts w:hint="eastAsia" w:hAnsi="宋体" w:cs="宋体"/>
                <w:sz w:val="21"/>
                <w:szCs w:val="21"/>
                <w:highlight w:val="none"/>
              </w:rPr>
              <w:t>货物</w:t>
            </w:r>
            <w:r>
              <w:rPr>
                <w:rFonts w:hAnsi="宋体" w:cs="宋体"/>
                <w:sz w:val="21"/>
                <w:szCs w:val="21"/>
                <w:highlight w:val="none"/>
              </w:rPr>
              <w:t>质量说明承诺书。未提交第二次报价文件或第二次报价文件未加盖投标人单位公章或第二次报价比第一次投标报价总体下浮比例超过10%但未提供承诺书的，默认该投标单位的第二次投标报价与其第一次投标报价相同。投标单位一旦中标，以该单位的第二次报价为本项目的中标价。</w:t>
            </w:r>
          </w:p>
          <w:p>
            <w:pPr>
              <w:pStyle w:val="32"/>
              <w:spacing w:line="240" w:lineRule="auto"/>
              <w:rPr>
                <w:rFonts w:hAnsi="宋体" w:cs="宋体"/>
                <w:sz w:val="21"/>
                <w:szCs w:val="21"/>
                <w:highlight w:val="none"/>
              </w:rPr>
            </w:pPr>
            <w:r>
              <w:rPr>
                <w:rFonts w:hAnsi="宋体" w:cs="宋体"/>
                <w:sz w:val="21"/>
                <w:szCs w:val="21"/>
                <w:highlight w:val="none"/>
              </w:rPr>
              <w:t>④递交二次报价文件的投标单位代表需另外携带法定代表人证明书、法定代表人授权委托书、法定代表人身份证复印件、被授权委托人身份证复印件，否则不予接收。</w:t>
            </w:r>
          </w:p>
          <w:p>
            <w:pPr>
              <w:pStyle w:val="32"/>
              <w:spacing w:line="240" w:lineRule="auto"/>
              <w:rPr>
                <w:rFonts w:hAnsi="宋体" w:cs="宋体"/>
                <w:sz w:val="21"/>
                <w:szCs w:val="21"/>
                <w:highlight w:val="none"/>
              </w:rPr>
            </w:pPr>
            <w:r>
              <w:rPr>
                <w:rFonts w:hAnsi="宋体" w:cs="宋体"/>
                <w:sz w:val="21"/>
                <w:szCs w:val="21"/>
                <w:highlight w:val="none"/>
              </w:rPr>
              <w:t>⑤招标人不承诺将合同授予报价最低的投标人。</w:t>
            </w:r>
          </w:p>
          <w:p>
            <w:pPr>
              <w:tabs>
                <w:tab w:val="left" w:pos="7560"/>
              </w:tabs>
              <w:spacing w:line="240" w:lineRule="auto"/>
              <w:ind w:firstLine="0" w:firstLineChars="0"/>
              <w:rPr>
                <w:rFonts w:hint="eastAsia" w:ascii="宋体" w:hAnsi="宋体" w:eastAsia="宋体" w:cs="宋体"/>
                <w:sz w:val="21"/>
                <w:szCs w:val="21"/>
                <w:highlight w:val="none"/>
              </w:rPr>
            </w:pPr>
            <w:r>
              <w:rPr>
                <w:rFonts w:hAnsi="宋体" w:cs="宋体"/>
                <w:sz w:val="21"/>
                <w:szCs w:val="21"/>
                <w:highlight w:val="none"/>
              </w:rPr>
              <w:t>⑥第二次报价和第一次投标报价均为含税价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240" w:lineRule="auto"/>
              <w:ind w:firstLine="0" w:firstLineChars="0"/>
              <w:jc w:val="center"/>
              <w:rPr>
                <w:rFonts w:hint="default" w:ascii="宋体" w:hAnsi="宋体" w:eastAsia="宋体" w:cs="宋体"/>
                <w:szCs w:val="21"/>
                <w:highlight w:val="none"/>
                <w:lang w:val="en-US" w:eastAsia="zh-CN"/>
              </w:rPr>
            </w:pPr>
            <w:r>
              <w:rPr>
                <w:rFonts w:hint="eastAsia" w:ascii="宋体" w:hAnsi="宋体" w:eastAsia="宋体" w:cs="宋体"/>
                <w:szCs w:val="24"/>
                <w:highlight w:val="none"/>
                <w:lang w:val="en-US" w:eastAsia="zh-CN"/>
              </w:rPr>
              <w:t>2</w:t>
            </w:r>
            <w:r>
              <w:rPr>
                <w:rFonts w:hint="eastAsia" w:ascii="宋体" w:hAnsi="宋体" w:cs="宋体"/>
                <w:szCs w:val="24"/>
                <w:highlight w:val="none"/>
                <w:lang w:val="en-US" w:eastAsia="zh-CN"/>
              </w:rPr>
              <w:t>6</w:t>
            </w:r>
          </w:p>
        </w:tc>
        <w:tc>
          <w:tcPr>
            <w:tcW w:w="1864"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中标服务费</w:t>
            </w:r>
          </w:p>
        </w:tc>
        <w:tc>
          <w:tcPr>
            <w:tcW w:w="6973" w:type="dxa"/>
            <w:tcBorders>
              <w:top w:val="single" w:color="auto" w:sz="4" w:space="0"/>
              <w:left w:val="single" w:color="auto" w:sz="4" w:space="0"/>
              <w:bottom w:val="single" w:color="auto" w:sz="4" w:space="0"/>
              <w:right w:val="single" w:color="auto" w:sz="4" w:space="0"/>
            </w:tcBorders>
            <w:vAlign w:val="center"/>
          </w:tcPr>
          <w:p>
            <w:pPr>
              <w:tabs>
                <w:tab w:val="left" w:pos="7560"/>
              </w:tabs>
              <w:spacing w:line="240" w:lineRule="auto"/>
              <w:ind w:firstLine="0" w:firstLineChars="0"/>
              <w:rPr>
                <w:rFonts w:hint="eastAsia" w:ascii="宋体" w:hAnsi="宋体" w:eastAsia="宋体" w:cs="宋体"/>
                <w:szCs w:val="24"/>
                <w:highlight w:val="none"/>
              </w:rPr>
            </w:pPr>
            <w:r>
              <w:rPr>
                <w:rFonts w:hint="eastAsia" w:ascii="宋体" w:hAnsi="宋体" w:eastAsia="宋体" w:cs="宋体"/>
                <w:szCs w:val="24"/>
                <w:highlight w:val="none"/>
              </w:rPr>
              <w:t>1、本项目中标服务费由中标人支付，中标人须在中标公告公示期结束后，领取中标通知书前，向招标代理一次性缴纳招标中标服务费。</w:t>
            </w:r>
          </w:p>
          <w:p>
            <w:pPr>
              <w:tabs>
                <w:tab w:val="left" w:pos="7560"/>
              </w:tabs>
              <w:spacing w:line="240" w:lineRule="auto"/>
              <w:ind w:firstLine="0" w:firstLineChars="0"/>
              <w:rPr>
                <w:rFonts w:hint="eastAsia" w:ascii="宋体" w:hAnsi="宋体" w:eastAsia="宋体" w:cs="宋体"/>
                <w:szCs w:val="24"/>
                <w:highlight w:val="none"/>
              </w:rPr>
            </w:pPr>
            <w:r>
              <w:rPr>
                <w:rFonts w:hint="eastAsia" w:ascii="宋体" w:hAnsi="宋体" w:eastAsia="宋体" w:cs="宋体"/>
                <w:szCs w:val="24"/>
                <w:highlight w:val="none"/>
              </w:rPr>
              <w:t>2、中标服务费为招标代理费</w:t>
            </w:r>
            <w:r>
              <w:rPr>
                <w:rFonts w:hint="eastAsia" w:ascii="宋体" w:hAnsi="宋体" w:eastAsia="宋体" w:cs="宋体"/>
                <w:szCs w:val="24"/>
                <w:highlight w:val="none"/>
                <w:lang w:eastAsia="zh-CN"/>
              </w:rPr>
              <w:t>、</w:t>
            </w:r>
            <w:r>
              <w:rPr>
                <w:rFonts w:hint="eastAsia" w:ascii="宋体" w:hAnsi="宋体" w:eastAsia="宋体" w:cs="宋体"/>
                <w:szCs w:val="24"/>
                <w:highlight w:val="none"/>
              </w:rPr>
              <w:t>定标专家服务费</w:t>
            </w:r>
            <w:r>
              <w:rPr>
                <w:rFonts w:hint="eastAsia" w:ascii="宋体" w:hAnsi="宋体" w:eastAsia="宋体" w:cs="宋体"/>
                <w:szCs w:val="24"/>
                <w:highlight w:val="none"/>
                <w:lang w:val="en-US" w:eastAsia="zh-CN"/>
              </w:rPr>
              <w:t>和</w:t>
            </w:r>
            <w:r>
              <w:rPr>
                <w:rFonts w:hint="eastAsia" w:ascii="宋体" w:hAnsi="宋体" w:eastAsia="宋体" w:cs="宋体"/>
                <w:szCs w:val="24"/>
                <w:highlight w:val="none"/>
              </w:rPr>
              <w:t>交通费等之和，投标人投标报价时应考虑上述服务费用，招标人不另行支付。</w:t>
            </w:r>
          </w:p>
          <w:p>
            <w:pPr>
              <w:tabs>
                <w:tab w:val="left" w:pos="7560"/>
              </w:tabs>
              <w:spacing w:line="240" w:lineRule="auto"/>
              <w:ind w:firstLine="0" w:firstLineChars="0"/>
              <w:rPr>
                <w:rFonts w:hint="eastAsia" w:ascii="宋体" w:hAnsi="宋体" w:eastAsia="宋体" w:cs="宋体"/>
                <w:szCs w:val="24"/>
                <w:highlight w:val="none"/>
              </w:rPr>
            </w:pPr>
            <w:r>
              <w:rPr>
                <w:rFonts w:hint="eastAsia" w:ascii="宋体" w:hAnsi="宋体" w:eastAsia="宋体" w:cs="宋体"/>
                <w:szCs w:val="24"/>
                <w:highlight w:val="none"/>
              </w:rPr>
              <w:t>3、招标代理费</w:t>
            </w:r>
          </w:p>
          <w:p>
            <w:pPr>
              <w:tabs>
                <w:tab w:val="left" w:pos="7560"/>
              </w:tabs>
              <w:spacing w:line="240" w:lineRule="auto"/>
              <w:ind w:firstLine="0" w:firstLineChars="0"/>
              <w:rPr>
                <w:rFonts w:hint="eastAsia" w:ascii="宋体" w:hAnsi="宋体" w:eastAsia="宋体" w:cs="宋体"/>
                <w:szCs w:val="24"/>
                <w:highlight w:val="none"/>
              </w:rPr>
            </w:pPr>
            <w:r>
              <w:rPr>
                <w:rFonts w:hint="eastAsia" w:ascii="宋体" w:hAnsi="宋体" w:eastAsia="宋体" w:cs="宋体"/>
                <w:szCs w:val="24"/>
                <w:highlight w:val="none"/>
              </w:rPr>
              <w:t>（1）招标代理费以中标人中标总价为基数按以下标准计取，再下浮</w:t>
            </w:r>
            <w:r>
              <w:rPr>
                <w:rFonts w:hint="eastAsia" w:ascii="宋体" w:hAnsi="宋体" w:eastAsia="宋体" w:cs="宋体"/>
                <w:szCs w:val="24"/>
                <w:highlight w:val="none"/>
                <w:lang w:val="en-US" w:eastAsia="zh-CN"/>
              </w:rPr>
              <w:t>25</w:t>
            </w:r>
            <w:r>
              <w:rPr>
                <w:rFonts w:hint="eastAsia" w:ascii="宋体" w:hAnsi="宋体" w:eastAsia="宋体" w:cs="宋体"/>
                <w:szCs w:val="24"/>
                <w:highlight w:val="none"/>
              </w:rPr>
              <w:t>%后收取最终服务费。</w:t>
            </w:r>
          </w:p>
          <w:p>
            <w:pPr>
              <w:tabs>
                <w:tab w:val="left" w:pos="7560"/>
              </w:tabs>
              <w:spacing w:line="240" w:lineRule="auto"/>
              <w:ind w:firstLine="0" w:firstLineChars="0"/>
              <w:rPr>
                <w:rFonts w:hint="eastAsia" w:ascii="宋体" w:hAnsi="宋体" w:eastAsia="宋体" w:cs="宋体"/>
                <w:szCs w:val="24"/>
                <w:highlight w:val="none"/>
              </w:rPr>
            </w:pPr>
            <w:r>
              <w:rPr>
                <w:rFonts w:hint="eastAsia" w:ascii="宋体" w:hAnsi="宋体" w:eastAsia="宋体" w:cs="宋体"/>
                <w:szCs w:val="24"/>
                <w:highlight w:val="none"/>
              </w:rPr>
              <w:t>（2）收取标准：以工程中标价为基数进行计算酬金。收费标准参照国家发展计划委员会《招标代理服务收费管理暂行办法》（计价格[2002]1980号文）和《国家发展改革委关于降低部分建设项目收费标准规范收费行为等有关问题的通知》（发改价格[2011]534号）计取，下浮</w:t>
            </w:r>
            <w:r>
              <w:rPr>
                <w:rFonts w:hint="eastAsia" w:ascii="宋体" w:hAnsi="宋体" w:eastAsia="宋体" w:cs="宋体"/>
                <w:szCs w:val="24"/>
                <w:highlight w:val="none"/>
                <w:lang w:val="en-US" w:eastAsia="zh-CN"/>
              </w:rPr>
              <w:t>25</w:t>
            </w:r>
            <w:r>
              <w:rPr>
                <w:rFonts w:hint="eastAsia" w:ascii="宋体" w:hAnsi="宋体" w:eastAsia="宋体" w:cs="宋体"/>
                <w:szCs w:val="24"/>
                <w:highlight w:val="none"/>
              </w:rPr>
              <w:t>%。</w:t>
            </w:r>
          </w:p>
        </w:tc>
      </w:tr>
    </w:tbl>
    <w:p>
      <w:pP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重要提示：本招标文件中用“■”标识时表明该选项已选用；用“□”标识时表明该选项未被选用。</w:t>
      </w:r>
    </w:p>
    <w:p>
      <w:pPr>
        <w:tabs>
          <w:tab w:val="left" w:pos="7560"/>
        </w:tabs>
        <w:spacing w:line="360" w:lineRule="auto"/>
        <w:ind w:firstLine="480" w:firstLineChars="200"/>
        <w:rPr>
          <w:rFonts w:hint="eastAsia" w:ascii="宋体" w:hAnsi="宋体" w:eastAsia="宋体" w:cs="宋体"/>
          <w:sz w:val="24"/>
          <w:highlight w:val="none"/>
        </w:rPr>
      </w:pPr>
      <w:bookmarkStart w:id="45" w:name="_Toc41471722"/>
    </w:p>
    <w:p>
      <w:pPr>
        <w:rPr>
          <w:rFonts w:hint="eastAsia" w:ascii="宋体" w:hAnsi="宋体" w:eastAsia="宋体" w:cs="宋体"/>
          <w:kern w:val="2"/>
          <w:highlight w:val="none"/>
        </w:rPr>
      </w:pPr>
      <w:bookmarkStart w:id="46" w:name="_Toc14242"/>
      <w:bookmarkStart w:id="47" w:name="_Toc10165"/>
      <w:bookmarkStart w:id="48" w:name="_Toc6269"/>
      <w:bookmarkStart w:id="49" w:name="_Toc10305"/>
      <w:bookmarkStart w:id="50" w:name="_Toc22112"/>
      <w:bookmarkStart w:id="51" w:name="_Toc15022"/>
      <w:bookmarkStart w:id="52" w:name="_Toc20491"/>
      <w:bookmarkStart w:id="53" w:name="_Toc20232"/>
      <w:bookmarkStart w:id="54" w:name="_Toc3382"/>
      <w:bookmarkStart w:id="55" w:name="_Toc133705374"/>
      <w:bookmarkStart w:id="56" w:name="_Toc133706116"/>
      <w:bookmarkStart w:id="57" w:name="_Toc19013"/>
      <w:bookmarkStart w:id="58" w:name="_Toc133706586"/>
      <w:bookmarkStart w:id="59" w:name="_Toc29633"/>
      <w:bookmarkStart w:id="60" w:name="_Toc133706440"/>
      <w:bookmarkStart w:id="61" w:name="_Toc27030"/>
      <w:bookmarkStart w:id="62" w:name="_Toc13242"/>
      <w:bookmarkStart w:id="63" w:name="_Toc6218"/>
      <w:r>
        <w:rPr>
          <w:rFonts w:hint="eastAsia" w:ascii="宋体" w:hAnsi="宋体" w:eastAsia="宋体" w:cs="宋体"/>
          <w:kern w:val="2"/>
          <w:highlight w:val="none"/>
        </w:rPr>
        <w:br w:type="page"/>
      </w:r>
    </w:p>
    <w:p>
      <w:pPr>
        <w:pStyle w:val="7"/>
        <w:jc w:val="center"/>
        <w:rPr>
          <w:rFonts w:hint="eastAsia" w:ascii="宋体" w:hAnsi="宋体" w:eastAsia="宋体" w:cs="宋体"/>
          <w:kern w:val="2"/>
          <w:highlight w:val="none"/>
        </w:rPr>
      </w:pPr>
      <w:r>
        <w:rPr>
          <w:rFonts w:hint="eastAsia" w:ascii="宋体" w:hAnsi="宋体" w:eastAsia="宋体" w:cs="宋体"/>
          <w:kern w:val="2"/>
          <w:highlight w:val="none"/>
        </w:rPr>
        <w:t>二、投标文件的编制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bl>
      <w:tblPr>
        <w:tblStyle w:val="5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720"/>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vAlign w:val="center"/>
          </w:tcPr>
          <w:p>
            <w:pPr>
              <w:adjustRightInd w:val="0"/>
              <w:snapToGrid w:val="0"/>
              <w:spacing w:before="156" w:beforeLines="50" w:line="360" w:lineRule="auto"/>
              <w:jc w:val="center"/>
              <w:rPr>
                <w:rFonts w:hint="eastAsia" w:ascii="宋体" w:hAnsi="宋体" w:eastAsia="宋体" w:cs="宋体"/>
                <w:b/>
                <w:snapToGrid w:val="0"/>
                <w:kern w:val="0"/>
                <w:szCs w:val="21"/>
                <w:highlight w:val="none"/>
              </w:rPr>
            </w:pPr>
            <w:r>
              <w:rPr>
                <w:rFonts w:hint="eastAsia" w:ascii="宋体" w:hAnsi="宋体" w:eastAsia="宋体" w:cs="宋体"/>
                <w:b/>
                <w:snapToGrid w:val="0"/>
                <w:kern w:val="0"/>
                <w:szCs w:val="21"/>
                <w:highlight w:val="none"/>
              </w:rPr>
              <w:t>序号</w:t>
            </w:r>
          </w:p>
        </w:tc>
        <w:tc>
          <w:tcPr>
            <w:tcW w:w="1720" w:type="dxa"/>
            <w:vAlign w:val="center"/>
          </w:tcPr>
          <w:p>
            <w:pPr>
              <w:adjustRightInd w:val="0"/>
              <w:snapToGrid w:val="0"/>
              <w:spacing w:before="156" w:beforeLines="50" w:line="360" w:lineRule="auto"/>
              <w:jc w:val="center"/>
              <w:rPr>
                <w:rFonts w:hint="eastAsia" w:ascii="宋体" w:hAnsi="宋体" w:eastAsia="宋体" w:cs="宋体"/>
                <w:b/>
                <w:bCs/>
                <w:snapToGrid w:val="0"/>
                <w:kern w:val="0"/>
                <w:szCs w:val="21"/>
                <w:highlight w:val="none"/>
              </w:rPr>
            </w:pPr>
            <w:r>
              <w:rPr>
                <w:rFonts w:hint="eastAsia" w:ascii="宋体" w:hAnsi="宋体" w:eastAsia="宋体" w:cs="宋体"/>
                <w:b/>
                <w:bCs/>
                <w:snapToGrid w:val="0"/>
                <w:kern w:val="0"/>
                <w:szCs w:val="21"/>
                <w:highlight w:val="none"/>
              </w:rPr>
              <w:t>内  容</w:t>
            </w:r>
          </w:p>
        </w:tc>
        <w:tc>
          <w:tcPr>
            <w:tcW w:w="6812" w:type="dxa"/>
            <w:vAlign w:val="center"/>
          </w:tcPr>
          <w:p>
            <w:pPr>
              <w:adjustRightInd w:val="0"/>
              <w:snapToGrid w:val="0"/>
              <w:spacing w:before="156" w:beforeLines="50" w:line="360" w:lineRule="auto"/>
              <w:jc w:val="center"/>
              <w:rPr>
                <w:rFonts w:hint="eastAsia" w:ascii="宋体" w:hAnsi="宋体" w:eastAsia="宋体" w:cs="宋体"/>
                <w:b/>
                <w:bCs/>
                <w:snapToGrid w:val="0"/>
                <w:kern w:val="0"/>
                <w:szCs w:val="21"/>
                <w:highlight w:val="none"/>
              </w:rPr>
            </w:pPr>
            <w:r>
              <w:rPr>
                <w:rFonts w:hint="eastAsia" w:ascii="宋体" w:hAnsi="宋体" w:eastAsia="宋体" w:cs="宋体"/>
                <w:b/>
                <w:bCs/>
                <w:snapToGrid w:val="0"/>
                <w:kern w:val="0"/>
                <w:szCs w:val="21"/>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vAlign w:val="center"/>
          </w:tcPr>
          <w:p>
            <w:pPr>
              <w:adjustRightInd w:val="0"/>
              <w:snapToGrid w:val="0"/>
              <w:spacing w:before="156" w:beforeLines="50" w:line="360" w:lineRule="auto"/>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1</w:t>
            </w:r>
          </w:p>
        </w:tc>
        <w:tc>
          <w:tcPr>
            <w:tcW w:w="1720" w:type="dxa"/>
            <w:vAlign w:val="center"/>
          </w:tcPr>
          <w:p>
            <w:pPr>
              <w:adjustRightInd w:val="0"/>
              <w:snapToGrid w:val="0"/>
              <w:spacing w:before="156" w:beforeLines="50"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■资格审查文件</w:t>
            </w:r>
          </w:p>
        </w:tc>
        <w:tc>
          <w:tcPr>
            <w:tcW w:w="6812" w:type="dxa"/>
            <w:vAlign w:val="center"/>
          </w:tcPr>
          <w:p>
            <w:pPr>
              <w:adjustRightInd w:val="0"/>
              <w:snapToGrid w:val="0"/>
              <w:spacing w:before="156" w:beforeLines="50"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编制内容：</w:t>
            </w:r>
          </w:p>
          <w:p>
            <w:pPr>
              <w:adjustRightInd w:val="0"/>
              <w:snapToGrid w:val="0"/>
              <w:spacing w:before="156" w:beforeLines="50"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1、法定代表人证明书、法定代表人授权委托书、法定代表人身份证复印件、被授权委托人身份证复印件；</w:t>
            </w:r>
          </w:p>
          <w:p>
            <w:pPr>
              <w:adjustRightInd w:val="0"/>
              <w:snapToGrid w:val="0"/>
              <w:spacing w:before="156" w:beforeLines="50"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2、制造商营业执照等证明文件原件扫描件（投标人为制造商或代理商时均需提供）；</w:t>
            </w:r>
          </w:p>
          <w:p>
            <w:pPr>
              <w:adjustRightInd w:val="0"/>
              <w:snapToGrid w:val="0"/>
              <w:spacing w:before="156" w:beforeLines="50"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3、代理商营业执照原件扫描件（代理商投标时提供）；</w:t>
            </w:r>
          </w:p>
          <w:p>
            <w:pPr>
              <w:adjustRightInd w:val="0"/>
              <w:snapToGrid w:val="0"/>
              <w:spacing w:before="156" w:beforeLines="50"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4、制造商的资格声明原件扫描件（投标人为制造商或代理商时均需提供）；</w:t>
            </w:r>
          </w:p>
          <w:p>
            <w:pPr>
              <w:adjustRightInd w:val="0"/>
              <w:snapToGrid w:val="0"/>
              <w:spacing w:before="156" w:beforeLines="50"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5、代理商的资格声明原件扫描件（投标人如为代理商则需提供）；</w:t>
            </w:r>
          </w:p>
          <w:p>
            <w:pPr>
              <w:adjustRightInd w:val="0"/>
              <w:snapToGrid w:val="0"/>
              <w:spacing w:before="156" w:beforeLines="50"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6、制造商出具的授权函原件扫描件（代理商投标时提供）；</w:t>
            </w:r>
          </w:p>
          <w:p>
            <w:pPr>
              <w:adjustRightInd w:val="0"/>
              <w:snapToGrid w:val="0"/>
              <w:spacing w:before="156" w:beforeLines="50"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7、招标人要求提供的与投标人条件审查有关的其他资格证明材料。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6" w:type="dxa"/>
            <w:vAlign w:val="center"/>
          </w:tcPr>
          <w:p>
            <w:pPr>
              <w:adjustRightInd w:val="0"/>
              <w:snapToGrid w:val="0"/>
              <w:spacing w:before="156" w:beforeLines="50" w:line="360" w:lineRule="auto"/>
              <w:jc w:val="center"/>
              <w:rPr>
                <w:rFonts w:hint="eastAsia" w:ascii="宋体" w:hAnsi="宋体" w:eastAsia="宋体" w:cs="宋体"/>
                <w:snapToGrid w:val="0"/>
                <w:kern w:val="0"/>
                <w:szCs w:val="21"/>
                <w:highlight w:val="none"/>
              </w:rPr>
            </w:pPr>
            <w:r>
              <w:rPr>
                <w:rFonts w:hint="eastAsia" w:ascii="宋体" w:hAnsi="宋体" w:eastAsia="宋体" w:cs="宋体"/>
                <w:snapToGrid w:val="0"/>
                <w:kern w:val="0"/>
                <w:szCs w:val="21"/>
                <w:highlight w:val="none"/>
              </w:rPr>
              <w:t>2</w:t>
            </w:r>
          </w:p>
        </w:tc>
        <w:tc>
          <w:tcPr>
            <w:tcW w:w="1720" w:type="dxa"/>
            <w:vAlign w:val="center"/>
          </w:tcPr>
          <w:p>
            <w:pPr>
              <w:adjustRightInd w:val="0"/>
              <w:snapToGrid w:val="0"/>
              <w:spacing w:before="156" w:beforeLines="50"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■商务标</w:t>
            </w:r>
          </w:p>
        </w:tc>
        <w:tc>
          <w:tcPr>
            <w:tcW w:w="6812" w:type="dxa"/>
            <w:vAlign w:val="center"/>
          </w:tcPr>
          <w:p>
            <w:pPr>
              <w:adjustRightInd w:val="0"/>
              <w:snapToGrid w:val="0"/>
              <w:spacing w:before="156" w:beforeLines="50"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编制内容：</w:t>
            </w:r>
          </w:p>
          <w:p>
            <w:pPr>
              <w:adjustRightInd w:val="0"/>
              <w:snapToGrid w:val="0"/>
              <w:spacing w:before="156" w:beforeLines="50"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1、投标函；</w:t>
            </w:r>
          </w:p>
          <w:p>
            <w:pPr>
              <w:adjustRightInd w:val="0"/>
              <w:snapToGrid w:val="0"/>
              <w:spacing w:before="156" w:beforeLines="50" w:line="240" w:lineRule="auto"/>
              <w:rPr>
                <w:rFonts w:hint="eastAsia" w:ascii="宋体" w:hAnsi="宋体" w:cs="宋体"/>
                <w:sz w:val="21"/>
                <w:szCs w:val="21"/>
                <w:highlight w:val="none"/>
                <w:lang w:eastAsia="zh-CN"/>
              </w:rPr>
            </w:pPr>
            <w:r>
              <w:rPr>
                <w:rFonts w:hint="eastAsia" w:ascii="宋体" w:hAnsi="宋体" w:eastAsia="宋体" w:cs="宋体"/>
                <w:sz w:val="21"/>
                <w:szCs w:val="21"/>
                <w:highlight w:val="none"/>
              </w:rPr>
              <w:t>2、投标报价</w:t>
            </w:r>
            <w:r>
              <w:rPr>
                <w:rFonts w:hint="eastAsia" w:ascii="宋体" w:hAnsi="宋体" w:cs="宋体"/>
                <w:sz w:val="21"/>
                <w:szCs w:val="21"/>
                <w:highlight w:val="none"/>
                <w:lang w:val="en-US" w:eastAsia="zh-CN"/>
              </w:rPr>
              <w:t>一览表</w:t>
            </w:r>
            <w:r>
              <w:rPr>
                <w:rFonts w:hint="eastAsia" w:ascii="宋体" w:hAnsi="宋体" w:cs="宋体"/>
                <w:sz w:val="21"/>
                <w:szCs w:val="21"/>
                <w:highlight w:val="none"/>
                <w:lang w:eastAsia="zh-CN"/>
              </w:rPr>
              <w:t>；</w:t>
            </w:r>
          </w:p>
          <w:p>
            <w:pPr>
              <w:adjustRightInd w:val="0"/>
              <w:snapToGrid w:val="0"/>
              <w:spacing w:before="156" w:beforeLines="50" w:line="240" w:lineRule="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3、报价明细表；</w:t>
            </w:r>
          </w:p>
          <w:p>
            <w:pPr>
              <w:adjustRightInd w:val="0"/>
              <w:snapToGrid w:val="0"/>
              <w:spacing w:before="156" w:beforeLines="50" w:line="240" w:lineRule="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4、投标品牌一览表</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56" w:type="dxa"/>
            <w:vAlign w:val="center"/>
          </w:tcPr>
          <w:p>
            <w:pPr>
              <w:adjustRightInd w:val="0"/>
              <w:snapToGrid w:val="0"/>
              <w:spacing w:before="156" w:beforeLines="50" w:line="360" w:lineRule="auto"/>
              <w:jc w:val="center"/>
              <w:rPr>
                <w:rFonts w:hint="eastAsia" w:ascii="宋体" w:hAnsi="宋体" w:eastAsia="宋体" w:cs="宋体"/>
                <w:b/>
                <w:snapToGrid w:val="0"/>
                <w:kern w:val="0"/>
                <w:szCs w:val="21"/>
                <w:highlight w:val="none"/>
              </w:rPr>
            </w:pPr>
            <w:r>
              <w:rPr>
                <w:rFonts w:hint="eastAsia" w:ascii="宋体" w:hAnsi="宋体" w:eastAsia="宋体" w:cs="宋体"/>
                <w:snapToGrid w:val="0"/>
                <w:kern w:val="0"/>
                <w:szCs w:val="21"/>
                <w:highlight w:val="none"/>
              </w:rPr>
              <w:t>3</w:t>
            </w:r>
          </w:p>
        </w:tc>
        <w:tc>
          <w:tcPr>
            <w:tcW w:w="1720" w:type="dxa"/>
            <w:vAlign w:val="center"/>
          </w:tcPr>
          <w:p>
            <w:pPr>
              <w:adjustRightInd w:val="0"/>
              <w:snapToGrid w:val="0"/>
              <w:spacing w:before="156" w:beforeLines="50" w:line="360" w:lineRule="auto"/>
              <w:jc w:val="center"/>
              <w:rPr>
                <w:rFonts w:hint="eastAsia" w:ascii="宋体" w:hAnsi="宋体" w:eastAsia="宋体" w:cs="宋体"/>
                <w:bCs/>
                <w:snapToGrid w:val="0"/>
                <w:kern w:val="0"/>
                <w:sz w:val="21"/>
                <w:szCs w:val="21"/>
                <w:highlight w:val="none"/>
              </w:rPr>
            </w:pPr>
            <w:r>
              <w:rPr>
                <w:rFonts w:hint="eastAsia" w:ascii="宋体" w:hAnsi="宋体" w:eastAsia="宋体" w:cs="宋体"/>
                <w:bCs/>
                <w:sz w:val="21"/>
                <w:szCs w:val="21"/>
                <w:highlight w:val="none"/>
              </w:rPr>
              <w:t>■</w:t>
            </w:r>
            <w:r>
              <w:rPr>
                <w:rFonts w:hint="eastAsia" w:ascii="宋体" w:hAnsi="宋体" w:eastAsia="宋体" w:cs="宋体"/>
                <w:snapToGrid w:val="0"/>
                <w:kern w:val="0"/>
                <w:sz w:val="21"/>
                <w:szCs w:val="21"/>
                <w:highlight w:val="none"/>
              </w:rPr>
              <w:t>资信标</w:t>
            </w:r>
          </w:p>
        </w:tc>
        <w:tc>
          <w:tcPr>
            <w:tcW w:w="6812" w:type="dxa"/>
            <w:vAlign w:val="center"/>
          </w:tcPr>
          <w:p>
            <w:pPr>
              <w:pStyle w:val="2"/>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编制内容：详见第五章 投标文件格式“资信标”内容要求。</w:t>
            </w:r>
          </w:p>
        </w:tc>
      </w:tr>
    </w:tbl>
    <w:p>
      <w:pPr>
        <w:adjustRightInd w:val="0"/>
        <w:snapToGrid w:val="0"/>
        <w:spacing w:line="360" w:lineRule="auto"/>
        <w:jc w:val="left"/>
        <w:rPr>
          <w:rFonts w:hint="eastAsia" w:ascii="宋体" w:hAnsi="宋体" w:eastAsia="宋体" w:cs="宋体"/>
          <w:b/>
          <w:snapToGrid w:val="0"/>
          <w:kern w:val="0"/>
          <w:highlight w:val="none"/>
        </w:rPr>
      </w:pPr>
    </w:p>
    <w:p>
      <w:pPr>
        <w:rPr>
          <w:rFonts w:hint="eastAsia" w:ascii="宋体" w:hAnsi="宋体" w:eastAsia="宋体" w:cs="宋体"/>
          <w:snapToGrid w:val="0"/>
          <w:kern w:val="0"/>
          <w:sz w:val="22"/>
          <w:szCs w:val="22"/>
          <w:highlight w:val="none"/>
        </w:rPr>
      </w:pPr>
      <w:r>
        <w:rPr>
          <w:rFonts w:hint="eastAsia" w:ascii="宋体" w:hAnsi="宋体" w:eastAsia="宋体" w:cs="宋体"/>
          <w:b/>
          <w:snapToGrid w:val="0"/>
          <w:kern w:val="0"/>
          <w:sz w:val="22"/>
          <w:szCs w:val="22"/>
          <w:highlight w:val="none"/>
        </w:rPr>
        <w:t>重要提示：</w:t>
      </w:r>
      <w:r>
        <w:rPr>
          <w:rFonts w:hint="eastAsia" w:ascii="宋体" w:hAnsi="宋体" w:eastAsia="宋体" w:cs="宋体"/>
          <w:snapToGrid w:val="0"/>
          <w:kern w:val="0"/>
          <w:sz w:val="22"/>
          <w:szCs w:val="22"/>
          <w:highlight w:val="none"/>
        </w:rPr>
        <w:t>本招标文件中用“</w:t>
      </w:r>
      <w:r>
        <w:rPr>
          <w:rFonts w:hint="eastAsia" w:ascii="宋体" w:hAnsi="宋体" w:eastAsia="宋体" w:cs="宋体"/>
          <w:bCs/>
          <w:sz w:val="22"/>
          <w:szCs w:val="22"/>
          <w:highlight w:val="none"/>
        </w:rPr>
        <w:t>■</w:t>
      </w:r>
      <w:r>
        <w:rPr>
          <w:rFonts w:hint="eastAsia" w:ascii="宋体" w:hAnsi="宋体" w:eastAsia="宋体" w:cs="宋体"/>
          <w:snapToGrid w:val="0"/>
          <w:kern w:val="0"/>
          <w:sz w:val="22"/>
          <w:szCs w:val="22"/>
          <w:highlight w:val="none"/>
        </w:rPr>
        <w:t>”标识时表明该选项已选用；用“□”标识时表明该选项未被选用。</w:t>
      </w:r>
    </w:p>
    <w:p>
      <w:pPr>
        <w:pStyle w:val="7"/>
        <w:numPr>
          <w:ilvl w:val="0"/>
          <w:numId w:val="1"/>
        </w:numPr>
        <w:jc w:val="center"/>
        <w:rPr>
          <w:rFonts w:hint="eastAsia" w:ascii="宋体" w:hAnsi="宋体" w:eastAsia="宋体" w:cs="宋体"/>
          <w:highlight w:val="none"/>
        </w:rPr>
      </w:pPr>
      <w:r>
        <w:rPr>
          <w:rFonts w:hint="eastAsia" w:ascii="宋体" w:hAnsi="宋体" w:eastAsia="宋体" w:cs="宋体"/>
          <w:snapToGrid w:val="0"/>
          <w:highlight w:val="none"/>
        </w:rPr>
        <w:br w:type="page"/>
      </w:r>
      <w:bookmarkStart w:id="64" w:name="_Toc19480"/>
      <w:bookmarkStart w:id="65" w:name="_Toc24484"/>
      <w:bookmarkStart w:id="66" w:name="_Toc2019"/>
      <w:bookmarkStart w:id="67" w:name="_Toc23967"/>
      <w:bookmarkStart w:id="68" w:name="_Toc31883"/>
      <w:bookmarkStart w:id="69" w:name="_Toc25968"/>
      <w:bookmarkStart w:id="70" w:name="_Toc15690"/>
      <w:bookmarkStart w:id="71" w:name="_Toc8087"/>
      <w:bookmarkStart w:id="72" w:name="_Toc11708"/>
      <w:bookmarkStart w:id="73" w:name="_Toc6119"/>
      <w:bookmarkStart w:id="74" w:name="_Toc11160"/>
      <w:bookmarkStart w:id="75" w:name="_Toc133706441"/>
      <w:bookmarkStart w:id="76" w:name="_Toc133706117"/>
      <w:bookmarkStart w:id="77" w:name="_Toc133705375"/>
      <w:bookmarkStart w:id="78" w:name="_Toc133706587"/>
      <w:bookmarkStart w:id="79" w:name="_Toc5408"/>
      <w:bookmarkStart w:id="80" w:name="_Toc11912"/>
      <w:bookmarkStart w:id="81" w:name="_Toc41471723"/>
      <w:bookmarkStart w:id="82" w:name="_Toc20956"/>
      <w:r>
        <w:rPr>
          <w:rFonts w:hint="eastAsia" w:ascii="宋体" w:hAnsi="宋体" w:eastAsia="宋体" w:cs="宋体"/>
          <w:highlight w:val="none"/>
        </w:rPr>
        <w:t>投标须知</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8"/>
        <w:jc w:val="center"/>
        <w:rPr>
          <w:rFonts w:hint="eastAsia" w:ascii="宋体" w:hAnsi="宋体" w:eastAsia="宋体" w:cs="宋体"/>
          <w:sz w:val="24"/>
          <w:highlight w:val="none"/>
        </w:rPr>
      </w:pPr>
      <w:r>
        <w:rPr>
          <w:rFonts w:hint="eastAsia" w:ascii="宋体" w:hAnsi="宋体" w:eastAsia="宋体" w:cs="宋体"/>
          <w:sz w:val="24"/>
          <w:highlight w:val="none"/>
        </w:rPr>
        <w:t>（一）总则</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1、投标相关事项见前附表，同时还应符合本须知各条款要求。</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2、只有在法律和财务上独立，根据商业法规运作，有相应资质的、具有良好的银行资信和商业信誉，具有圆满履行合同的能力，且不是招标方附属机构的企业才可以参与投标。</w:t>
      </w:r>
    </w:p>
    <w:p>
      <w:pPr>
        <w:numPr>
          <w:ilvl w:val="0"/>
          <w:numId w:val="0"/>
        </w:numPr>
        <w:rPr>
          <w:rFonts w:hint="eastAsia"/>
          <w:highlight w:val="none"/>
        </w:rPr>
      </w:pPr>
      <w:r>
        <w:rPr>
          <w:rFonts w:hint="eastAsia" w:ascii="宋体" w:hAnsi="宋体" w:eastAsia="宋体" w:cs="宋体"/>
          <w:sz w:val="24"/>
          <w:highlight w:val="none"/>
        </w:rPr>
        <w:t>3、投标人应承担其编制投标文件与递交投标文件所涉及的一切费用。不论投标结果如何，招标人在任何情况下无义务和也无责任承担这些费用。</w:t>
      </w:r>
    </w:p>
    <w:p>
      <w:pPr>
        <w:pStyle w:val="8"/>
        <w:jc w:val="center"/>
        <w:rPr>
          <w:rFonts w:hint="eastAsia" w:ascii="宋体" w:hAnsi="宋体" w:eastAsia="宋体" w:cs="宋体"/>
          <w:sz w:val="24"/>
          <w:highlight w:val="none"/>
        </w:rPr>
      </w:pPr>
      <w:bookmarkStart w:id="83" w:name="_Toc14685"/>
      <w:bookmarkStart w:id="84" w:name="_Toc133706119"/>
      <w:bookmarkStart w:id="85" w:name="_Toc15326"/>
      <w:bookmarkStart w:id="86" w:name="_Toc28503"/>
      <w:bookmarkStart w:id="87" w:name="_Toc13789"/>
      <w:bookmarkStart w:id="88" w:name="_Toc30947"/>
      <w:bookmarkStart w:id="89" w:name="_Toc133706589"/>
      <w:bookmarkStart w:id="90" w:name="_Toc21808"/>
      <w:bookmarkStart w:id="91" w:name="_Toc19214"/>
      <w:bookmarkStart w:id="92" w:name="_Toc21163"/>
      <w:bookmarkStart w:id="93" w:name="_Toc21122"/>
      <w:bookmarkStart w:id="94" w:name="_Toc133705377"/>
      <w:bookmarkStart w:id="95" w:name="_Toc19001"/>
      <w:bookmarkStart w:id="96" w:name="_Toc16763"/>
      <w:bookmarkStart w:id="97" w:name="_Toc2975"/>
      <w:bookmarkStart w:id="98" w:name="_Toc41471725"/>
      <w:bookmarkStart w:id="99" w:name="_Toc133706443"/>
      <w:r>
        <w:rPr>
          <w:rFonts w:hint="eastAsia" w:ascii="宋体" w:hAnsi="宋体" w:eastAsia="宋体" w:cs="宋体"/>
          <w:sz w:val="24"/>
          <w:highlight w:val="none"/>
        </w:rPr>
        <w:t>（二）招标文件</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4、招标文件包括下列内容： </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第一章   招标公告</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第二章   投标人须知</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第三章   任务书</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第四章   合同主要条款</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第五章   投标文件格式</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投标人应认真阅读招标文件中所有章节、条款、格式、附表和附件。如果投标人没有按照招标文件的要求提交全部资料，或者投标文件没有对招标文件在各方面都作出实质性响应，则属于投标人的风险。根据本须知的规定，没有实质上响应招标文件要求的投标将被拒绝。</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6、除前款内容外，招标人在投标截止日期2日前以书面形式发出的招标文件的澄清（答疑）纪要、修改（补充）函件，均是招标文件的组成部分，对招标人投标人起约束作用。</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7、凡获得本招标文件者，无论投标与否，均应对本招标文件负有保密责任，不得向第三方转让或者泄露有关内容。</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任何要求对招标文件进行澄清的投标人，均应在本须知前附表所规定的截止时间之前，以书面形式（如信函、传真或电子邮件，下同）通知招标人，招标人对提问截止时间之前收到的澄清要求将以发布至指定网站的形式进行答复，答复中包括所提问题，但不包括问题的来源。一经发布，视为已送达所有投标人，请各位投标人及时查阅。</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9、招标文件的修改</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（1）在投标截止时间前的任何时候，无论出于何种原因，招标方可主动地在解答投标人提出的澄清问题时对招标文件进行修改。</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（2）招标人对招标文件所作的任何补充和修改以发布至指定网站的形式进行通知，并对投标人具有约束力；一经发布，视为已送达所有投标人，请各位投标人及时查阅。</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（3）为使投标人在编写投标文件时有充足的时间对招标文件的修改部分进行研究，招标人可以自行酌情延后投标截止时间。</w:t>
      </w:r>
    </w:p>
    <w:p>
      <w:pPr>
        <w:pStyle w:val="8"/>
        <w:jc w:val="center"/>
        <w:rPr>
          <w:rFonts w:hint="eastAsia" w:ascii="宋体" w:hAnsi="宋体" w:eastAsia="宋体" w:cs="宋体"/>
          <w:sz w:val="24"/>
          <w:highlight w:val="none"/>
        </w:rPr>
      </w:pPr>
      <w:bookmarkStart w:id="100" w:name="_Toc30784"/>
      <w:bookmarkStart w:id="101" w:name="_Toc13758"/>
      <w:bookmarkStart w:id="102" w:name="_Toc133706120"/>
      <w:bookmarkStart w:id="103" w:name="_Toc11195"/>
      <w:bookmarkStart w:id="104" w:name="_Toc31949"/>
      <w:bookmarkStart w:id="105" w:name="_Toc8458"/>
      <w:bookmarkStart w:id="106" w:name="_Toc18106"/>
      <w:bookmarkStart w:id="107" w:name="_Toc30624"/>
      <w:bookmarkStart w:id="108" w:name="_Toc133706444"/>
      <w:bookmarkStart w:id="109" w:name="_Toc41471726"/>
      <w:bookmarkStart w:id="110" w:name="_Toc13684"/>
      <w:bookmarkStart w:id="111" w:name="_Toc7917"/>
      <w:bookmarkStart w:id="112" w:name="_Toc26564"/>
      <w:bookmarkStart w:id="113" w:name="_Toc133705378"/>
      <w:bookmarkStart w:id="114" w:name="_Toc13328"/>
      <w:bookmarkStart w:id="115" w:name="_Toc12567"/>
      <w:bookmarkStart w:id="116" w:name="_Toc133706590"/>
      <w:r>
        <w:rPr>
          <w:rFonts w:hint="eastAsia" w:ascii="宋体" w:hAnsi="宋体" w:eastAsia="宋体" w:cs="宋体"/>
          <w:sz w:val="24"/>
          <w:highlight w:val="none"/>
        </w:rPr>
        <w:t>（三）投标文件的编制</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10、投标语言</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投标人提交的招标文件以及投标人与招标人就有关投标所有来往函电均应使用中文。投标人可以使用外文的说明或其它材料，但必须同时翻译成中文，且以中文为准。</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11、投标文件的组成</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投标文件由资格审查文件、商务标、资信标文件组成。</w:t>
      </w:r>
    </w:p>
    <w:p>
      <w:pPr>
        <w:tabs>
          <w:tab w:val="left" w:pos="7560"/>
        </w:tabs>
        <w:adjustRightInd w:val="0"/>
        <w:snapToGrid w:val="0"/>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（具体内容请详见第二章“二、投标文件的编制”）</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12、投标报价</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（1）投标报价应在《投标报价表》中填写。投标人应完整地说明各项费用和总价。</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（2）只允许有一个报价，任何有选择的报价将不予接受。</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（3）报价不低于投标人完成该招标项目的成本。 </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（4）投标报价中所使用的计量单位，一律采用招标文件规定的计量单位。</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（5）如果投标报价中数字小写和中文大写表示的金额之间有差异，以中文大写金额为准；如果单价和数量的乘积与总价有差异，以单价计算的价格为准。</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13、资格证明文件</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投标人应提交证明其有资格参加投标和中标后有能力履行合同的文件，并作为其投标文件一部分。</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14、证明货物及服务合格性的文件</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（1）投标人应提交有关证明文件，证明其按合同要求提供的所有货物及伴随服务的合格性，并能满足招标文件的要求，证明文件应作为投标文件的一部分。</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（2）证明货物及服务合格性的文件应包括投标报价中对货物及服务原产地的声明。</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（3）证明货物及服务能够满足招标文件要求的文件可以是文字资料、图纸和资料。</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15、投标文件的式样和签署</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（1）投标人应按照“投标须知前附表”要求准备投标文件。</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（2）投标文件应使用不能轻易擦去且不易褪色的档案墨水书写或用打印机打印，无论是书写、打印或复制，均应做到清晰、整洁、规范。</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（3）投标文件由投标人的法定代表人或经正式授权并对投标人有约束力的代表签字。由授权代表签字时，须在投标文件中加附“法定代表人授权书”，其格式应符合招标文件第五章的规定。</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（4）投标文件中不得有行间插字、涂改和增删。</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（5）投标文件上述签名及盖章之处</w:t>
      </w:r>
      <w:r>
        <w:rPr>
          <w:rFonts w:hint="eastAsia" w:ascii="宋体" w:hAnsi="宋体" w:cs="宋体"/>
          <w:sz w:val="24"/>
          <w:highlight w:val="none"/>
          <w:lang w:val="en-US" w:eastAsia="zh-CN"/>
        </w:rPr>
        <w:t>须</w:t>
      </w:r>
      <w:r>
        <w:rPr>
          <w:rFonts w:hint="eastAsia" w:ascii="宋体" w:hAnsi="宋体" w:eastAsia="宋体" w:cs="宋体"/>
          <w:sz w:val="24"/>
          <w:highlight w:val="none"/>
        </w:rPr>
        <w:t>由投标人的法定代表人或其授权代表亲笔签署。</w:t>
      </w:r>
    </w:p>
    <w:p>
      <w:pPr>
        <w:pStyle w:val="8"/>
        <w:jc w:val="center"/>
        <w:rPr>
          <w:rFonts w:hint="eastAsia" w:ascii="宋体" w:hAnsi="宋体" w:eastAsia="宋体" w:cs="宋体"/>
          <w:sz w:val="24"/>
          <w:highlight w:val="none"/>
        </w:rPr>
      </w:pPr>
      <w:bookmarkStart w:id="117" w:name="_Toc17237"/>
      <w:bookmarkStart w:id="118" w:name="_Toc5780"/>
      <w:bookmarkStart w:id="119" w:name="_Toc23072"/>
      <w:bookmarkStart w:id="120" w:name="_Toc3519"/>
      <w:bookmarkStart w:id="121" w:name="_Toc133706445"/>
      <w:bookmarkStart w:id="122" w:name="_Toc27343"/>
      <w:bookmarkStart w:id="123" w:name="_Toc22660"/>
      <w:bookmarkStart w:id="124" w:name="_Toc133706121"/>
      <w:bookmarkStart w:id="125" w:name="_Toc22170"/>
      <w:bookmarkStart w:id="126" w:name="_Toc20525"/>
      <w:bookmarkStart w:id="127" w:name="_Toc23920"/>
      <w:bookmarkStart w:id="128" w:name="_Toc133705379"/>
      <w:bookmarkStart w:id="129" w:name="_Toc18859"/>
      <w:bookmarkStart w:id="130" w:name="_Toc133706591"/>
      <w:bookmarkStart w:id="131" w:name="_Toc26616"/>
      <w:bookmarkStart w:id="132" w:name="_Toc41471727"/>
      <w:bookmarkStart w:id="133" w:name="_Toc26079"/>
      <w:r>
        <w:rPr>
          <w:rFonts w:hint="eastAsia" w:ascii="宋体" w:hAnsi="宋体" w:eastAsia="宋体" w:cs="宋体"/>
          <w:sz w:val="24"/>
          <w:highlight w:val="none"/>
        </w:rPr>
        <w:t>（四）投标文件的递交</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16、投标文件的递交</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本项目采用电子投标方式投标，电子投标文件盖章后PDF版本上传至深圳环水集团招标采购数字管理平台（https://cg.sz-water.com.cn）。</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投标人中标后须将纸质投标文件1份正本并胶装，U盘文件（包含投标文件word版本、投标文件盖章后PDF版本）一份送至招标人处。所提交文件须在封面及骑缝处加盖投标单位公章，并保证投标文件内容与电子投标文件一致。</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17、按本须知前附表说明的地址送往指定地点。</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18、投标截止日期</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（1）投标单位提交投标文件的时间不得迟于本须知前附表规定的截止日期和时间。</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（2）招标人可以通过修改招标文件自行酌情延迟投标截止时间。在此情况下，招标人与投标人之间受投标截止时间制约的所有权利和义务均应延长至新的截止时间。</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19</w:t>
      </w:r>
      <w:r>
        <w:rPr>
          <w:rFonts w:hint="eastAsia" w:ascii="宋体" w:hAnsi="宋体" w:eastAsia="宋体" w:cs="宋体"/>
          <w:sz w:val="24"/>
          <w:highlight w:val="none"/>
        </w:rPr>
        <w:t>、投标文件的补充、修改和撤回</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（1）投标人在递交投标文件后，可以补充、修改或撤回其投标文件，但必须在规定的投标截止时间之前，以书面形式通知招标人。</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）在投标截止时间之后，投标人不得补充、修改投标文件。</w:t>
      </w:r>
    </w:p>
    <w:p>
      <w:pPr>
        <w:tabs>
          <w:tab w:val="left" w:pos="7560"/>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）在投标截止时间至投标有效期届满之间的这段时间内，投标人不得撤回其投标。</w:t>
      </w:r>
    </w:p>
    <w:p>
      <w:pPr>
        <w:pStyle w:val="8"/>
        <w:jc w:val="center"/>
        <w:rPr>
          <w:rFonts w:hint="eastAsia" w:ascii="宋体" w:hAnsi="宋体" w:eastAsia="宋体" w:cs="宋体"/>
          <w:sz w:val="24"/>
          <w:highlight w:val="none"/>
        </w:rPr>
      </w:pPr>
      <w:bookmarkStart w:id="134" w:name="_Toc133706122"/>
      <w:bookmarkStart w:id="135" w:name="_Toc6274"/>
      <w:bookmarkStart w:id="136" w:name="_Toc17197"/>
      <w:bookmarkStart w:id="137" w:name="_Toc133706592"/>
      <w:bookmarkStart w:id="138" w:name="_Toc133706446"/>
      <w:bookmarkStart w:id="139" w:name="_Toc133705380"/>
      <w:bookmarkStart w:id="140" w:name="_Toc16696"/>
      <w:bookmarkStart w:id="141" w:name="_Toc16170"/>
      <w:bookmarkStart w:id="142" w:name="_Toc14345"/>
      <w:bookmarkStart w:id="143" w:name="_Toc25702"/>
      <w:bookmarkStart w:id="144" w:name="_Toc15098"/>
      <w:bookmarkStart w:id="145" w:name="_Toc16931"/>
      <w:bookmarkStart w:id="146" w:name="_Toc41471728"/>
      <w:bookmarkStart w:id="147" w:name="_Toc20072"/>
      <w:bookmarkStart w:id="148" w:name="_Toc11900"/>
      <w:bookmarkStart w:id="149" w:name="_Toc24346"/>
      <w:bookmarkStart w:id="150" w:name="_Toc25112"/>
      <w:r>
        <w:rPr>
          <w:rFonts w:hint="eastAsia" w:ascii="宋体" w:hAnsi="宋体" w:eastAsia="宋体" w:cs="宋体"/>
          <w:sz w:val="24"/>
          <w:highlight w:val="none"/>
        </w:rPr>
        <w:t>（五）开标</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20</w:t>
      </w:r>
      <w:r>
        <w:rPr>
          <w:rFonts w:hint="eastAsia" w:ascii="宋体" w:hAnsi="宋体" w:eastAsia="宋体" w:cs="宋体"/>
          <w:sz w:val="24"/>
          <w:highlight w:val="none"/>
        </w:rPr>
        <w:t>、招标人将于本须知前附表规定的时间和地点举行开标会议，通知所有投标人参加开标会议。未参加开标会议的投标人，视为其认可开标程序和结果。</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、投标文件有下列情形之一的，招标人将不予受理（由招标人负责判定）：</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（1）在本须知规定的投标截止时间以后逾期提交的；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2</w:t>
      </w:r>
      <w:r>
        <w:rPr>
          <w:rFonts w:hint="eastAsia" w:ascii="宋体" w:hAnsi="宋体" w:eastAsia="宋体" w:cs="宋体"/>
          <w:sz w:val="24"/>
          <w:highlight w:val="none"/>
        </w:rPr>
        <w:t>）《投标报价表》填写内容不符合招标文件的要求或投标报价高出对应投标报价上限的。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3</w:t>
      </w:r>
      <w:r>
        <w:rPr>
          <w:rFonts w:hint="eastAsia" w:ascii="宋体" w:hAnsi="宋体" w:eastAsia="宋体" w:cs="宋体"/>
          <w:sz w:val="24"/>
          <w:highlight w:val="none"/>
        </w:rPr>
        <w:t>）投标人的投标报价或修正后的投标报价超过投标报价上限的；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4）</w:t>
      </w:r>
      <w:r>
        <w:rPr>
          <w:rFonts w:hint="eastAsia" w:ascii="宋体" w:hAnsi="宋体" w:eastAsia="宋体" w:cs="宋体"/>
          <w:sz w:val="24"/>
          <w:highlight w:val="none"/>
        </w:rPr>
        <w:t>投标人未在深圳环水集团招标采购数字管理平台（https://cg.sz-water.com.cn）上传电子版投标文件的。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、如果招标人根据招标文件的规定难以准确判断某投标人的投标文件是否应予受理的，或有投标人在开标会上对审查程序与结果提出异议的，招标人将记录有关情况提交定标委员会表决决定。</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开标过程中，若招标人依据招标文件的规定否决不合格投标人后，有效投标人不足3个的，本项目作流标处理并重新招标；若重新招标后有效投标人仍少于3家，则采用竞争性谈判、单一来源采购或直接发包的形式确定中标单位。因招标失败给投标人造成的损失由投标人自行承担。</w:t>
      </w:r>
    </w:p>
    <w:p>
      <w:pPr>
        <w:pStyle w:val="8"/>
        <w:jc w:val="center"/>
        <w:rPr>
          <w:rFonts w:hint="eastAsia" w:ascii="宋体" w:hAnsi="宋体" w:eastAsia="宋体" w:cs="宋体"/>
          <w:kern w:val="2"/>
          <w:sz w:val="24"/>
          <w:highlight w:val="none"/>
        </w:rPr>
      </w:pPr>
      <w:bookmarkStart w:id="151" w:name="_Toc27217"/>
      <w:bookmarkStart w:id="152" w:name="_Toc133706447"/>
      <w:bookmarkStart w:id="153" w:name="_Toc20663"/>
      <w:bookmarkStart w:id="154" w:name="_Toc16005"/>
      <w:bookmarkStart w:id="155" w:name="_Toc21760"/>
      <w:bookmarkStart w:id="156" w:name="_Toc11920"/>
      <w:bookmarkStart w:id="157" w:name="_Toc133706123"/>
      <w:bookmarkStart w:id="158" w:name="_Toc39942339"/>
      <w:bookmarkStart w:id="159" w:name="_Toc22689"/>
      <w:bookmarkStart w:id="160" w:name="_Toc27810"/>
      <w:bookmarkStart w:id="161" w:name="_Toc29152"/>
      <w:bookmarkStart w:id="162" w:name="_Toc133706593"/>
      <w:bookmarkStart w:id="163" w:name="_Toc30785"/>
      <w:bookmarkStart w:id="164" w:name="_Toc41471729"/>
      <w:bookmarkStart w:id="165" w:name="_Toc16339"/>
      <w:bookmarkStart w:id="166" w:name="_Toc133705381"/>
      <w:bookmarkStart w:id="167" w:name="_Toc39942475"/>
      <w:bookmarkStart w:id="168" w:name="_Toc18783"/>
      <w:bookmarkStart w:id="169" w:name="_Toc31259"/>
      <w:r>
        <w:rPr>
          <w:rFonts w:hint="eastAsia" w:ascii="宋体" w:hAnsi="宋体" w:eastAsia="宋体" w:cs="宋体"/>
          <w:kern w:val="2"/>
          <w:sz w:val="24"/>
          <w:highlight w:val="none"/>
        </w:rPr>
        <w:t>（</w:t>
      </w:r>
      <w:r>
        <w:rPr>
          <w:rFonts w:hint="eastAsia" w:ascii="宋体" w:hAnsi="宋体" w:eastAsia="宋体" w:cs="宋体"/>
          <w:sz w:val="24"/>
          <w:highlight w:val="none"/>
        </w:rPr>
        <w:t>六</w:t>
      </w:r>
      <w:r>
        <w:rPr>
          <w:rFonts w:hint="eastAsia" w:ascii="宋体" w:hAnsi="宋体" w:eastAsia="宋体" w:cs="宋体"/>
          <w:kern w:val="2"/>
          <w:sz w:val="24"/>
          <w:highlight w:val="none"/>
        </w:rPr>
        <w:t>）资格后审</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、资格审查由招标人组成的资格后审委员会负责，在开标后招标人对各投标人资格进行审查。</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、资格后审委员会由3名以上单数的招标人代表组成，招标代理人员参与资格审查的，其人员不得超过总人数的1/3。</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、资格后审委员严格对照投标须知前附表和第五章资格审查文件中要求的投标人资格条件，逐个审查投标人递交的资格审查文件，审核判断投标人是否满足该资格条件。</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27</w:t>
      </w:r>
      <w:r>
        <w:rPr>
          <w:rFonts w:hint="eastAsia" w:ascii="宋体" w:hAnsi="宋体" w:eastAsia="宋体" w:cs="宋体"/>
          <w:sz w:val="24"/>
          <w:highlight w:val="none"/>
        </w:rPr>
        <w:t>、审查过程中如出现疑问，资格后审委员可要求投标人进行澄清说明，并根据招标公告设置的条件要求进行判断；如出现投标人资格不符合招标公告设置条件的，应当向投标人说明情况，并允许投标人答辩，记录有关情况。</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28</w:t>
      </w:r>
      <w:r>
        <w:rPr>
          <w:rFonts w:hint="eastAsia" w:ascii="宋体" w:hAnsi="宋体" w:eastAsia="宋体" w:cs="宋体"/>
          <w:sz w:val="24"/>
          <w:highlight w:val="none"/>
        </w:rPr>
        <w:t>、投标人应准备相关原件以备查验。</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29</w:t>
      </w:r>
      <w:r>
        <w:rPr>
          <w:rFonts w:hint="eastAsia" w:ascii="宋体" w:hAnsi="宋体" w:eastAsia="宋体" w:cs="宋体"/>
          <w:sz w:val="24"/>
          <w:highlight w:val="none"/>
        </w:rPr>
        <w:t>、拟进行资格后审澄清、答辩的代表由招标人核对身份。</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、资格后审委员会要求投标人进行澄清、答辩，但投标人在招标人规定时间内未派出人员及时作出澄清、答辩的，资格后审委员会将可能作出不利于投标人的判定。</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、投标文件有下列情形之一的，招标人将不予受理（由招标人负责判定）：</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（1）投标文件的有关内容未按规定加盖投标人印章、或未经法定代表人或其委托代理人签字(或盖章)</w:t>
      </w:r>
      <w:r>
        <w:rPr>
          <w:rFonts w:hint="eastAsia" w:ascii="宋体" w:hAnsi="宋体" w:cs="宋体"/>
          <w:sz w:val="24"/>
          <w:highlight w:val="none"/>
          <w:lang w:eastAsia="zh-CN"/>
        </w:rPr>
        <w:t>的</w:t>
      </w:r>
      <w:r>
        <w:rPr>
          <w:rFonts w:hint="eastAsia" w:ascii="宋体" w:hAnsi="宋体" w:eastAsia="宋体" w:cs="宋体"/>
          <w:sz w:val="24"/>
          <w:highlight w:val="none"/>
        </w:rPr>
        <w:t>；</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（2）资格审查不合格的；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（3）同一制造商只允许授权一家有效的代理商参与本次投标，否则按以下方式处理：</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a.若同一制造商授权2家及以上代理商参与本项目投标的，则所有经该制造商授权的代理商投标文件均不予受理；</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b.若同一制造商授权2家及以上代理商参与本项目投标的，制造商与多个具备合法授权的代理商均参加本次投标，则该制造商及所有代理商投标文件均不予受理；</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c.同一制造商与经授权的唯一代理商参与同一项目投标的，则该制造商及代理商投标文件均不予受理。</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（4）投标书的内容按规定应当填写而未填写的，或按规定应提交其他资料而未提交的；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（5）《投标函》未按招标文件规定填写、漏填或内容填写错误的；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（6）投标人未按招标文件要求提交投标报名（招标文件）费用的；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（7）投标人未能按照招标人要求，对其投标文件进行澄清、说明和补正的，或投标人不接受根据招标文件规定对投标报价进行算术修正的；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（8）投标人提供虚假投标文件资料或虚假澄清补充文件的；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（9）投标人以他人的名义投标或出现下列串通投标、弄虚作假投标嫌疑情形之一的：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a.不同投标人的投标文件内容存在非正常一致的；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b.不同投标人的投标文件错漏之处一致的；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c.不同投标人的投标文件相互混装的。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（10）投标人资格条件不符合国家规定或招标文件要求的；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（11）近3年内（从招标公告发布之日起倒算）投标人或者其法定代表人有行贿犯罪记录的；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（12）近1年内（从截标之日起倒算）因串通投标、转包、以他人名义投标或者违法分包等违法行为受到建设、交通或者财政部门行政处罚的；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（13）因违反工程质量、安全生产管理规定等原因被建设部门给予红色警示且在警示期内的；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（14）拖欠工人工资被有关部门责令改正而未改正的；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（15）被建设或者交通部门信用评价为红色且正处在信用评价结果公示期内的；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（16）近3年内（从截标之日起倒算）曾被本项目招标人履约评价为不合格；</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（17）近2年内（从截标之日起倒算）曾有放弃中标资格、拒不签订合同、拒不提供履约担保情形的；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（18）因违反工程质量、安全生产管理规定，或者因串通投标、转包、以他人名义投标或者违法分包等违法行为，正在接受建设、交通或者财政部门立案调查的；</w:t>
      </w:r>
    </w:p>
    <w:p>
      <w:pPr>
        <w:tabs>
          <w:tab w:val="left" w:pos="7560"/>
        </w:tabs>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（19）法律、法规规定的其他废标情形。</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资格审查合格投标人少于3家的，本项目作流标处理，不进入后续定标环节，并按相关要求组织重新招标。若重新招标后资格审查合格的投标人仍少于3家，则采用竞争性谈判、单一来源采购或直接发包的形式确定中标单位。因招标失败给投标人造成的损失由投标人自行承担。</w:t>
      </w:r>
    </w:p>
    <w:p>
      <w:pPr>
        <w:pStyle w:val="8"/>
        <w:jc w:val="center"/>
        <w:rPr>
          <w:rFonts w:hint="eastAsia" w:ascii="宋体" w:hAnsi="宋体" w:eastAsia="宋体" w:cs="宋体"/>
          <w:sz w:val="24"/>
          <w:highlight w:val="none"/>
        </w:rPr>
      </w:pPr>
      <w:bookmarkStart w:id="170" w:name="_Toc29092"/>
      <w:bookmarkStart w:id="171" w:name="_Toc27404"/>
      <w:bookmarkStart w:id="172" w:name="_Toc14406"/>
      <w:bookmarkStart w:id="173" w:name="_Toc29002"/>
      <w:bookmarkStart w:id="174" w:name="_Toc29974"/>
      <w:bookmarkStart w:id="175" w:name="_Toc7285"/>
      <w:bookmarkStart w:id="176" w:name="_Toc133706448"/>
      <w:bookmarkStart w:id="177" w:name="_Toc25256"/>
      <w:bookmarkStart w:id="178" w:name="_Toc133706124"/>
      <w:bookmarkStart w:id="179" w:name="_Toc15427"/>
      <w:bookmarkStart w:id="180" w:name="_Toc41471730"/>
      <w:bookmarkStart w:id="181" w:name="_Toc5307"/>
      <w:bookmarkStart w:id="182" w:name="_Toc12242"/>
      <w:bookmarkStart w:id="183" w:name="_Toc133705382"/>
      <w:bookmarkStart w:id="184" w:name="_Toc133706594"/>
      <w:bookmarkStart w:id="185" w:name="_Toc28737"/>
      <w:bookmarkStart w:id="186" w:name="_Toc28024"/>
      <w:r>
        <w:rPr>
          <w:rFonts w:hint="eastAsia" w:ascii="宋体" w:hAnsi="宋体" w:eastAsia="宋体" w:cs="宋体"/>
          <w:sz w:val="24"/>
          <w:highlight w:val="none"/>
        </w:rPr>
        <w:t>（七）定标</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、定标程序</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（1）定标委员会由招标人依法组建。选取14名以上备选人员，组成定标委员会备选人员，招标人负责从备选人员中随机抽取7名组成本项目定标委员会。</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定标委员会组成后，应推举一人为定标委员会组长，主持当次定标会议并依据招标文件进行定标的各个议程。定标委员会成员不得与投标人有直接利益关系，并对招标工程定标结果负有责任。</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招标人应同时从由招标人组成的监督员库中抽取1名监督员，对定标全过程进行监督。</w:t>
      </w:r>
    </w:p>
    <w:p>
      <w:pPr>
        <w:tabs>
          <w:tab w:val="left" w:pos="7560"/>
        </w:tabs>
        <w:spacing w:line="360" w:lineRule="auto"/>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（2）本项目不进行过多投标人淘汰。</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、定标后有下列情形之一的，招标人可以从资格审查合格的其他投标人中采用原招标文件规定的定标方法，由原定标委员会确定中标人：</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（一）中标人放弃中标资格或者拒不签订合同的；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（二）被查实存在影响中标结果违法行为的；</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、定标方法</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b/>
          <w:bCs/>
          <w:sz w:val="24"/>
          <w:highlight w:val="none"/>
        </w:rPr>
        <w:t>定标方法：二次竞价定标法</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（2）定标流程：</w:t>
      </w:r>
    </w:p>
    <w:p>
      <w:pPr>
        <w:tabs>
          <w:tab w:val="left" w:pos="7560"/>
        </w:tabs>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①第一轮票决：定标委员会通过票决（简单多数）方式推荐3家投标人进入二次竞价环节</w:t>
      </w:r>
      <w:r>
        <w:rPr>
          <w:rFonts w:hint="eastAsia" w:ascii="宋体" w:hAnsi="宋体" w:eastAsia="宋体" w:cs="宋体"/>
          <w:sz w:val="24"/>
          <w:highlight w:val="none"/>
          <w:lang w:eastAsia="zh-CN"/>
        </w:rPr>
        <w:t>。</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第一轮票决考虑因素：</w:t>
      </w:r>
      <w:r>
        <w:rPr>
          <w:rFonts w:hint="eastAsia" w:ascii="宋体" w:hAnsi="宋体" w:eastAsia="宋体" w:cs="宋体"/>
          <w:b/>
          <w:bCs/>
          <w:sz w:val="24"/>
          <w:highlight w:val="none"/>
        </w:rPr>
        <w:t>投标人综合实力、投标人财务状况</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投标人同类项目业绩、一次投标报价等方面</w:t>
      </w:r>
      <w:r>
        <w:rPr>
          <w:rFonts w:hint="eastAsia" w:ascii="宋体" w:hAnsi="宋体" w:eastAsia="宋体" w:cs="宋体"/>
          <w:sz w:val="24"/>
          <w:highlight w:val="none"/>
        </w:rPr>
        <w:t>。</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a.当定标候选人大于3家时，招标人组建的定标委员会在进入投票范围的投标人中，以每人投票支持3个投标人的方式，得票最多的3个投标人进入二次竞价环节。</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计算规则：根据得票数的多少进行排名，在得票最多的投标人中选取规定数量的投标人。投票结果中排序出现并列情形的，在不影响票决家数总数的情况下不须再次投票，投票结果中并列排序影响到结果时，以继续票决的方式进行确定。</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b.当定标候选人等于3家时，定标委员会票决全部定标候选人进入二次竞价环节（注：若本项目进行二次招标，且进入定标环节的投标单位不足3家时，仍按此定标流程进行定标工作）；</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②二次竞价</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进入二次竞价环节的定标候选人在收到定标会现场通知后，应在通知的规定时间内按照招标文件载明的要求递交二次报价文件，未按时递交二次报价文件或二次报价文件不符合招标文件要求的，招标人默认该定标候选人的第二次报价与其第一次报价相同。全部二次竞价投标人在招标人代表及监督委员会的见证下，统一开启所有二次报价文件。</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递交二次报价文件的地点为召开定标会的会议地点（会议地点将在定标会前通知），报价文件格式要求详见第五章 投标文件格式“二次报价文件”，需提供1正1副及1份电子版（U盘）（包含1份Excel版本清单报价文件、1份盖章版清单报价文件原件扫描件），加盖投标人单位公章并密封后递交，若正副本不一致的，以正本为准，若电子版与纸质件不一致的，以纸质件正本为准；若Excel版本与盖章版不一致，以盖章版为准。</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次投标报价将作为投标人的最终投标报价，且不得低于成本。第二次投标报价以该单位第一次投标报价为上限，若第二次报价超过第一次投标报价，视为该投标单位的第二次投标报价与其第一次投标报价相同。第二次报价比第一次投标报价总体下浮比例超过10%的，该投标人需提交报价下浮内容明细及保证供货质量说明承诺书。未提交二次报价文件或二次报价文件未加盖投标人单位公章或第二次报价比第一次投标报价总体下浮比例超过10%但未提供承诺书的，默认该投标单位的第二次投标报价与其第一次投标报价相同。投标单位一旦中标，以该单位的第二次报价为本项目的中标价。</w:t>
      </w:r>
    </w:p>
    <w:p>
      <w:pPr>
        <w:tabs>
          <w:tab w:val="left" w:pos="7560"/>
        </w:tabs>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③第二轮票决：定标委员会通过票决（简单多数）方式确定1名投标人为本项目中标候选人</w:t>
      </w:r>
      <w:r>
        <w:rPr>
          <w:rFonts w:hint="eastAsia" w:ascii="宋体" w:hAnsi="宋体" w:eastAsia="宋体" w:cs="宋体"/>
          <w:sz w:val="24"/>
          <w:highlight w:val="none"/>
          <w:lang w:eastAsia="zh-CN"/>
        </w:rPr>
        <w:t>。</w:t>
      </w:r>
    </w:p>
    <w:p>
      <w:pPr>
        <w:tabs>
          <w:tab w:val="left" w:pos="7560"/>
        </w:tabs>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第</w:t>
      </w:r>
      <w:r>
        <w:rPr>
          <w:rFonts w:hint="eastAsia" w:ascii="宋体" w:hAnsi="宋体" w:eastAsia="宋体" w:cs="宋体"/>
          <w:sz w:val="24"/>
          <w:highlight w:val="none"/>
          <w:lang w:val="en-US" w:eastAsia="zh-CN"/>
        </w:rPr>
        <w:t>二</w:t>
      </w:r>
      <w:r>
        <w:rPr>
          <w:rFonts w:hint="eastAsia" w:ascii="宋体" w:hAnsi="宋体" w:eastAsia="宋体" w:cs="宋体"/>
          <w:sz w:val="24"/>
          <w:highlight w:val="none"/>
        </w:rPr>
        <w:t>轮票决考虑因素：</w:t>
      </w:r>
      <w:r>
        <w:rPr>
          <w:rFonts w:hint="eastAsia" w:ascii="宋体" w:hAnsi="宋体" w:eastAsia="宋体" w:cs="宋体"/>
          <w:b/>
          <w:bCs/>
          <w:sz w:val="24"/>
          <w:highlight w:val="none"/>
        </w:rPr>
        <w:t>投标人综合实力、投标人财务状况</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rPr>
        <w:t>投标人同类项目业绩、二次投标报价</w:t>
      </w:r>
      <w:r>
        <w:rPr>
          <w:rFonts w:hint="eastAsia" w:ascii="宋体" w:hAnsi="宋体" w:eastAsia="宋体" w:cs="宋体"/>
          <w:sz w:val="24"/>
          <w:highlight w:val="none"/>
        </w:rPr>
        <w:t>（如进行二次报价以二次报价为准，未进行二次报价则以一次报价为准）等要素综合考虑。</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a.定标委员会应重点评估定标候选人的第二次投标报价，并结合定标考虑因素，票决确定1名中标候选人；</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b.投票规则：招标人组建的定标委员会在进入投票范围的投标人中，以每人投票支持1个投标人的方式，得票最多的投标人为中标人。</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计算规则：根据得票数的多少进行排名，推荐得票数最多的为中标人。投票结果中排序出现并列情形的，在不影响票决家数总数的情况下无须再次投票，投票结果中并列排序影响到结果时，以继续票决的方式进行确定。</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（3）定标原则：遵循公平、公正、择优、竞价、廉洁、保密、高效的原则。</w:t>
      </w:r>
    </w:p>
    <w:p>
      <w:pPr>
        <w:pStyle w:val="8"/>
        <w:jc w:val="center"/>
        <w:rPr>
          <w:rFonts w:hint="eastAsia" w:ascii="宋体" w:hAnsi="宋体" w:eastAsia="宋体" w:cs="宋体"/>
          <w:sz w:val="24"/>
          <w:highlight w:val="none"/>
        </w:rPr>
      </w:pPr>
      <w:bookmarkStart w:id="187" w:name="_Toc31496"/>
      <w:bookmarkStart w:id="188" w:name="_Toc7270"/>
      <w:bookmarkStart w:id="189" w:name="_Toc133706595"/>
      <w:bookmarkStart w:id="190" w:name="_Toc7745"/>
      <w:bookmarkStart w:id="191" w:name="_Toc133706125"/>
      <w:bookmarkStart w:id="192" w:name="_Toc13441"/>
      <w:bookmarkStart w:id="193" w:name="_Toc29897"/>
      <w:bookmarkStart w:id="194" w:name="_Toc2756"/>
      <w:bookmarkStart w:id="195" w:name="_Toc8923"/>
      <w:bookmarkStart w:id="196" w:name="_Toc23076"/>
      <w:bookmarkStart w:id="197" w:name="_Toc133705383"/>
      <w:bookmarkStart w:id="198" w:name="_Toc14272"/>
      <w:bookmarkStart w:id="199" w:name="_Toc24909"/>
      <w:bookmarkStart w:id="200" w:name="_Toc12086"/>
      <w:bookmarkStart w:id="201" w:name="_Toc41471731"/>
      <w:bookmarkStart w:id="202" w:name="_Toc133706449"/>
      <w:bookmarkStart w:id="203" w:name="_Toc32046"/>
      <w:r>
        <w:rPr>
          <w:rFonts w:hint="eastAsia" w:ascii="宋体" w:hAnsi="宋体" w:eastAsia="宋体" w:cs="宋体"/>
          <w:sz w:val="24"/>
          <w:highlight w:val="none"/>
        </w:rPr>
        <w:t>（八）中标通知书</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、招标人应在确定中标人后，将中标结果在指定网站上公示，公示期为</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日。</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37</w:t>
      </w:r>
      <w:r>
        <w:rPr>
          <w:rFonts w:hint="eastAsia" w:ascii="宋体" w:hAnsi="宋体" w:eastAsia="宋体" w:cs="宋体"/>
          <w:sz w:val="24"/>
          <w:highlight w:val="none"/>
        </w:rPr>
        <w:t>、公示期内对中标结果若无质疑，公示期结束后该中标结果自动生效。招标人将发出中标通知书。中标通知书是本招标项目合同的组成部分。如接到有关投诉的，招标人将可能暂停发出中标通知书。</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38</w:t>
      </w:r>
      <w:r>
        <w:rPr>
          <w:rFonts w:hint="eastAsia" w:ascii="宋体" w:hAnsi="宋体" w:eastAsia="宋体" w:cs="宋体"/>
          <w:sz w:val="24"/>
          <w:highlight w:val="none"/>
        </w:rPr>
        <w:t>、招标人在发出中标通知书之前因正当理由，招标人有权接受或拒绝投标、宣布投标程序无效或拒绝所有投标。对受影响的投标人不承担任何责任。</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39</w:t>
      </w:r>
      <w:r>
        <w:rPr>
          <w:rFonts w:hint="eastAsia" w:ascii="宋体" w:hAnsi="宋体" w:eastAsia="宋体" w:cs="宋体"/>
          <w:sz w:val="24"/>
          <w:highlight w:val="none"/>
        </w:rPr>
        <w:t>、本项目定标专家服务费、交通费等费用由中标人支付，该费用已包含在合同价中，招标人不另行支付，投标人须综合考虑该部分费用。定标专家服务费、交通费等费用由招标代理人员垫付，中标人须在中标公告公示期结束后，领取《中标通知书》前，向招标代理机构一次性缴纳定标专家费、交通费等费用（此项均无发票）。</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本项目招标代理费已包含在合同价中，招标人不另行支付，投标人须综合考虑该部分费用。招标代理服务费根据国家发展计划委员会《招标代理服务收费管理暂行办法》（计价格[2002]1980号文）和国家发展改革委《国家发展改革委关于降低部分建设项目收费标准规范收费行为等有关问题的通知》（发改价[2011]534号）的规定计算，并下浮25%计取。计算时以本招标项目的中标价为基数。中标人须在中标公告公示期结束后，领取《中标通知书》前，向招标代理机构一次性缴纳招标代理费（可开发票）。具体计取费率标准如下表所示：</w:t>
      </w:r>
    </w:p>
    <w:tbl>
      <w:tblPr>
        <w:tblStyle w:val="58"/>
        <w:tblW w:w="0" w:type="auto"/>
        <w:jc w:val="center"/>
        <w:tblLayout w:type="fixed"/>
        <w:tblCellMar>
          <w:top w:w="0" w:type="dxa"/>
          <w:left w:w="108" w:type="dxa"/>
          <w:bottom w:w="0" w:type="dxa"/>
          <w:right w:w="108" w:type="dxa"/>
        </w:tblCellMar>
      </w:tblPr>
      <w:tblGrid>
        <w:gridCol w:w="2056"/>
        <w:gridCol w:w="1835"/>
        <w:gridCol w:w="1894"/>
        <w:gridCol w:w="1735"/>
      </w:tblGrid>
      <w:tr>
        <w:tblPrEx>
          <w:tblCellMar>
            <w:top w:w="0" w:type="dxa"/>
            <w:left w:w="108" w:type="dxa"/>
            <w:bottom w:w="0" w:type="dxa"/>
            <w:right w:w="108" w:type="dxa"/>
          </w:tblCellMar>
        </w:tblPrEx>
        <w:trPr>
          <w:trHeight w:val="737" w:hRule="atLeast"/>
          <w:jc w:val="center"/>
        </w:trPr>
        <w:tc>
          <w:tcPr>
            <w:tcW w:w="2056" w:type="dxa"/>
            <w:tcBorders>
              <w:top w:val="single" w:color="auto" w:sz="4" w:space="0"/>
              <w:left w:val="single" w:color="auto" w:sz="4" w:space="0"/>
              <w:bottom w:val="single" w:color="auto" w:sz="4" w:space="0"/>
              <w:right w:val="single" w:color="auto" w:sz="4" w:space="0"/>
              <w:tl2br w:val="single" w:color="auto" w:sz="4" w:space="0"/>
            </w:tcBorders>
            <w:vAlign w:val="center"/>
          </w:tcPr>
          <w:p>
            <w:pPr>
              <w:widowControl/>
              <w:jc w:val="left"/>
              <w:rPr>
                <w:rFonts w:hint="eastAsia" w:ascii="宋体" w:hAnsi="宋体" w:eastAsia="宋体" w:cs="宋体"/>
                <w:kern w:val="0"/>
                <w:szCs w:val="21"/>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Cs w:val="21"/>
                <w:highlight w:val="none"/>
              </w:rPr>
              <w:t>类别</w:t>
            </w:r>
          </w:p>
          <w:p>
            <w:pPr>
              <w:widowControl/>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金额(万元)</w:t>
            </w:r>
          </w:p>
        </w:tc>
        <w:tc>
          <w:tcPr>
            <w:tcW w:w="18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工程招标</w:t>
            </w:r>
          </w:p>
        </w:tc>
        <w:tc>
          <w:tcPr>
            <w:tcW w:w="189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货物招标</w:t>
            </w:r>
          </w:p>
        </w:tc>
        <w:tc>
          <w:tcPr>
            <w:tcW w:w="173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服务招标</w:t>
            </w:r>
          </w:p>
        </w:tc>
      </w:tr>
      <w:tr>
        <w:tblPrEx>
          <w:tblCellMar>
            <w:top w:w="0" w:type="dxa"/>
            <w:left w:w="108" w:type="dxa"/>
            <w:bottom w:w="0" w:type="dxa"/>
            <w:right w:w="108" w:type="dxa"/>
          </w:tblCellMar>
        </w:tblPrEx>
        <w:trPr>
          <w:trHeight w:val="402" w:hRule="atLeast"/>
          <w:jc w:val="center"/>
        </w:trPr>
        <w:tc>
          <w:tcPr>
            <w:tcW w:w="2056" w:type="dxa"/>
            <w:tcBorders>
              <w:top w:val="single" w:color="auto" w:sz="4" w:space="0"/>
              <w:left w:val="single" w:color="auto" w:sz="8" w:space="0"/>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100以下</w:t>
            </w:r>
          </w:p>
        </w:tc>
        <w:tc>
          <w:tcPr>
            <w:tcW w:w="1835"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1.00%</w:t>
            </w:r>
          </w:p>
        </w:tc>
        <w:tc>
          <w:tcPr>
            <w:tcW w:w="1894"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1.50%</w:t>
            </w:r>
          </w:p>
        </w:tc>
        <w:tc>
          <w:tcPr>
            <w:tcW w:w="1735"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1.50%</w:t>
            </w:r>
          </w:p>
        </w:tc>
      </w:tr>
      <w:tr>
        <w:tblPrEx>
          <w:tblCellMar>
            <w:top w:w="0" w:type="dxa"/>
            <w:left w:w="108" w:type="dxa"/>
            <w:bottom w:w="0" w:type="dxa"/>
            <w:right w:w="108" w:type="dxa"/>
          </w:tblCellMar>
        </w:tblPrEx>
        <w:trPr>
          <w:trHeight w:val="402" w:hRule="atLeast"/>
          <w:jc w:val="center"/>
        </w:trPr>
        <w:tc>
          <w:tcPr>
            <w:tcW w:w="2056" w:type="dxa"/>
            <w:tcBorders>
              <w:top w:val="nil"/>
              <w:left w:val="single" w:color="auto" w:sz="8" w:space="0"/>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100-500</w:t>
            </w:r>
          </w:p>
        </w:tc>
        <w:tc>
          <w:tcPr>
            <w:tcW w:w="1835"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0.70%</w:t>
            </w:r>
          </w:p>
        </w:tc>
        <w:tc>
          <w:tcPr>
            <w:tcW w:w="1894"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1.10%</w:t>
            </w:r>
          </w:p>
        </w:tc>
        <w:tc>
          <w:tcPr>
            <w:tcW w:w="1735"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0.80%</w:t>
            </w:r>
          </w:p>
        </w:tc>
      </w:tr>
      <w:tr>
        <w:tblPrEx>
          <w:tblCellMar>
            <w:top w:w="0" w:type="dxa"/>
            <w:left w:w="108" w:type="dxa"/>
            <w:bottom w:w="0" w:type="dxa"/>
            <w:right w:w="108" w:type="dxa"/>
          </w:tblCellMar>
        </w:tblPrEx>
        <w:trPr>
          <w:trHeight w:val="402" w:hRule="atLeast"/>
          <w:jc w:val="center"/>
        </w:trPr>
        <w:tc>
          <w:tcPr>
            <w:tcW w:w="2056" w:type="dxa"/>
            <w:tcBorders>
              <w:top w:val="nil"/>
              <w:left w:val="single" w:color="auto" w:sz="8" w:space="0"/>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500-1000</w:t>
            </w:r>
          </w:p>
        </w:tc>
        <w:tc>
          <w:tcPr>
            <w:tcW w:w="1835"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0.55%</w:t>
            </w:r>
          </w:p>
        </w:tc>
        <w:tc>
          <w:tcPr>
            <w:tcW w:w="1894"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0.80%</w:t>
            </w:r>
          </w:p>
        </w:tc>
        <w:tc>
          <w:tcPr>
            <w:tcW w:w="1735"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0.45%</w:t>
            </w:r>
          </w:p>
        </w:tc>
      </w:tr>
      <w:tr>
        <w:tblPrEx>
          <w:tblCellMar>
            <w:top w:w="0" w:type="dxa"/>
            <w:left w:w="108" w:type="dxa"/>
            <w:bottom w:w="0" w:type="dxa"/>
            <w:right w:w="108" w:type="dxa"/>
          </w:tblCellMar>
        </w:tblPrEx>
        <w:trPr>
          <w:trHeight w:val="402" w:hRule="atLeast"/>
          <w:jc w:val="center"/>
        </w:trPr>
        <w:tc>
          <w:tcPr>
            <w:tcW w:w="2056" w:type="dxa"/>
            <w:tcBorders>
              <w:top w:val="nil"/>
              <w:left w:val="single" w:color="auto" w:sz="8" w:space="0"/>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1000-5000</w:t>
            </w:r>
          </w:p>
        </w:tc>
        <w:tc>
          <w:tcPr>
            <w:tcW w:w="1835"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0.35%</w:t>
            </w:r>
          </w:p>
        </w:tc>
        <w:tc>
          <w:tcPr>
            <w:tcW w:w="1894"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0.50%</w:t>
            </w:r>
          </w:p>
        </w:tc>
        <w:tc>
          <w:tcPr>
            <w:tcW w:w="1735"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0.25%</w:t>
            </w:r>
          </w:p>
        </w:tc>
      </w:tr>
      <w:tr>
        <w:tblPrEx>
          <w:tblCellMar>
            <w:top w:w="0" w:type="dxa"/>
            <w:left w:w="108" w:type="dxa"/>
            <w:bottom w:w="0" w:type="dxa"/>
            <w:right w:w="108" w:type="dxa"/>
          </w:tblCellMar>
        </w:tblPrEx>
        <w:trPr>
          <w:trHeight w:val="402" w:hRule="atLeast"/>
          <w:jc w:val="center"/>
        </w:trPr>
        <w:tc>
          <w:tcPr>
            <w:tcW w:w="2056" w:type="dxa"/>
            <w:tcBorders>
              <w:top w:val="nil"/>
              <w:left w:val="single" w:color="auto" w:sz="8" w:space="0"/>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5000-10000</w:t>
            </w:r>
          </w:p>
        </w:tc>
        <w:tc>
          <w:tcPr>
            <w:tcW w:w="1835"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0.20%</w:t>
            </w:r>
          </w:p>
        </w:tc>
        <w:tc>
          <w:tcPr>
            <w:tcW w:w="1894"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0.25%</w:t>
            </w:r>
          </w:p>
        </w:tc>
        <w:tc>
          <w:tcPr>
            <w:tcW w:w="1735"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0.10%</w:t>
            </w:r>
          </w:p>
        </w:tc>
      </w:tr>
      <w:tr>
        <w:tblPrEx>
          <w:tblCellMar>
            <w:top w:w="0" w:type="dxa"/>
            <w:left w:w="108" w:type="dxa"/>
            <w:bottom w:w="0" w:type="dxa"/>
            <w:right w:w="108" w:type="dxa"/>
          </w:tblCellMar>
        </w:tblPrEx>
        <w:trPr>
          <w:trHeight w:val="402" w:hRule="atLeast"/>
          <w:jc w:val="center"/>
        </w:trPr>
        <w:tc>
          <w:tcPr>
            <w:tcW w:w="2056" w:type="dxa"/>
            <w:tcBorders>
              <w:top w:val="nil"/>
              <w:left w:val="single" w:color="auto" w:sz="8" w:space="0"/>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10000-100000</w:t>
            </w:r>
          </w:p>
        </w:tc>
        <w:tc>
          <w:tcPr>
            <w:tcW w:w="1835"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0.05%</w:t>
            </w:r>
          </w:p>
        </w:tc>
        <w:tc>
          <w:tcPr>
            <w:tcW w:w="1894"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0.05%</w:t>
            </w:r>
          </w:p>
        </w:tc>
        <w:tc>
          <w:tcPr>
            <w:tcW w:w="1735"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0.05%</w:t>
            </w:r>
          </w:p>
        </w:tc>
      </w:tr>
      <w:tr>
        <w:tblPrEx>
          <w:tblCellMar>
            <w:top w:w="0" w:type="dxa"/>
            <w:left w:w="108" w:type="dxa"/>
            <w:bottom w:w="0" w:type="dxa"/>
            <w:right w:w="108" w:type="dxa"/>
          </w:tblCellMar>
        </w:tblPrEx>
        <w:trPr>
          <w:trHeight w:val="402" w:hRule="atLeast"/>
          <w:jc w:val="center"/>
        </w:trPr>
        <w:tc>
          <w:tcPr>
            <w:tcW w:w="2056" w:type="dxa"/>
            <w:tcBorders>
              <w:top w:val="nil"/>
              <w:left w:val="single" w:color="auto" w:sz="8" w:space="0"/>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1000000以上</w:t>
            </w:r>
          </w:p>
        </w:tc>
        <w:tc>
          <w:tcPr>
            <w:tcW w:w="1835"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0.01%</w:t>
            </w:r>
          </w:p>
        </w:tc>
        <w:tc>
          <w:tcPr>
            <w:tcW w:w="1894"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0.01%</w:t>
            </w:r>
          </w:p>
        </w:tc>
        <w:tc>
          <w:tcPr>
            <w:tcW w:w="1735" w:type="dxa"/>
            <w:tcBorders>
              <w:top w:val="nil"/>
              <w:left w:val="nil"/>
              <w:bottom w:val="single" w:color="auto" w:sz="8" w:space="0"/>
              <w:right w:val="single" w:color="auto" w:sz="8" w:space="0"/>
            </w:tcBorders>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0.01%</w:t>
            </w:r>
          </w:p>
        </w:tc>
      </w:tr>
    </w:tbl>
    <w:p>
      <w:pPr>
        <w:tabs>
          <w:tab w:val="left" w:pos="7560"/>
        </w:tabs>
        <w:spacing w:line="360" w:lineRule="auto"/>
        <w:ind w:firstLine="480" w:firstLineChars="200"/>
        <w:rPr>
          <w:rFonts w:hint="eastAsia" w:ascii="宋体" w:hAnsi="宋体" w:eastAsia="宋体" w:cs="宋体"/>
          <w:sz w:val="24"/>
          <w:highlight w:val="none"/>
        </w:rPr>
      </w:pPr>
      <w:bookmarkStart w:id="204" w:name="_Toc3354"/>
      <w:bookmarkStart w:id="205" w:name="_Toc7189"/>
      <w:bookmarkStart w:id="206" w:name="_Toc27171"/>
      <w:bookmarkStart w:id="207" w:name="_Toc17798"/>
      <w:bookmarkStart w:id="208" w:name="_Toc12917"/>
      <w:bookmarkStart w:id="209" w:name="_Toc27735"/>
      <w:bookmarkStart w:id="210" w:name="_Toc16397"/>
      <w:bookmarkStart w:id="211" w:name="_Toc26997"/>
      <w:bookmarkStart w:id="212" w:name="_Toc31995"/>
      <w:r>
        <w:rPr>
          <w:rFonts w:hint="eastAsia" w:ascii="宋体" w:hAnsi="宋体" w:eastAsia="宋体" w:cs="宋体"/>
          <w:sz w:val="24"/>
          <w:highlight w:val="none"/>
        </w:rPr>
        <w:t>例如：某</w:t>
      </w:r>
      <w:r>
        <w:rPr>
          <w:rFonts w:hint="eastAsia" w:ascii="宋体" w:hAnsi="宋体" w:eastAsia="宋体" w:cs="宋体"/>
          <w:sz w:val="24"/>
          <w:highlight w:val="none"/>
          <w:lang w:val="en-US" w:eastAsia="zh-CN"/>
        </w:rPr>
        <w:t>货物</w:t>
      </w:r>
      <w:r>
        <w:rPr>
          <w:rFonts w:hint="eastAsia" w:ascii="宋体" w:hAnsi="宋体" w:eastAsia="宋体" w:cs="宋体"/>
          <w:sz w:val="24"/>
          <w:highlight w:val="none"/>
        </w:rPr>
        <w:t>招标代理业务中标金额为600万元，计算招标代理服务收费额如下：</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100万元×1.50%=1.5万元</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（500-100）万元×</w:t>
      </w:r>
      <w:r>
        <w:rPr>
          <w:rFonts w:hint="eastAsia" w:ascii="宋体" w:hAnsi="宋体" w:eastAsia="宋体" w:cs="宋体"/>
          <w:sz w:val="24"/>
          <w:highlight w:val="none"/>
          <w:lang w:val="en-US" w:eastAsia="zh-CN"/>
        </w:rPr>
        <w:t>1.1</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4.4</w:t>
      </w:r>
      <w:r>
        <w:rPr>
          <w:rFonts w:hint="eastAsia" w:ascii="宋体" w:hAnsi="宋体" w:eastAsia="宋体" w:cs="宋体"/>
          <w:sz w:val="24"/>
          <w:highlight w:val="none"/>
        </w:rPr>
        <w:t>万元</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（600-500）万元×0.</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%=0.</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万元</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合计收费=（1.5+</w:t>
      </w:r>
      <w:r>
        <w:rPr>
          <w:rFonts w:hint="eastAsia" w:ascii="宋体" w:hAnsi="宋体" w:eastAsia="宋体" w:cs="宋体"/>
          <w:sz w:val="24"/>
          <w:highlight w:val="none"/>
          <w:lang w:val="en-US" w:eastAsia="zh-CN"/>
        </w:rPr>
        <w:t>4.4</w:t>
      </w:r>
      <w:r>
        <w:rPr>
          <w:rFonts w:hint="eastAsia" w:ascii="宋体" w:hAnsi="宋体" w:eastAsia="宋体" w:cs="宋体"/>
          <w:sz w:val="24"/>
          <w:highlight w:val="none"/>
        </w:rPr>
        <w:t>+0.</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）×（1-25%）=</w:t>
      </w:r>
      <w:r>
        <w:rPr>
          <w:rFonts w:hint="eastAsia" w:ascii="宋体" w:hAnsi="宋体" w:eastAsia="宋体" w:cs="宋体"/>
          <w:highlight w:val="none"/>
        </w:rPr>
        <w:t xml:space="preserve"> </w:t>
      </w:r>
      <w:r>
        <w:rPr>
          <w:rFonts w:hint="eastAsia" w:ascii="宋体" w:hAnsi="宋体" w:eastAsia="宋体" w:cs="宋体"/>
          <w:sz w:val="24"/>
          <w:highlight w:val="none"/>
          <w:lang w:val="en-US" w:eastAsia="zh-CN"/>
        </w:rPr>
        <w:t>5.025</w:t>
      </w:r>
      <w:r>
        <w:rPr>
          <w:rFonts w:hint="eastAsia" w:ascii="宋体" w:hAnsi="宋体" w:eastAsia="宋体" w:cs="宋体"/>
          <w:sz w:val="24"/>
          <w:highlight w:val="none"/>
        </w:rPr>
        <w:t>万元</w:t>
      </w:r>
    </w:p>
    <w:p>
      <w:pPr>
        <w:pStyle w:val="8"/>
        <w:jc w:val="center"/>
        <w:rPr>
          <w:rFonts w:hint="eastAsia" w:ascii="宋体" w:hAnsi="宋体" w:eastAsia="宋体" w:cs="宋体"/>
          <w:sz w:val="24"/>
          <w:highlight w:val="none"/>
        </w:rPr>
      </w:pPr>
      <w:bookmarkStart w:id="213" w:name="_Toc133706596"/>
      <w:bookmarkStart w:id="214" w:name="_Toc133706126"/>
      <w:bookmarkStart w:id="215" w:name="_Toc133705384"/>
      <w:bookmarkStart w:id="216" w:name="_Toc133706450"/>
      <w:r>
        <w:rPr>
          <w:rFonts w:hint="eastAsia" w:ascii="宋体" w:hAnsi="宋体" w:eastAsia="宋体" w:cs="宋体"/>
          <w:sz w:val="24"/>
          <w:highlight w:val="none"/>
        </w:rPr>
        <w:t>（九）</w:t>
      </w:r>
      <w:r>
        <w:rPr>
          <w:rFonts w:hint="eastAsia" w:ascii="宋体" w:hAnsi="宋体" w:eastAsia="宋体" w:cs="宋体"/>
          <w:kern w:val="2"/>
          <w:sz w:val="24"/>
          <w:highlight w:val="none"/>
        </w:rPr>
        <w:t>授予合同</w:t>
      </w:r>
      <w:bookmarkEnd w:id="204"/>
      <w:bookmarkEnd w:id="205"/>
      <w:bookmarkEnd w:id="206"/>
      <w:bookmarkEnd w:id="207"/>
      <w:bookmarkEnd w:id="208"/>
      <w:bookmarkEnd w:id="209"/>
      <w:bookmarkEnd w:id="210"/>
      <w:bookmarkEnd w:id="211"/>
      <w:bookmarkEnd w:id="212"/>
      <w:bookmarkEnd w:id="213"/>
      <w:bookmarkEnd w:id="214"/>
      <w:bookmarkEnd w:id="215"/>
      <w:bookmarkEnd w:id="216"/>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、在签订合同前，中标人应向招标人提交履约担保，履约担保的金额和方式：见“投标须知前附表”。</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如果中标人拒不提交招标文件要求的履约担保的，招标人可取消其中标资格，并支付招标估价百分之五的补偿金给招标人。另外，给招标人造成的损失超过上述金额的，招标人还有权要求中标人对超过部分进行赔偿。</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、招标人与中标人须于前附表规定的时间内，依据《中华人民共和国民法典》及招投标文件签订合同。</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、中标人如不按时与招标人签订合同，则招标人将有权取消其中标资格，并支付招标估价百分之五的补偿金给招标人。另外，给招标人造成的损失超过上述金额的，招标人还有权要求中标人对超过部分进行赔偿。</w:t>
      </w:r>
    </w:p>
    <w:p>
      <w:pPr>
        <w:pStyle w:val="8"/>
        <w:jc w:val="center"/>
        <w:rPr>
          <w:rFonts w:hint="eastAsia" w:ascii="宋体" w:hAnsi="宋体" w:eastAsia="宋体" w:cs="宋体"/>
          <w:kern w:val="2"/>
          <w:sz w:val="24"/>
          <w:highlight w:val="none"/>
        </w:rPr>
      </w:pPr>
      <w:bookmarkStart w:id="217" w:name="_Toc969"/>
      <w:bookmarkStart w:id="218" w:name="_Toc24466"/>
      <w:bookmarkStart w:id="219" w:name="_Toc12683"/>
      <w:bookmarkStart w:id="220" w:name="_Toc133706451"/>
      <w:bookmarkStart w:id="221" w:name="_Toc133706127"/>
      <w:bookmarkStart w:id="222" w:name="_Toc21525"/>
      <w:bookmarkStart w:id="223" w:name="_Toc32530"/>
      <w:bookmarkStart w:id="224" w:name="_Toc9377"/>
      <w:bookmarkStart w:id="225" w:name="_Toc133705385"/>
      <w:bookmarkStart w:id="226" w:name="_Toc41471733"/>
      <w:bookmarkStart w:id="227" w:name="_Toc16037"/>
      <w:bookmarkStart w:id="228" w:name="_Toc17026"/>
      <w:bookmarkStart w:id="229" w:name="_Toc133706597"/>
      <w:bookmarkStart w:id="230" w:name="_Toc30123"/>
      <w:bookmarkStart w:id="231" w:name="_Toc14614"/>
      <w:bookmarkStart w:id="232" w:name="_Toc11701"/>
      <w:bookmarkStart w:id="233" w:name="_Toc30074"/>
      <w:r>
        <w:rPr>
          <w:rFonts w:hint="eastAsia" w:ascii="宋体" w:hAnsi="宋体" w:eastAsia="宋体" w:cs="宋体"/>
          <w:sz w:val="24"/>
          <w:highlight w:val="none"/>
        </w:rPr>
        <w:t>（十）</w:t>
      </w:r>
      <w:r>
        <w:rPr>
          <w:rFonts w:hint="eastAsia" w:ascii="宋体" w:hAnsi="宋体" w:eastAsia="宋体" w:cs="宋体"/>
          <w:kern w:val="2"/>
          <w:sz w:val="24"/>
          <w:highlight w:val="none"/>
        </w:rPr>
        <w:t>其他</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、本招标文件的解释权归招标人所有，招标人有权在法律允许范围内调整本次招标活动的细节及保留最终解释权。</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、投标文件经评审后，认为所有投标都不符合招标文件要求的，可以否决所有投标。所有投标被否决的，招标人应重新招标。招标人不负担因招标失败给投标人造成的损失。</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47</w:t>
      </w:r>
      <w:r>
        <w:rPr>
          <w:rFonts w:hint="eastAsia" w:ascii="宋体" w:hAnsi="宋体" w:eastAsia="宋体" w:cs="宋体"/>
          <w:sz w:val="24"/>
          <w:highlight w:val="none"/>
        </w:rPr>
        <w:t>、如果投标人实质上不符合投标资格，即使参加投标并缴纳各种费用，招标人可以随时取消其投标或中标资格，招标人对该投标人的一切损失概不责任。</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48</w:t>
      </w:r>
      <w:r>
        <w:rPr>
          <w:rFonts w:hint="eastAsia" w:ascii="宋体" w:hAnsi="宋体" w:eastAsia="宋体" w:cs="宋体"/>
          <w:sz w:val="24"/>
          <w:highlight w:val="none"/>
        </w:rPr>
        <w:t>、中标无效的，发出的中标通知书和签订的合同自始没有法律约束力，但不影响合同中存在的有关解决争议方法的条款的效力。</w:t>
      </w:r>
    </w:p>
    <w:p>
      <w:pPr>
        <w:tabs>
          <w:tab w:val="left" w:pos="75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49</w:t>
      </w:r>
      <w:r>
        <w:rPr>
          <w:rFonts w:hint="eastAsia" w:ascii="宋体" w:hAnsi="宋体" w:eastAsia="宋体" w:cs="宋体"/>
          <w:sz w:val="24"/>
          <w:highlight w:val="none"/>
        </w:rPr>
        <w:t>、本招标文件所有的附件与本招标文件具有同等效力。</w:t>
      </w:r>
    </w:p>
    <w:p>
      <w:pPr>
        <w:pStyle w:val="26"/>
        <w:spacing w:before="120" w:after="120"/>
        <w:rPr>
          <w:rFonts w:hint="eastAsia" w:ascii="宋体" w:hAnsi="宋体" w:eastAsia="宋体" w:cs="宋体"/>
          <w:sz w:val="36"/>
          <w:highlight w:val="none"/>
        </w:rPr>
      </w:pPr>
      <w:bookmarkStart w:id="234" w:name="_Toc41471734"/>
      <w:r>
        <w:rPr>
          <w:rFonts w:hint="eastAsia" w:ascii="宋体" w:hAnsi="宋体" w:eastAsia="宋体" w:cs="宋体"/>
          <w:sz w:val="36"/>
          <w:highlight w:val="none"/>
        </w:rPr>
        <w:br w:type="page"/>
      </w:r>
      <w:bookmarkStart w:id="235" w:name="_Toc5970"/>
      <w:bookmarkStart w:id="236" w:name="_Toc133706128"/>
      <w:bookmarkStart w:id="237" w:name="_Toc133706452"/>
      <w:bookmarkStart w:id="238" w:name="_Toc133705386"/>
      <w:bookmarkStart w:id="239" w:name="_Toc133706598"/>
      <w:bookmarkStart w:id="240" w:name="_Toc12318"/>
      <w:bookmarkStart w:id="241" w:name="_Toc25584"/>
      <w:bookmarkStart w:id="242" w:name="_Toc2093"/>
      <w:bookmarkStart w:id="243" w:name="_Toc20352"/>
      <w:bookmarkStart w:id="244" w:name="_Toc31050"/>
      <w:bookmarkStart w:id="245" w:name="_Toc10362"/>
      <w:bookmarkStart w:id="246" w:name="_Toc17229"/>
      <w:bookmarkStart w:id="247" w:name="_Toc28375"/>
      <w:bookmarkStart w:id="248" w:name="_Toc3597"/>
      <w:bookmarkStart w:id="249" w:name="_Toc27933"/>
      <w:bookmarkStart w:id="250" w:name="_Toc12561"/>
      <w:bookmarkStart w:id="251" w:name="_Toc6319"/>
      <w:bookmarkStart w:id="252" w:name="_Toc23791"/>
      <w:bookmarkStart w:id="253" w:name="_Toc24464"/>
      <w:r>
        <w:rPr>
          <w:rFonts w:hint="eastAsia" w:ascii="宋体" w:hAnsi="宋体" w:eastAsia="宋体" w:cs="宋体"/>
          <w:sz w:val="36"/>
          <w:highlight w:val="none"/>
        </w:rPr>
        <w:t>第三章  任务书</w:t>
      </w:r>
      <w:bookmarkEnd w:id="235"/>
      <w:bookmarkEnd w:id="236"/>
      <w:bookmarkEnd w:id="237"/>
      <w:bookmarkEnd w:id="238"/>
      <w:bookmarkEnd w:id="239"/>
    </w:p>
    <w:p>
      <w:pPr>
        <w:pStyle w:val="329"/>
        <w:ind w:firstLine="480"/>
        <w:jc w:val="both"/>
        <w:outlineLvl w:val="1"/>
        <w:rPr>
          <w:rFonts w:hint="eastAsia" w:ascii="宋体" w:hAnsi="宋体" w:eastAsia="宋体" w:cs="宋体"/>
          <w:b/>
          <w:bCs/>
          <w:color w:val="000000"/>
          <w:szCs w:val="24"/>
          <w:highlight w:val="none"/>
        </w:rPr>
      </w:pPr>
      <w:bookmarkStart w:id="254" w:name="_Toc133706021"/>
      <w:bookmarkStart w:id="255" w:name="_Toc133705387"/>
      <w:bookmarkStart w:id="256" w:name="_Toc133706453"/>
      <w:bookmarkStart w:id="257" w:name="_Toc133706599"/>
      <w:bookmarkStart w:id="258" w:name="_Toc133706129"/>
      <w:r>
        <w:rPr>
          <w:rFonts w:ascii="宋体" w:hAnsi="宋体" w:eastAsia="宋体" w:cs="宋体"/>
          <w:b/>
          <w:bCs/>
          <w:color w:val="000000"/>
          <w:szCs w:val="24"/>
          <w:highlight w:val="none"/>
        </w:rPr>
        <w:t>（一）项目概况</w:t>
      </w:r>
      <w:bookmarkEnd w:id="254"/>
      <w:bookmarkEnd w:id="255"/>
      <w:bookmarkEnd w:id="256"/>
      <w:bookmarkEnd w:id="257"/>
      <w:bookmarkEnd w:id="258"/>
    </w:p>
    <w:p>
      <w:pPr>
        <w:pStyle w:val="326"/>
        <w:ind w:firstLine="482"/>
        <w:jc w:val="both"/>
        <w:rPr>
          <w:rFonts w:hint="eastAsia" w:ascii="宋体" w:hAnsi="宋体" w:eastAsia="宋体" w:cs="宋体"/>
          <w:b/>
          <w:sz w:val="24"/>
          <w:szCs w:val="24"/>
          <w:highlight w:val="none"/>
        </w:rPr>
      </w:pPr>
      <w:r>
        <w:rPr>
          <w:rFonts w:hint="eastAsia" w:ascii="宋体" w:hAnsi="宋体" w:eastAsia="宋体" w:cs="宋体"/>
          <w:b w:val="0"/>
          <w:bCs/>
          <w:sz w:val="24"/>
          <w:szCs w:val="24"/>
          <w:highlight w:val="none"/>
          <w:lang w:eastAsia="zh-CN"/>
        </w:rPr>
        <w:t>深圳会计进修学院生活用水市政接驳工程</w:t>
      </w:r>
      <w:r>
        <w:rPr>
          <w:rFonts w:hint="eastAsia" w:ascii="宋体" w:hAnsi="宋体" w:eastAsia="宋体" w:cs="宋体"/>
          <w:b w:val="0"/>
          <w:bCs/>
          <w:sz w:val="24"/>
          <w:szCs w:val="24"/>
          <w:highlight w:val="none"/>
        </w:rPr>
        <w:t>建设内容是由南侧菠萝山污水泵站附近 DN800开口，新建加压设备、覆塑不锈钢管DN80 管约1666m、球墨铸铁给水管 DN100管约809m等。根据项目生产需要，拟采购水泵、阀门及自控电气设备等一体化加压设备。</w:t>
      </w:r>
    </w:p>
    <w:p>
      <w:pPr>
        <w:pStyle w:val="329"/>
        <w:ind w:firstLine="480"/>
        <w:outlineLvl w:val="1"/>
        <w:rPr>
          <w:rFonts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二</w:t>
      </w:r>
      <w:r>
        <w:rPr>
          <w:rFonts w:hint="eastAsia" w:ascii="宋体" w:hAnsi="宋体" w:eastAsia="宋体" w:cs="宋体"/>
          <w:b/>
          <w:bCs/>
          <w:color w:val="000000"/>
          <w:sz w:val="24"/>
          <w:szCs w:val="24"/>
          <w:highlight w:val="none"/>
        </w:rPr>
        <w:t>）招标范围</w:t>
      </w:r>
    </w:p>
    <w:p>
      <w:pPr>
        <w:pStyle w:val="326"/>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本次采购范围包括但不限于水泵、阀门及自控电气设备等一体化加压设备，具体详见货物需求表。（注：数量均为暂定量，具体以项目实施过程中实际发生的采购数量为准。）</w:t>
      </w:r>
    </w:p>
    <w:p>
      <w:pPr>
        <w:pStyle w:val="326"/>
        <w:spacing w:line="360" w:lineRule="auto"/>
        <w:ind w:leftChars="0" w:firstLine="0" w:firstLineChars="0"/>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货物需求表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1"/>
        <w:gridCol w:w="1116"/>
        <w:gridCol w:w="1656"/>
        <w:gridCol w:w="4049"/>
        <w:gridCol w:w="876"/>
        <w:gridCol w:w="527"/>
        <w:gridCol w:w="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259" w:name="_Toc133706513"/>
            <w:bookmarkStart w:id="260" w:name="_Toc133705447"/>
            <w:bookmarkStart w:id="261" w:name="_Toc133706081"/>
            <w:bookmarkStart w:id="262" w:name="_Toc133706189"/>
            <w:bookmarkStart w:id="263" w:name="_Toc133706659"/>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部位</w:t>
            </w: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名称</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材质</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1号泵房设备明细表</w:t>
            </w: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1#泵房变频泵组</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规格型号:主泵Q=15m3A，H=45m(两用一备)；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辅泵Q=5m3/h，H=45m (一用)。</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箱体</w:t>
            </w:r>
          </w:p>
        </w:tc>
        <w:tc>
          <w:tcPr>
            <w:tcW w:w="222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整体尺寸 (LxBxH=8.5x3.5x3.0m)</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电气系统</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详见图纸</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PLC/安防柜</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2000*800*600</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不锈钢暗杆硬密封闸阀</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(1)DN100 PN1.0 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可曲绕橡胶接头</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(1)DN100 PN1.0Mpa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不锈钢暗杆硬密封闸阀</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(1)DN100 PN1.0Mpa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可曲绕橡胶接头</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(1)DN100 PN1.0Mpa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多功能水泵控制阀</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(1)DN100 PN1.0Mpa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不锈钢暗杆硬密封闸阀</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(1)DN80 PN1.0 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可曲绕橡胶接头</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(1)DN80 PN1.0 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不锈钢暗杆硬密封闸阀</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(1)DN80 PN1.0 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可曲绕橡胶接头</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(1)DN80 PN1.0 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多功能水泵控制阀</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(1)DN80 PN1.0 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压力表</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r>
              <w:rPr>
                <w:rFonts w:hint="eastAsia" w:ascii="宋体" w:hAnsi="宋体" w:eastAsia="宋体" w:cs="宋体"/>
                <w:i w:val="0"/>
                <w:iCs w:val="0"/>
                <w:color w:val="000000"/>
                <w:kern w:val="0"/>
                <w:sz w:val="22"/>
                <w:szCs w:val="22"/>
                <w:u w:val="none"/>
                <w:bdr w:val="none" w:color="auto" w:sz="0" w:space="0"/>
                <w:lang w:val="en-US" w:eastAsia="zh-CN" w:bidi="ar"/>
              </w:rPr>
              <w:t>量程 0~1.6Mpa</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4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1号泵房水池出水侧</w:t>
            </w: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不锈钢暗杆硬密封闸阀</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(1)DN100 PN1.0 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紫外线消毒器</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(1)Q=36m3/h  P=510W (2)PN1.0Mpa</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法兰阀门</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r>
              <w:rPr>
                <w:rFonts w:hint="eastAsia" w:ascii="宋体" w:hAnsi="宋体" w:eastAsia="宋体" w:cs="宋体"/>
                <w:i w:val="0"/>
                <w:iCs w:val="0"/>
                <w:color w:val="000000"/>
                <w:kern w:val="0"/>
                <w:sz w:val="22"/>
                <w:szCs w:val="22"/>
                <w:u w:val="none"/>
                <w:bdr w:val="none" w:color="auto" w:sz="0" w:space="0"/>
                <w:lang w:val="en-US" w:eastAsia="zh-CN" w:bidi="ar"/>
              </w:rPr>
              <w:t>复合式排气阀 DN25  (2)</w:t>
            </w:r>
            <w:r>
              <w:rPr>
                <w:rFonts w:hint="eastAsia" w:ascii="宋体" w:hAnsi="宋体" w:eastAsia="宋体" w:cs="宋体"/>
                <w:i w:val="0"/>
                <w:iCs w:val="0"/>
                <w:color w:val="000000"/>
                <w:kern w:val="0"/>
                <w:sz w:val="22"/>
                <w:szCs w:val="22"/>
                <w:u w:val="none"/>
                <w:bdr w:val="none" w:color="auto" w:sz="0" w:space="0"/>
                <w:lang w:val="en-US" w:eastAsia="zh-CN" w:bidi="ar"/>
              </w:rPr>
              <w:t>法兰连接 PN1.0Mpa</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Y型过滤器</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(1)DN100 PN1.0 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电接点压力表</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r>
              <w:rPr>
                <w:rFonts w:hint="eastAsia" w:ascii="宋体" w:hAnsi="宋体" w:eastAsia="宋体" w:cs="宋体"/>
                <w:i w:val="0"/>
                <w:iCs w:val="0"/>
                <w:color w:val="000000"/>
                <w:kern w:val="0"/>
                <w:sz w:val="22"/>
                <w:szCs w:val="22"/>
                <w:u w:val="none"/>
                <w:bdr w:val="none" w:color="auto" w:sz="0" w:space="0"/>
                <w:lang w:val="en-US" w:eastAsia="zh-CN" w:bidi="ar"/>
              </w:rPr>
              <w:t>量程 0~1.6Mpa</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压力变送器</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(1)PN0~2.5Mpa </w:t>
            </w:r>
            <w:r>
              <w:rPr>
                <w:rFonts w:hint="eastAsia" w:ascii="宋体" w:hAnsi="宋体" w:eastAsia="宋体" w:cs="宋体"/>
                <w:i w:val="0"/>
                <w:iCs w:val="0"/>
                <w:color w:val="000000"/>
                <w:kern w:val="0"/>
                <w:sz w:val="22"/>
                <w:szCs w:val="22"/>
                <w:u w:val="none"/>
                <w:bdr w:val="none" w:color="auto" w:sz="0" w:space="0"/>
                <w:lang w:val="en-US" w:eastAsia="zh-CN" w:bidi="ar"/>
              </w:rPr>
              <w:t>（2</w:t>
            </w:r>
            <w:r>
              <w:rPr>
                <w:rFonts w:hint="eastAsia" w:ascii="宋体" w:hAnsi="宋体" w:eastAsia="宋体" w:cs="宋体"/>
                <w:i w:val="0"/>
                <w:iCs w:val="0"/>
                <w:color w:val="000000"/>
                <w:kern w:val="0"/>
                <w:sz w:val="22"/>
                <w:szCs w:val="22"/>
                <w:u w:val="none"/>
                <w:bdr w:val="none" w:color="auto" w:sz="0" w:space="0"/>
                <w:lang w:val="en-US" w:eastAsia="zh-CN" w:bidi="ar"/>
              </w:rPr>
              <w:t>）输出信号4~20mA</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不锈钢暗杆硬密封闸阀</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(1)DN100 PN1.6Mpa / PN2.5Mpa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可曲绕橡胶接头</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(1)DN100 PN1.6Mpa / PN2.5Mpa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4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1号泵房水池（箱）进水管</w:t>
            </w: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不锈钢暗杆硬密封闸阀</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(1)DN80 PN2.5 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Y型过滤器</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(1)DN80 PN2.5 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水表</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(1)DN50 PN2.5Mpa</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电动蝶阀</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(1)DN80 PN2.5 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压力变送器</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(1)PN0~2.5Mpa </w:t>
            </w:r>
            <w:r>
              <w:rPr>
                <w:rFonts w:hint="eastAsia" w:ascii="宋体" w:hAnsi="宋体" w:eastAsia="宋体" w:cs="宋体"/>
                <w:i w:val="0"/>
                <w:iCs w:val="0"/>
                <w:color w:val="000000"/>
                <w:kern w:val="0"/>
                <w:sz w:val="22"/>
                <w:szCs w:val="22"/>
                <w:u w:val="none"/>
                <w:bdr w:val="none" w:color="auto" w:sz="0" w:space="0"/>
                <w:lang w:val="en-US" w:eastAsia="zh-CN" w:bidi="ar"/>
              </w:rPr>
              <w:t>（2</w:t>
            </w:r>
            <w:r>
              <w:rPr>
                <w:rFonts w:hint="eastAsia" w:ascii="宋体" w:hAnsi="宋体" w:eastAsia="宋体" w:cs="宋体"/>
                <w:i w:val="0"/>
                <w:iCs w:val="0"/>
                <w:color w:val="000000"/>
                <w:kern w:val="0"/>
                <w:sz w:val="22"/>
                <w:szCs w:val="22"/>
                <w:u w:val="none"/>
                <w:bdr w:val="none" w:color="auto" w:sz="0" w:space="0"/>
                <w:lang w:val="en-US" w:eastAsia="zh-CN" w:bidi="ar"/>
              </w:rPr>
              <w:t xml:space="preserve">）4-20mA </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液压水位控制阀</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(1)DN80  0.05~1.6Mpa</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水池（箱）</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水箱V有效=12.6m3(LxBxH=3.5x3.0x3.0m)</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S31603</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不锈钢暗杆硬密封闸阀</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(1)DN80  PN1.0 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旋流防止器</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(1)DN100  </w:t>
            </w:r>
            <w:r>
              <w:rPr>
                <w:rFonts w:hint="eastAsia" w:ascii="宋体" w:hAnsi="宋体" w:eastAsia="宋体" w:cs="宋体"/>
                <w:i w:val="0"/>
                <w:iCs w:val="0"/>
                <w:color w:val="000000"/>
                <w:kern w:val="0"/>
                <w:sz w:val="22"/>
                <w:szCs w:val="22"/>
                <w:u w:val="none"/>
                <w:bdr w:val="none" w:color="auto" w:sz="0" w:space="0"/>
                <w:lang w:val="en-US" w:eastAsia="zh-CN" w:bidi="ar"/>
              </w:rPr>
              <w:t>（2</w:t>
            </w:r>
            <w:r>
              <w:rPr>
                <w:rFonts w:hint="eastAsia" w:ascii="宋体" w:hAnsi="宋体" w:eastAsia="宋体" w:cs="宋体"/>
                <w:i w:val="0"/>
                <w:iCs w:val="0"/>
                <w:color w:val="000000"/>
                <w:kern w:val="0"/>
                <w:sz w:val="22"/>
                <w:szCs w:val="22"/>
                <w:u w:val="none"/>
                <w:bdr w:val="none" w:color="auto" w:sz="0" w:space="0"/>
                <w:lang w:val="en-US" w:eastAsia="zh-CN" w:bidi="ar"/>
              </w:rPr>
              <w:t>）吸水口</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超声波液位计</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(1)0~5m</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4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1号泵房内附属设施</w:t>
            </w: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磷酸铵盐干粉灭火器</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4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1号泵房通风设施</w:t>
            </w: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挂壁式空调</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r>
              <w:rPr>
                <w:rFonts w:hint="eastAsia" w:ascii="宋体" w:hAnsi="宋体" w:eastAsia="宋体" w:cs="宋体"/>
                <w:i w:val="0"/>
                <w:iCs w:val="0"/>
                <w:color w:val="000000"/>
                <w:kern w:val="0"/>
                <w:sz w:val="22"/>
                <w:szCs w:val="22"/>
                <w:u w:val="none"/>
                <w:bdr w:val="none" w:color="auto" w:sz="0" w:space="0"/>
                <w:lang w:val="en-US" w:eastAsia="zh-CN" w:bidi="ar"/>
              </w:rPr>
              <w:t>匹</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461"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1号泵房</w:t>
            </w:r>
          </w:p>
        </w:tc>
        <w:tc>
          <w:tcPr>
            <w:tcW w:w="89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不锈钢管</w:t>
            </w:r>
          </w:p>
        </w:tc>
        <w:tc>
          <w:tcPr>
            <w:tcW w:w="222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泵房外一米以内的管材</w:t>
            </w:r>
          </w:p>
        </w:tc>
        <w:tc>
          <w:tcPr>
            <w:tcW w:w="27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批</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461"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安装调试费</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4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2号泵房设备明细表</w:t>
            </w: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工频泵组</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Q=6.5m3/h</w:t>
            </w:r>
            <w:r>
              <w:rPr>
                <w:rFonts w:hint="eastAsia" w:ascii="宋体" w:hAnsi="宋体" w:eastAsia="宋体" w:cs="宋体"/>
                <w:i w:val="0"/>
                <w:iCs w:val="0"/>
                <w:color w:val="000000"/>
                <w:kern w:val="0"/>
                <w:sz w:val="22"/>
                <w:szCs w:val="22"/>
                <w:u w:val="none"/>
                <w:bdr w:val="none" w:color="auto" w:sz="0" w:space="0"/>
                <w:lang w:val="en-US" w:eastAsia="zh-CN" w:bidi="ar"/>
              </w:rPr>
              <w:t>，H=125m</w:t>
            </w:r>
            <w:r>
              <w:rPr>
                <w:rFonts w:hint="eastAsia" w:ascii="宋体" w:hAnsi="宋体" w:eastAsia="宋体" w:cs="宋体"/>
                <w:i w:val="0"/>
                <w:iCs w:val="0"/>
                <w:color w:val="000000"/>
                <w:kern w:val="0"/>
                <w:sz w:val="22"/>
                <w:szCs w:val="22"/>
                <w:u w:val="none"/>
                <w:bdr w:val="none" w:color="auto" w:sz="0" w:space="0"/>
                <w:lang w:val="en-US" w:eastAsia="zh-CN" w:bidi="ar"/>
              </w:rPr>
              <w:t>（一用一备）</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箱体</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整体尺寸（</w:t>
            </w:r>
            <w:r>
              <w:rPr>
                <w:rFonts w:hint="eastAsia" w:ascii="宋体" w:hAnsi="宋体" w:eastAsia="宋体" w:cs="宋体"/>
                <w:i w:val="0"/>
                <w:iCs w:val="0"/>
                <w:color w:val="000000"/>
                <w:kern w:val="0"/>
                <w:sz w:val="22"/>
                <w:szCs w:val="22"/>
                <w:u w:val="none"/>
                <w:bdr w:val="none" w:color="auto" w:sz="0" w:space="0"/>
                <w:lang w:val="en-US" w:eastAsia="zh-CN" w:bidi="ar"/>
              </w:rPr>
              <w:t>L×B×H=4×2.5×3.0m</w:t>
            </w: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电气系统</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详见图纸</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PLC/安防柜</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2000*800*600</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不锈钢暗杆硬密封闸阀</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(1)DN100 PN1.0 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可曲绕橡胶接头</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(1)DN100 PN1.0Mpa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不锈钢暗杆硬密封闸阀</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(1)DN80 PN2.5Mpa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可曲绕橡胶接头</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(1)DN80 PN2.5Mpa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多功能水泵控制阀</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(1)DN80 PN2.5Mpa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压力表</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r>
              <w:rPr>
                <w:rFonts w:hint="eastAsia" w:ascii="宋体" w:hAnsi="宋体" w:eastAsia="宋体" w:cs="宋体"/>
                <w:i w:val="0"/>
                <w:iCs w:val="0"/>
                <w:color w:val="000000"/>
                <w:kern w:val="0"/>
                <w:sz w:val="22"/>
                <w:szCs w:val="22"/>
                <w:u w:val="none"/>
                <w:bdr w:val="none" w:color="auto" w:sz="0" w:space="0"/>
                <w:lang w:val="en-US" w:eastAsia="zh-CN" w:bidi="ar"/>
              </w:rPr>
              <w:t>量程 0~2.5Mpa</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4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2号泵房水池进水侧</w:t>
            </w: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不锈钢暗杆硬密封闸阀</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(1)DN100 PN1.0Mpa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Y型过滤器</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(1)DN100 PN1.0Mpa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水表</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(1)DN80 PN1.0Mpa</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压力变送器</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(1)PN0~1.0Mpa </w:t>
            </w:r>
            <w:r>
              <w:rPr>
                <w:rFonts w:hint="eastAsia" w:ascii="宋体" w:hAnsi="宋体" w:eastAsia="宋体" w:cs="宋体"/>
                <w:i w:val="0"/>
                <w:iCs w:val="0"/>
                <w:color w:val="000000"/>
                <w:kern w:val="0"/>
                <w:sz w:val="22"/>
                <w:szCs w:val="22"/>
                <w:u w:val="none"/>
                <w:bdr w:val="none" w:color="auto" w:sz="0" w:space="0"/>
                <w:lang w:val="en-US" w:eastAsia="zh-CN" w:bidi="ar"/>
              </w:rPr>
              <w:t>（2</w:t>
            </w:r>
            <w:r>
              <w:rPr>
                <w:rFonts w:hint="eastAsia" w:ascii="宋体" w:hAnsi="宋体" w:eastAsia="宋体" w:cs="宋体"/>
                <w:i w:val="0"/>
                <w:iCs w:val="0"/>
                <w:color w:val="000000"/>
                <w:kern w:val="0"/>
                <w:sz w:val="22"/>
                <w:szCs w:val="22"/>
                <w:u w:val="none"/>
                <w:bdr w:val="none" w:color="auto" w:sz="0" w:space="0"/>
                <w:lang w:val="en-US" w:eastAsia="zh-CN" w:bidi="ar"/>
              </w:rPr>
              <w:t xml:space="preserve">）4-20mA </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4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2号泵房水池（箱）出水管</w:t>
            </w: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不锈钢暗杆硬密封闸阀</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(1)DN80  PN2.5 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S30408</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可曲绕橡胶接头</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(1)DN80  PN2.5 Mpa (2)</w:t>
            </w:r>
            <w:r>
              <w:rPr>
                <w:rFonts w:hint="eastAsia" w:ascii="宋体" w:hAnsi="宋体" w:eastAsia="宋体" w:cs="宋体"/>
                <w:i w:val="0"/>
                <w:iCs w:val="0"/>
                <w:color w:val="000000"/>
                <w:kern w:val="0"/>
                <w:sz w:val="22"/>
                <w:szCs w:val="22"/>
                <w:u w:val="none"/>
                <w:bdr w:val="none" w:color="auto" w:sz="0" w:space="0"/>
                <w:lang w:val="en-US" w:eastAsia="zh-CN" w:bidi="ar"/>
              </w:rPr>
              <w:t>法兰连接</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4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泵房内附属设施</w:t>
            </w: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磷酸铵盐干粉灭火器</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46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2号泵房通风设施</w:t>
            </w:r>
          </w:p>
        </w:tc>
        <w:tc>
          <w:tcPr>
            <w:tcW w:w="89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挂壁式空调</w:t>
            </w:r>
          </w:p>
        </w:tc>
        <w:tc>
          <w:tcPr>
            <w:tcW w:w="222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r>
              <w:rPr>
                <w:rFonts w:hint="eastAsia" w:ascii="宋体" w:hAnsi="宋体" w:eastAsia="宋体" w:cs="宋体"/>
                <w:i w:val="0"/>
                <w:iCs w:val="0"/>
                <w:color w:val="000000"/>
                <w:kern w:val="0"/>
                <w:sz w:val="22"/>
                <w:szCs w:val="22"/>
                <w:u w:val="none"/>
                <w:bdr w:val="none" w:color="auto" w:sz="0" w:space="0"/>
                <w:lang w:val="en-US" w:eastAsia="zh-CN" w:bidi="ar"/>
              </w:rPr>
              <w:t>匹</w:t>
            </w:r>
          </w:p>
        </w:tc>
        <w:tc>
          <w:tcPr>
            <w:tcW w:w="2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33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461"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2号泵房</w:t>
            </w:r>
          </w:p>
        </w:tc>
        <w:tc>
          <w:tcPr>
            <w:tcW w:w="89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不锈钢管</w:t>
            </w:r>
          </w:p>
        </w:tc>
        <w:tc>
          <w:tcPr>
            <w:tcW w:w="222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泵房外一米以内的管材</w:t>
            </w:r>
          </w:p>
        </w:tc>
        <w:tc>
          <w:tcPr>
            <w:tcW w:w="27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批</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46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461"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安装调试费用</w:t>
            </w:r>
          </w:p>
        </w:tc>
        <w:tc>
          <w:tcPr>
            <w:tcW w:w="2226"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27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w:t>
            </w:r>
          </w:p>
        </w:tc>
        <w:tc>
          <w:tcPr>
            <w:tcW w:w="338"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r>
    </w:tbl>
    <w:p>
      <w:pPr>
        <w:pStyle w:val="329"/>
        <w:ind w:firstLine="480"/>
        <w:outlineLvl w:val="1"/>
        <w:rPr>
          <w:rFonts w:hint="eastAsia" w:ascii="宋体" w:hAnsi="宋体" w:eastAsia="宋体" w:cs="宋体"/>
          <w:b/>
          <w:bCs/>
          <w:color w:val="000000"/>
          <w:szCs w:val="24"/>
          <w:highlight w:val="none"/>
        </w:rPr>
      </w:pPr>
    </w:p>
    <w:p>
      <w:pPr>
        <w:pStyle w:val="329"/>
        <w:ind w:firstLine="480"/>
        <w:outlineLvl w:val="1"/>
        <w:rPr>
          <w:rFonts w:hint="eastAsia" w:ascii="宋体" w:hAnsi="宋体" w:eastAsia="宋体" w:cs="宋体"/>
          <w:b/>
          <w:bCs/>
          <w:color w:val="000000"/>
          <w:szCs w:val="24"/>
          <w:highlight w:val="none"/>
        </w:rPr>
      </w:pPr>
      <w:r>
        <w:rPr>
          <w:rFonts w:hint="eastAsia" w:ascii="宋体" w:hAnsi="宋体" w:eastAsia="宋体" w:cs="宋体"/>
          <w:b/>
          <w:bCs/>
          <w:color w:val="000000"/>
          <w:szCs w:val="24"/>
          <w:highlight w:val="none"/>
        </w:rPr>
        <w:t>（三）</w:t>
      </w:r>
      <w:bookmarkEnd w:id="259"/>
      <w:bookmarkEnd w:id="260"/>
      <w:bookmarkEnd w:id="261"/>
      <w:bookmarkEnd w:id="262"/>
      <w:bookmarkEnd w:id="263"/>
      <w:r>
        <w:rPr>
          <w:rFonts w:hint="eastAsia" w:ascii="宋体" w:hAnsi="宋体" w:eastAsia="宋体" w:cs="宋体"/>
          <w:b/>
          <w:bCs/>
          <w:color w:val="000000"/>
          <w:szCs w:val="24"/>
          <w:highlight w:val="none"/>
        </w:rPr>
        <w:t>供货期</w:t>
      </w:r>
    </w:p>
    <w:p>
      <w:pPr>
        <w:pStyle w:val="326"/>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货物运抵现场时间自中标通知书发放之日起</w:t>
      </w:r>
      <w:r>
        <w:rPr>
          <w:rFonts w:hint="eastAsia" w:ascii="宋体" w:hAnsi="宋体" w:eastAsia="宋体" w:cs="宋体"/>
          <w:sz w:val="24"/>
          <w:szCs w:val="24"/>
          <w:highlight w:val="none"/>
          <w:lang w:val="en-US" w:eastAsia="zh-CN"/>
        </w:rPr>
        <w:t>60</w:t>
      </w:r>
      <w:r>
        <w:rPr>
          <w:rFonts w:hint="eastAsia" w:ascii="宋体" w:hAnsi="宋体" w:eastAsia="宋体" w:cs="宋体"/>
          <w:sz w:val="24"/>
          <w:szCs w:val="24"/>
          <w:highlight w:val="none"/>
        </w:rPr>
        <w:t>个日历日内（乙方需在供货期内完成货物及其他相关配套设施的供应、技术支持等工作，并按甲方要求分批到货，具体供货时间以甲方通知为准）。</w:t>
      </w:r>
    </w:p>
    <w:p>
      <w:pPr>
        <w:pStyle w:val="329"/>
        <w:ind w:firstLine="480"/>
        <w:outlineLvl w:val="1"/>
        <w:rPr>
          <w:rFonts w:hint="eastAsia" w:ascii="宋体" w:hAnsi="宋体" w:eastAsia="宋体" w:cs="宋体"/>
          <w:b/>
          <w:bCs/>
          <w:color w:val="000000"/>
          <w:szCs w:val="24"/>
          <w:highlight w:val="none"/>
          <w:lang w:eastAsia="zh-CN"/>
        </w:rPr>
      </w:pPr>
      <w:r>
        <w:rPr>
          <w:rFonts w:hint="eastAsia" w:ascii="宋体" w:hAnsi="宋体" w:eastAsia="宋体" w:cs="宋体"/>
          <w:b/>
          <w:bCs/>
          <w:color w:val="000000"/>
          <w:szCs w:val="24"/>
          <w:highlight w:val="none"/>
          <w:lang w:eastAsia="zh-CN"/>
        </w:rPr>
        <w:t>（</w:t>
      </w:r>
      <w:r>
        <w:rPr>
          <w:rFonts w:hint="eastAsia" w:ascii="宋体" w:hAnsi="宋体" w:eastAsia="宋体" w:cs="宋体"/>
          <w:b/>
          <w:bCs/>
          <w:color w:val="000000"/>
          <w:szCs w:val="24"/>
          <w:highlight w:val="none"/>
          <w:lang w:val="en-US" w:eastAsia="zh-CN"/>
        </w:rPr>
        <w:t>四</w:t>
      </w:r>
      <w:r>
        <w:rPr>
          <w:rFonts w:hint="eastAsia" w:ascii="宋体" w:hAnsi="宋体" w:eastAsia="宋体" w:cs="宋体"/>
          <w:b/>
          <w:bCs/>
          <w:color w:val="000000"/>
          <w:szCs w:val="24"/>
          <w:highlight w:val="none"/>
          <w:lang w:eastAsia="zh-CN"/>
        </w:rPr>
        <w:t>）</w:t>
      </w:r>
      <w:r>
        <w:rPr>
          <w:rFonts w:hint="eastAsia" w:ascii="宋体" w:hAnsi="宋体" w:eastAsia="宋体" w:cs="宋体"/>
          <w:b/>
          <w:bCs/>
          <w:color w:val="000000"/>
          <w:szCs w:val="24"/>
          <w:highlight w:val="none"/>
        </w:rPr>
        <w:t>技术</w:t>
      </w:r>
      <w:r>
        <w:rPr>
          <w:rFonts w:hint="eastAsia" w:ascii="宋体" w:hAnsi="宋体" w:cs="宋体"/>
          <w:b/>
          <w:bCs/>
          <w:color w:val="000000"/>
          <w:szCs w:val="24"/>
          <w:highlight w:val="none"/>
          <w:lang w:val="en-US" w:eastAsia="zh-CN"/>
        </w:rPr>
        <w:t>要求</w:t>
      </w:r>
    </w:p>
    <w:p>
      <w:pPr>
        <w:keepNext/>
        <w:keepLines/>
        <w:spacing w:beforeLines="50" w:afterLines="50" w:line="360" w:lineRule="auto"/>
        <w:jc w:val="center"/>
        <w:outlineLvl w:val="0"/>
        <w:rPr>
          <w:rFonts w:hint="eastAsia" w:ascii="宋体" w:hAnsi="宋体" w:eastAsia="宋体" w:cs="宋体"/>
          <w:b/>
          <w:sz w:val="32"/>
          <w:highlight w:val="none"/>
        </w:rPr>
      </w:pPr>
      <w:r>
        <w:rPr>
          <w:rFonts w:hint="eastAsia" w:ascii="宋体" w:hAnsi="宋体" w:eastAsia="宋体" w:cs="宋体"/>
          <w:b/>
          <w:sz w:val="32"/>
          <w:highlight w:val="none"/>
        </w:rPr>
        <w:t>技术标准和要求</w:t>
      </w:r>
    </w:p>
    <w:p>
      <w:pPr>
        <w:widowControl/>
        <w:spacing w:line="360" w:lineRule="auto"/>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说明：投标人须对本项目技术规范和要求进行整体响应。</w:t>
      </w:r>
    </w:p>
    <w:p>
      <w:pPr>
        <w:spacing w:line="360" w:lineRule="auto"/>
        <w:rPr>
          <w:rFonts w:hint="eastAsia" w:ascii="宋体" w:hAnsi="宋体" w:eastAsia="宋体" w:cs="宋体"/>
          <w:b/>
          <w:bCs/>
          <w:iCs/>
          <w:kern w:val="0"/>
          <w:sz w:val="28"/>
          <w:szCs w:val="28"/>
          <w:highlight w:val="none"/>
        </w:rPr>
      </w:pPr>
      <w:r>
        <w:rPr>
          <w:rFonts w:hint="eastAsia" w:ascii="宋体" w:hAnsi="宋体" w:eastAsia="宋体" w:cs="宋体"/>
          <w:b/>
          <w:bCs/>
          <w:iCs/>
          <w:kern w:val="0"/>
          <w:sz w:val="28"/>
          <w:szCs w:val="28"/>
          <w:highlight w:val="none"/>
        </w:rPr>
        <w:t>1.执行标准及规范</w:t>
      </w:r>
    </w:p>
    <w:p>
      <w:pPr>
        <w:spacing w:line="360" w:lineRule="auto"/>
        <w:ind w:firstLine="480" w:firstLineChars="200"/>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本招标项目的设备、材料、加工制作、施工安装须符合国家相关标准和规范的要求，包括但不限于以下标准、规范：</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8"/>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《建筑给水排水设计规范》</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GB50015-2003（2009年版）</w:t>
            </w:r>
          </w:p>
        </w:tc>
      </w:tr>
      <w:tr>
        <w:tblPrEx>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《二次供水工程技术规范》</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CJJ140-2010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《叠压供水技术规程》</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CECS221：2012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《罐式叠压给水设备》</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GB/T 24912-2010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《箱式叠压给水设备》</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GB/T 24603-2009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《无负压管网增压稳流给水设备》</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GB/T26003-2010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《箱式无负压供水设备》</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CJ/T302-2008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《泵房设计规范》</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GB/T50265-2010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《清水离心泵能效限定值及节能评价值》</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GB19762-2007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《中小型三相异步电动机能效限定值及能效等级》</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GB18613-2012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《永磁同步电动机能效限定值及能效等级》</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GB30253-2013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《二次供水设施卫生规范》</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GB17501-1997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《生活饮用水输配水设备及防护材料的安全性评价标准》</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GB/T17219-2001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《中小型泵选用及安装》</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02S106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《离心泵技术条件Ⅰ》</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GB/T16907-2014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《离心泵效率》</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GB/T13007-2011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《离心泵 测流泵 轴流泵和旋流泵试验方法》</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GB3216-2016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《机械密封技术条件》</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JB4127-85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《泵涂漆技术条件》</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JB/T4297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《水泵验收测试规程》</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CECS118：2000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《压缩机、风机、泵类安装工程施工及验收标准》</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GB50275-2010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《泵的振动测量与评价方法》</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JB/T8097-2013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《泵的噪声测量与评价方法》</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JB/T8098-2013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《通用用电设备配电设计规范》</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 50055-2011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《民用建筑电气设计规范》</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JGJ16-2008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《微机控制变频调速给水设备》</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CJ/T352-2010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《调速电气传动系统 第2部分：一般要求 低压交流变频电气传动系统额定值的规定》</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GB/T12668.2(IEC61800-2：1998，IDT)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《低压成套开关设备和控制设备》</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TEC61439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《低压成套开关设备》</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GB7251-2006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《电气控制设备》</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GB/T3797-2005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《电能质量 公共电网谐波》</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GBT14549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《旋转电机 定额和性能》</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GB755（IEC60034-1：2004，IDT）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《液体泵带频率转换器的泵设备保证和兼容性试验》</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EN12483-1999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《法兰和对夹连接弹性密封蝶阀》</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GB/T12238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《流体输送用不锈钢焊接钢管》</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GB/T12771-2008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《气焊、焊条电弧焊、气体保护焊和高能束焊的推荐坡口》</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GB/T985.1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《建筑给水排水及采暖工程施工质量验收规范》</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GB50242-2005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《建筑工程施工质量验收统一标准》</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GB50300-2013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《建筑电气工程施工质量验收规范》</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GB50303-2011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《电气装置安装工程电缆施工及验收规范》</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GB50168-2006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《电气装置安装工程接地施工及验收规范》</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GB50169-2006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《电气装置安装工程施工及验收规范》</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GBJ232-92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《机械设备安装工程施工及验收通用规范》</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GB50231-98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《建筑防雷设计规范》</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GB50057-2010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《建筑物电子信息系统防雷技术规范》</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GB50343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《电子设备雷击试验方法》</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GB/T3482-2008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《城市区域环境噪声标准》</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GB3096-2008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《民用建筑隔音设计规范》</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GBJ118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《包装、储运图示设计标志》</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GB191-2008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《标牌》</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GB/T1306-2011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《矩形给水箱》</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12S101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《数字集成全变频叠压供水设备选用与安装》</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16S110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《变频调速供水设备选用与安装》</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16S111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《钢制压力容器》</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8"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《机电产品包装通用技术条件》</w:t>
            </w:r>
          </w:p>
        </w:tc>
        <w:tc>
          <w:tcPr>
            <w:tcW w:w="3433" w:type="dxa"/>
          </w:tcPr>
          <w:p>
            <w:pPr>
              <w:spacing w:line="320" w:lineRule="exact"/>
              <w:rPr>
                <w:rFonts w:hint="eastAsia" w:ascii="宋体" w:hAnsi="宋体" w:eastAsia="宋体" w:cs="宋体"/>
                <w:iCs/>
                <w:kern w:val="0"/>
                <w:sz w:val="24"/>
                <w:szCs w:val="22"/>
                <w:highlight w:val="none"/>
              </w:rPr>
            </w:pPr>
            <w:r>
              <w:rPr>
                <w:rFonts w:hint="eastAsia" w:ascii="宋体" w:hAnsi="宋体" w:eastAsia="宋体" w:cs="宋体"/>
                <w:iCs/>
                <w:kern w:val="0"/>
                <w:sz w:val="24"/>
                <w:szCs w:val="22"/>
                <w:highlight w:val="none"/>
              </w:rPr>
              <w:t>GB/T13384</w:t>
            </w:r>
          </w:p>
        </w:tc>
      </w:tr>
    </w:tbl>
    <w:p>
      <w:pPr>
        <w:spacing w:line="360" w:lineRule="auto"/>
        <w:ind w:firstLine="480" w:firstLineChars="200"/>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或其它相应的国际及国内有关标准。所应用的标准应是最新的且已实施的版本，必须在本招标截止日期之前28天尚在通用的版本。</w:t>
      </w:r>
    </w:p>
    <w:p>
      <w:pPr>
        <w:widowControl/>
        <w:tabs>
          <w:tab w:val="left" w:pos="709"/>
        </w:tabs>
        <w:spacing w:line="360" w:lineRule="auto"/>
        <w:rPr>
          <w:rFonts w:hint="eastAsia" w:ascii="宋体" w:hAnsi="宋体" w:eastAsia="宋体" w:cs="宋体"/>
          <w:b/>
          <w:bCs/>
          <w:iCs/>
          <w:kern w:val="0"/>
          <w:sz w:val="28"/>
          <w:szCs w:val="28"/>
          <w:highlight w:val="none"/>
        </w:rPr>
      </w:pPr>
      <w:r>
        <w:rPr>
          <w:rFonts w:hint="eastAsia" w:ascii="宋体" w:hAnsi="宋体" w:eastAsia="宋体" w:cs="宋体"/>
          <w:b/>
          <w:bCs/>
          <w:iCs/>
          <w:kern w:val="0"/>
          <w:sz w:val="28"/>
          <w:szCs w:val="28"/>
          <w:highlight w:val="none"/>
        </w:rPr>
        <w:t>2.泵站技术要求</w:t>
      </w:r>
    </w:p>
    <w:p>
      <w:pPr>
        <w:widowControl/>
        <w:tabs>
          <w:tab w:val="left" w:pos="709"/>
        </w:tabs>
        <w:spacing w:line="360" w:lineRule="auto"/>
        <w:rPr>
          <w:rFonts w:hint="eastAsia" w:ascii="宋体" w:hAnsi="宋体" w:eastAsia="宋体" w:cs="宋体"/>
          <w:b/>
          <w:bCs/>
          <w:iCs/>
          <w:kern w:val="0"/>
          <w:sz w:val="24"/>
          <w:szCs w:val="22"/>
          <w:highlight w:val="none"/>
        </w:rPr>
      </w:pPr>
      <w:r>
        <w:rPr>
          <w:rFonts w:hint="eastAsia" w:ascii="宋体" w:hAnsi="宋体" w:eastAsia="宋体" w:cs="宋体"/>
          <w:b/>
          <w:bCs/>
          <w:iCs/>
          <w:kern w:val="0"/>
          <w:sz w:val="24"/>
          <w:szCs w:val="22"/>
          <w:highlight w:val="none"/>
        </w:rPr>
        <w:t>2.1 一般技术要求</w:t>
      </w:r>
    </w:p>
    <w:p>
      <w:pPr>
        <w:widowControl/>
        <w:numPr>
          <w:ilvl w:val="0"/>
          <w:numId w:val="2"/>
        </w:numPr>
        <w:tabs>
          <w:tab w:val="left" w:pos="709"/>
        </w:tabs>
        <w:spacing w:line="360" w:lineRule="auto"/>
        <w:rPr>
          <w:rFonts w:hint="eastAsia" w:ascii="宋体" w:hAnsi="宋体" w:eastAsia="宋体" w:cs="宋体"/>
          <w:iCs/>
          <w:kern w:val="0"/>
          <w:sz w:val="24"/>
          <w:highlight w:val="none"/>
        </w:rPr>
      </w:pPr>
      <w:r>
        <w:rPr>
          <w:rFonts w:hint="eastAsia" w:ascii="宋体" w:hAnsi="宋体" w:eastAsia="宋体" w:cs="宋体"/>
          <w:iCs/>
          <w:kern w:val="0"/>
          <w:sz w:val="24"/>
          <w:highlight w:val="none"/>
        </w:rPr>
        <w:t>本项目采购的一体化泵站为整机供货，包括但不限于水泵及安装配件、服务平台、管道及管配件、阀门、液位传感器、通风系统、控制系统、照明系统、安防系统等。泵体设备在厂内预先装配，并提供运输、现场指导安装及调试和相关售后服务。</w:t>
      </w:r>
    </w:p>
    <w:p>
      <w:pPr>
        <w:widowControl/>
        <w:numPr>
          <w:ilvl w:val="0"/>
          <w:numId w:val="2"/>
        </w:numPr>
        <w:tabs>
          <w:tab w:val="left" w:pos="709"/>
        </w:tabs>
        <w:spacing w:line="360" w:lineRule="auto"/>
        <w:rPr>
          <w:rFonts w:hint="eastAsia" w:ascii="宋体" w:hAnsi="宋体" w:eastAsia="宋体" w:cs="宋体"/>
          <w:sz w:val="24"/>
          <w:highlight w:val="none"/>
        </w:rPr>
      </w:pPr>
      <w:r>
        <w:rPr>
          <w:rFonts w:hint="eastAsia" w:ascii="宋体" w:hAnsi="宋体" w:eastAsia="宋体" w:cs="宋体"/>
          <w:iCs/>
          <w:kern w:val="0"/>
          <w:sz w:val="24"/>
          <w:highlight w:val="none"/>
        </w:rPr>
        <w:t>一体化泵站的箱体材质、内部管道等安装附件采用不锈钢材质，壳体材料要求材质轻便、强度高、耐腐蚀，内部配件材料要求必须符合现行国家标准和行业技术规范，</w:t>
      </w:r>
      <w:r>
        <w:rPr>
          <w:rFonts w:hint="eastAsia" w:ascii="宋体" w:hAnsi="宋体" w:eastAsia="宋体" w:cs="宋体"/>
          <w:sz w:val="24"/>
          <w:highlight w:val="none"/>
        </w:rPr>
        <w:t>同时具有材质证明或出厂合格证书。</w:t>
      </w:r>
    </w:p>
    <w:p>
      <w:pPr>
        <w:widowControl/>
        <w:numPr>
          <w:ilvl w:val="0"/>
          <w:numId w:val="2"/>
        </w:numPr>
        <w:tabs>
          <w:tab w:val="left" w:pos="709"/>
        </w:tabs>
        <w:spacing w:line="360" w:lineRule="auto"/>
        <w:rPr>
          <w:rFonts w:hint="eastAsia" w:ascii="宋体" w:hAnsi="宋体" w:eastAsia="宋体" w:cs="宋体"/>
          <w:bCs/>
          <w:sz w:val="24"/>
          <w:szCs w:val="24"/>
          <w:highlight w:val="none"/>
        </w:rPr>
      </w:pPr>
      <w:r>
        <w:rPr>
          <w:rFonts w:hint="eastAsia" w:ascii="宋体" w:hAnsi="宋体" w:eastAsia="宋体" w:cs="宋体"/>
          <w:bCs/>
          <w:iCs/>
          <w:kern w:val="0"/>
          <w:sz w:val="24"/>
          <w:highlight w:val="none"/>
        </w:rPr>
        <w:t>一体化预制泵站的设计、制造、安装保证用户的技术使用要求，有高度的工作可靠性，尽可能减少维修工作量。</w:t>
      </w:r>
    </w:p>
    <w:p>
      <w:pPr>
        <w:widowControl/>
        <w:numPr>
          <w:ilvl w:val="0"/>
          <w:numId w:val="2"/>
        </w:numPr>
        <w:tabs>
          <w:tab w:val="left" w:pos="709"/>
        </w:tabs>
        <w:spacing w:line="360" w:lineRule="auto"/>
        <w:rPr>
          <w:rFonts w:hint="eastAsia" w:ascii="宋体" w:hAnsi="宋体" w:eastAsia="宋体" w:cs="宋体"/>
          <w:b/>
          <w:iCs/>
          <w:kern w:val="0"/>
          <w:sz w:val="24"/>
          <w:szCs w:val="22"/>
          <w:highlight w:val="none"/>
        </w:rPr>
      </w:pPr>
      <w:r>
        <w:rPr>
          <w:rFonts w:hint="eastAsia" w:ascii="宋体" w:hAnsi="宋体" w:eastAsia="宋体" w:cs="宋体"/>
          <w:b/>
          <w:iCs/>
          <w:kern w:val="0"/>
          <w:sz w:val="24"/>
          <w:szCs w:val="22"/>
          <w:highlight w:val="none"/>
        </w:rPr>
        <w:t>水泵、水泵电机参照选用进口品牌或国内知名品牌，并且为同一制造商生产。</w:t>
      </w:r>
    </w:p>
    <w:p>
      <w:pPr>
        <w:widowControl/>
        <w:tabs>
          <w:tab w:val="left" w:pos="709"/>
        </w:tabs>
        <w:spacing w:line="360" w:lineRule="auto"/>
        <w:rPr>
          <w:rFonts w:hint="eastAsia" w:ascii="宋体" w:hAnsi="宋体" w:eastAsia="宋体" w:cs="宋体"/>
          <w:b/>
          <w:bCs/>
          <w:iCs/>
          <w:kern w:val="0"/>
          <w:sz w:val="24"/>
          <w:szCs w:val="22"/>
          <w:highlight w:val="none"/>
        </w:rPr>
      </w:pPr>
      <w:r>
        <w:rPr>
          <w:rFonts w:hint="eastAsia" w:ascii="宋体" w:hAnsi="宋体" w:eastAsia="宋体" w:cs="宋体"/>
          <w:b/>
          <w:bCs/>
          <w:iCs/>
          <w:kern w:val="0"/>
          <w:sz w:val="24"/>
          <w:szCs w:val="22"/>
          <w:highlight w:val="none"/>
        </w:rPr>
        <w:t>2.2 箱体技术要求</w:t>
      </w:r>
    </w:p>
    <w:p>
      <w:pPr>
        <w:spacing w:line="360" w:lineRule="auto"/>
        <w:rPr>
          <w:rFonts w:hint="eastAsia" w:ascii="宋体" w:hAnsi="宋体" w:eastAsia="宋体" w:cs="宋体"/>
          <w:bCs/>
          <w:iCs/>
          <w:kern w:val="0"/>
          <w:sz w:val="24"/>
          <w:highlight w:val="none"/>
        </w:rPr>
      </w:pPr>
      <w:bookmarkStart w:id="264" w:name="_Hlk6478745"/>
      <w:bookmarkStart w:id="265" w:name="OLE_LINK5"/>
      <w:r>
        <w:rPr>
          <w:rFonts w:hint="eastAsia" w:ascii="宋体" w:hAnsi="宋体" w:eastAsia="宋体" w:cs="宋体"/>
          <w:bCs/>
          <w:iCs/>
          <w:kern w:val="0"/>
          <w:sz w:val="24"/>
          <w:highlight w:val="none"/>
        </w:rPr>
        <w:t>2.2.1 箱体外环境说明（设备在下列条件下应能连续可靠的工作）</w:t>
      </w:r>
      <w:bookmarkEnd w:id="264"/>
    </w:p>
    <w:bookmarkEnd w:id="265"/>
    <w:p>
      <w:pPr>
        <w:pStyle w:val="331"/>
        <w:numPr>
          <w:ilvl w:val="1"/>
          <w:numId w:val="3"/>
        </w:numPr>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空气环境温度-20℃～45℃；</w:t>
      </w:r>
    </w:p>
    <w:p>
      <w:pPr>
        <w:pStyle w:val="331"/>
        <w:numPr>
          <w:ilvl w:val="1"/>
          <w:numId w:val="3"/>
        </w:numPr>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空气相对湿度：&lt;95%（20℃）；</w:t>
      </w:r>
    </w:p>
    <w:p>
      <w:pPr>
        <w:pStyle w:val="331"/>
        <w:numPr>
          <w:ilvl w:val="1"/>
          <w:numId w:val="3"/>
        </w:numPr>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振动：</w:t>
      </w:r>
      <w:bookmarkStart w:id="266" w:name="_Hlk6479085"/>
      <w:r>
        <w:rPr>
          <w:rFonts w:hint="eastAsia" w:ascii="宋体" w:hAnsi="宋体" w:eastAsia="宋体" w:cs="宋体"/>
          <w:bCs/>
          <w:iCs/>
          <w:kern w:val="0"/>
          <w:sz w:val="24"/>
          <w:szCs w:val="20"/>
          <w:highlight w:val="none"/>
        </w:rPr>
        <w:t>振动加速度最大不应超过5m/s^2,振动频率：10Hz～150Hz；</w:t>
      </w:r>
      <w:bookmarkEnd w:id="266"/>
    </w:p>
    <w:p>
      <w:pPr>
        <w:pStyle w:val="331"/>
        <w:numPr>
          <w:ilvl w:val="1"/>
          <w:numId w:val="3"/>
        </w:numPr>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设备倾斜角度：&lt;5°；</w:t>
      </w:r>
    </w:p>
    <w:p>
      <w:pPr>
        <w:pStyle w:val="331"/>
        <w:numPr>
          <w:ilvl w:val="1"/>
          <w:numId w:val="3"/>
        </w:numPr>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电源：三相五线制供电；电压：380×（1±10%）V，相间不平衡≤3%；频率：50×（1±2%）Hz；</w:t>
      </w:r>
    </w:p>
    <w:p>
      <w:pPr>
        <w:pStyle w:val="331"/>
        <w:numPr>
          <w:ilvl w:val="1"/>
          <w:numId w:val="3"/>
        </w:numPr>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设备周围应无导电或爆炸性尘埃、无腐蚀金属或破坏绝缘的气体或蒸汽；</w:t>
      </w:r>
    </w:p>
    <w:p>
      <w:pPr>
        <w:pStyle w:val="331"/>
        <w:numPr>
          <w:ilvl w:val="1"/>
          <w:numId w:val="3"/>
        </w:numPr>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海拔高度：≤1000m;</w:t>
      </w:r>
    </w:p>
    <w:p>
      <w:pPr>
        <w:pStyle w:val="331"/>
        <w:numPr>
          <w:ilvl w:val="1"/>
          <w:numId w:val="3"/>
        </w:numPr>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介质：生活饮用水。介质温度：0℃～35℃；</w:t>
      </w:r>
    </w:p>
    <w:p>
      <w:pPr>
        <w:spacing w:line="360" w:lineRule="auto"/>
        <w:ind w:firstLine="420"/>
        <w:rPr>
          <w:rFonts w:hint="eastAsia" w:ascii="宋体" w:hAnsi="宋体" w:eastAsia="宋体" w:cs="宋体"/>
          <w:bCs/>
          <w:iCs/>
          <w:kern w:val="0"/>
          <w:sz w:val="24"/>
          <w:highlight w:val="none"/>
        </w:rPr>
      </w:pPr>
      <w:r>
        <w:rPr>
          <w:rFonts w:hint="eastAsia" w:ascii="宋体" w:hAnsi="宋体" w:eastAsia="宋体" w:cs="宋体"/>
          <w:bCs/>
          <w:iCs/>
          <w:kern w:val="0"/>
          <w:sz w:val="24"/>
          <w:highlight w:val="none"/>
        </w:rPr>
        <w:t>箱体内环境说明（设备在下列条件下应能连续可靠的工作）</w:t>
      </w:r>
    </w:p>
    <w:p>
      <w:pPr>
        <w:pStyle w:val="331"/>
        <w:numPr>
          <w:ilvl w:val="0"/>
          <w:numId w:val="4"/>
        </w:numPr>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箱体内环境温度控制在0℃～35℃；</w:t>
      </w:r>
    </w:p>
    <w:p>
      <w:pPr>
        <w:pStyle w:val="331"/>
        <w:numPr>
          <w:ilvl w:val="0"/>
          <w:numId w:val="4"/>
        </w:numPr>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箱体内相对湿度：&lt;80%（20℃）；</w:t>
      </w:r>
    </w:p>
    <w:p>
      <w:pPr>
        <w:pStyle w:val="331"/>
        <w:numPr>
          <w:ilvl w:val="0"/>
          <w:numId w:val="4"/>
        </w:numPr>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震动：振动加速度最大不应超过5m/s^2,振动频率：10Hz～150Hz；</w:t>
      </w:r>
    </w:p>
    <w:p>
      <w:pPr>
        <w:pStyle w:val="331"/>
        <w:numPr>
          <w:ilvl w:val="0"/>
          <w:numId w:val="4"/>
        </w:numPr>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电源：三相五线制供电；电压：380×（1±10%）V，相间不平衡≤3%；频率：50×（1±2%）Hz；</w:t>
      </w:r>
    </w:p>
    <w:p>
      <w:pPr>
        <w:pStyle w:val="331"/>
        <w:numPr>
          <w:ilvl w:val="0"/>
          <w:numId w:val="4"/>
        </w:numPr>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介质：生活饮用水。介质温度：0℃～35℃。</w:t>
      </w:r>
    </w:p>
    <w:p>
      <w:pPr>
        <w:spacing w:line="360" w:lineRule="auto"/>
        <w:rPr>
          <w:rFonts w:hint="eastAsia" w:ascii="宋体" w:hAnsi="宋体" w:eastAsia="宋体" w:cs="宋体"/>
          <w:bCs/>
          <w:iCs/>
          <w:kern w:val="0"/>
          <w:sz w:val="24"/>
          <w:highlight w:val="none"/>
        </w:rPr>
      </w:pPr>
      <w:r>
        <w:rPr>
          <w:rFonts w:hint="eastAsia" w:ascii="宋体" w:hAnsi="宋体" w:eastAsia="宋体" w:cs="宋体"/>
          <w:bCs/>
          <w:iCs/>
          <w:kern w:val="0"/>
          <w:sz w:val="24"/>
          <w:highlight w:val="none"/>
        </w:rPr>
        <w:t>2.2.2箱体结构及功能性要求</w:t>
      </w:r>
    </w:p>
    <w:p>
      <w:pPr>
        <w:pStyle w:val="331"/>
        <w:numPr>
          <w:ilvl w:val="0"/>
          <w:numId w:val="5"/>
        </w:numPr>
        <w:adjustRightInd w:val="0"/>
        <w:snapToGrid w:val="0"/>
        <w:spacing w:line="360" w:lineRule="auto"/>
        <w:ind w:firstLineChars="0"/>
        <w:jc w:val="left"/>
        <w:rPr>
          <w:rFonts w:hint="eastAsia" w:ascii="宋体" w:hAnsi="宋体" w:eastAsia="宋体" w:cs="宋体"/>
          <w:bCs/>
          <w:iCs/>
          <w:kern w:val="0"/>
          <w:sz w:val="24"/>
          <w:szCs w:val="20"/>
          <w:highlight w:val="none"/>
        </w:rPr>
      </w:pPr>
      <w:r>
        <w:rPr>
          <w:rFonts w:hint="eastAsia" w:ascii="宋体" w:hAnsi="宋体" w:eastAsia="宋体" w:cs="宋体"/>
          <w:color w:val="000000" w:themeColor="text1"/>
          <w:szCs w:val="21"/>
          <w:highlight w:val="none"/>
          <w14:textFill>
            <w14:solidFill>
              <w14:schemeClr w14:val="tx1"/>
            </w14:solidFill>
          </w14:textFill>
        </w:rPr>
        <w:t>一</w:t>
      </w:r>
      <w:r>
        <w:rPr>
          <w:rFonts w:hint="eastAsia" w:ascii="宋体" w:hAnsi="宋体" w:eastAsia="宋体" w:cs="宋体"/>
          <w:bCs/>
          <w:iCs/>
          <w:kern w:val="0"/>
          <w:sz w:val="24"/>
          <w:szCs w:val="20"/>
          <w:highlight w:val="none"/>
        </w:rPr>
        <w:t>体化智慧泵房的箱体内、外表面应采用不锈钢生产制造，材质应选用不锈钢SUS304。箱体的框架结构应采用不锈钢304或碳钢材质。</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箱体应采用整体移动式的结构，所有附件及设备均在工厂内组装生产测试，设备吊装到现场后无需再次组装，仅同现场预留的进出水管对接即可。</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箱体应自带活动吊耳和通道式叉车装卸孔，满足不同场景的吊装需求。</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底部应预留4个叉车孔，每个叉车孔通道单独焊接C型钢贯穿底部，保证叉车的货叉不会因为误操作误伤泵房底部基座。</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箱体的吊耳应为可拆卸式，吊装到现场可将吊耳拆除，保存于泵房内，使吊耳的使用寿命更长。</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箱体内部应设计两个暗藏式吊环，方便管路吊装和拆卸。</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整个箱体能够适应安装、独立打包；裸装强度能满足公路运输、船运等不同的运输方式。</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箱体所有框架承重支撑焊缝及焊接点100%检测，并提供检测报告。</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箱体外观应经过专业设计，美观大方，与周围环境完美匹配。</w:t>
      </w:r>
    </w:p>
    <w:p>
      <w:pPr>
        <w:pStyle w:val="331"/>
        <w:widowControl/>
        <w:numPr>
          <w:ilvl w:val="0"/>
          <w:numId w:val="5"/>
        </w:numPr>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机组安装位置不锈钢底板下面预作局部加强，保证地板承载力满足要求。</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应采用双扇门，门尺寸满足最大设备的进出要求；门结构应采用无外露铰链，门框采用无框设计，保证外立面美观大方；门锁应采用门禁一体机和手动两种开锁方式；门下应设置可拆卸挡板，挡板高度不小于0.2m。</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箱体内空间满足安装及维护维修的要求，且有照明采光设施，并配备应急照明装置。</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箱体外表面应采用不锈钢生产制造，材质选用不锈钢SUS304，厚度不应小于2mm。不锈钢外表面应采取喷漆、镜面拉丝或喷砂等防腐美化处理。</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箱体外表面不锈钢喷漆质量应通过第三方中性盐雾检测，外观评级RA达到9级以上，并提供检测报告。</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箱体内表面应采用不锈钢生产制造，材质选用不锈钢SUS304，厚度不应小于1.5mm。不锈钢内表面应采取喷漆、镜面拉丝或喷砂等防腐美化处理。</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箱体及门应满足隔热、保温要求，选取优质隔热保温材料，保温材料厚度根据不同地区选择，但不应小于50mm。</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箱体内应含通风散热控制系统，排风通风孔采用一体化设计，在实现通风和防雨的功能下，有效的保证箱体的美观度。</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泵房应自带温湿度传感器，自带显示并输出4~20mA模拟信号，带ModbusRTU通信功能</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箱体内应含空调调温控湿系统，保证箱体内环境的温度和湿度在水泵合理运行需求范围内。在满足通风效果的基础上，保证系统的美观性。</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整个泵房的设计抗震烈度应满足大于等于7级，抗风等级不小于12级。并提供相关计算书。</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箱体底部应预留排地漏，方便检修时排水。地漏采用防反溢式，有效防止地面积水回灌。</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箱体整体设计应考虑防雨，设计防护等级为IP54，且屋面有一定的坡度以利排水。</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箱体外观应有起吊点、危险点、重心点的永久性标识。</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箱体应在户外，峰值日照强度大于20000KJ/m2, 峰值日照时间大于5小时/天，室外温度-20˚C~60˚C，平均降雨天数大于100天情况下，自到达项目现场之日起，一年内泵房外立面保持无明显侵蚀、掉漆、腐蚀（肉眼不可见）等现象。泵房整体强度设计使用寿命应大于等于10年。</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箱体放在地面上安装，应特殊设计混凝土基础。混泥土基础依据现场实际设计，不低于15cm。</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所有电器设备走线应可根据客户要求，采用明装或暗装方式走线。</w:t>
      </w:r>
    </w:p>
    <w:p>
      <w:pPr>
        <w:pStyle w:val="331"/>
        <w:numPr>
          <w:ilvl w:val="0"/>
          <w:numId w:val="5"/>
        </w:numPr>
        <w:autoSpaceDE w:val="0"/>
        <w:autoSpaceDN w:val="0"/>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箱体内应具备可以安装水质检测、流量计、紫外消毒设备等设备的条件。</w:t>
      </w:r>
    </w:p>
    <w:p>
      <w:pPr>
        <w:pStyle w:val="40"/>
        <w:rPr>
          <w:rFonts w:hint="eastAsia" w:ascii="宋体" w:hAnsi="宋体" w:eastAsia="宋体" w:cs="宋体"/>
          <w:highlight w:val="none"/>
        </w:rPr>
      </w:pPr>
    </w:p>
    <w:p>
      <w:pPr>
        <w:spacing w:line="360" w:lineRule="auto"/>
        <w:jc w:val="left"/>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3.水泵机组技术要求</w:t>
      </w:r>
    </w:p>
    <w:p>
      <w:pPr>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3.1 一般要求</w:t>
      </w:r>
    </w:p>
    <w:p>
      <w:pPr>
        <w:autoSpaceDE w:val="0"/>
        <w:autoSpaceDN w:val="0"/>
        <w:adjustRightInd w:val="0"/>
        <w:snapToGrid w:val="0"/>
        <w:spacing w:line="360" w:lineRule="auto"/>
        <w:ind w:firstLine="480" w:firstLineChars="200"/>
        <w:rPr>
          <w:rFonts w:hint="eastAsia" w:ascii="宋体" w:hAnsi="宋体" w:eastAsia="宋体" w:cs="宋体"/>
          <w:bCs/>
          <w:iCs/>
          <w:kern w:val="0"/>
          <w:sz w:val="24"/>
          <w:highlight w:val="none"/>
        </w:rPr>
      </w:pPr>
      <w:r>
        <w:rPr>
          <w:rFonts w:hint="eastAsia" w:ascii="宋体" w:hAnsi="宋体" w:eastAsia="宋体" w:cs="宋体"/>
          <w:bCs/>
          <w:iCs/>
          <w:kern w:val="0"/>
          <w:sz w:val="24"/>
          <w:highlight w:val="none"/>
        </w:rPr>
        <w:t>（1）具有</w:t>
      </w:r>
      <w:r>
        <w:rPr>
          <w:rFonts w:hint="eastAsia" w:ascii="宋体" w:hAnsi="宋体" w:eastAsia="宋体" w:cs="宋体"/>
          <w:bCs/>
          <w:iCs/>
          <w:kern w:val="0"/>
          <w:sz w:val="24"/>
          <w:highlight w:val="none"/>
          <w:lang w:eastAsia="zh-CN"/>
        </w:rPr>
        <w:t>水泵</w:t>
      </w:r>
      <w:r>
        <w:rPr>
          <w:rFonts w:hint="eastAsia" w:ascii="宋体" w:hAnsi="宋体" w:eastAsia="宋体" w:cs="宋体"/>
          <w:bCs/>
          <w:iCs/>
          <w:kern w:val="0"/>
          <w:sz w:val="24"/>
          <w:highlight w:val="none"/>
        </w:rPr>
        <w:t>水质检测报告书（具备CMA\CAL第三方机构出具）、质量检测报告书（具备CMA\CAL第三方机构出具）、电气控制柜生产商的3C或CQC认证、配套气压罐厂家制造许可证。</w:t>
      </w:r>
    </w:p>
    <w:p>
      <w:pPr>
        <w:adjustRightInd w:val="0"/>
        <w:snapToGrid w:val="0"/>
        <w:spacing w:line="360" w:lineRule="auto"/>
        <w:ind w:firstLine="480" w:firstLineChars="200"/>
        <w:rPr>
          <w:rFonts w:hint="eastAsia" w:ascii="宋体" w:hAnsi="宋体" w:eastAsia="宋体" w:cs="宋体"/>
          <w:bCs/>
          <w:iCs/>
          <w:kern w:val="0"/>
          <w:sz w:val="24"/>
          <w:highlight w:val="none"/>
        </w:rPr>
      </w:pPr>
      <w:r>
        <w:rPr>
          <w:rFonts w:hint="eastAsia" w:ascii="宋体" w:hAnsi="宋体" w:eastAsia="宋体" w:cs="宋体"/>
          <w:bCs/>
          <w:iCs/>
          <w:kern w:val="0"/>
          <w:sz w:val="24"/>
          <w:highlight w:val="none"/>
        </w:rPr>
        <w:t>（2）设备应符合《钢制压力容器GB150》、《旋转电机 定额和性能GB755》、《水泵流量的测定方法GB/T3214》、《电气控制设备GB/T3797》、《外壳防护等级GB4208》、《离心泵技术条件（I类）GB/T16907》、GB/T 13007《离心泵 效率》、《流体输送用不锈钢焊接钢管GB/T12771》等相关国家规范要求。其中无负压供水机组还应符合《管网叠压供水设备CJ/254》、《无负压管网增压稳流给水设备GB/T26003》、《无负压给水设备CJ/T265》、《稳压补偿式无负压供水设备CJ/T303》、《罐式叠压给水设备GB/T24912》的要求。</w:t>
      </w:r>
    </w:p>
    <w:p>
      <w:pPr>
        <w:pStyle w:val="40"/>
        <w:rPr>
          <w:rFonts w:hint="eastAsia" w:ascii="宋体" w:hAnsi="宋体" w:eastAsia="宋体" w:cs="宋体"/>
          <w:bCs/>
          <w:iCs/>
          <w:kern w:val="0"/>
          <w:sz w:val="24"/>
          <w:highlight w:val="none"/>
        </w:rPr>
      </w:pPr>
      <w:r>
        <w:rPr>
          <w:rFonts w:hint="eastAsia" w:ascii="宋体" w:hAnsi="宋体" w:eastAsia="宋体" w:cs="宋体"/>
          <w:bCs/>
          <w:iCs/>
          <w:kern w:val="0"/>
          <w:sz w:val="24"/>
          <w:highlight w:val="none"/>
        </w:rPr>
        <w:t>3.2水泵</w:t>
      </w:r>
    </w:p>
    <w:p>
      <w:pPr>
        <w:spacing w:line="360" w:lineRule="auto"/>
        <w:ind w:firstLine="480" w:firstLineChars="200"/>
        <w:rPr>
          <w:rFonts w:hint="eastAsia" w:ascii="宋体" w:hAnsi="宋体" w:eastAsia="宋体" w:cs="宋体"/>
          <w:bCs/>
          <w:iCs/>
          <w:kern w:val="0"/>
          <w:sz w:val="24"/>
          <w:highlight w:val="none"/>
        </w:rPr>
      </w:pPr>
      <w:r>
        <w:rPr>
          <w:rFonts w:hint="eastAsia" w:ascii="宋体" w:hAnsi="宋体" w:eastAsia="宋体" w:cs="宋体"/>
          <w:bCs/>
          <w:iCs/>
          <w:kern w:val="0"/>
          <w:sz w:val="24"/>
          <w:highlight w:val="none"/>
        </w:rPr>
        <w:t>1.离心水泵：系统要求见清单，投标人需在投标文件中明确注明水泵品牌及型号。</w:t>
      </w:r>
    </w:p>
    <w:p>
      <w:pPr>
        <w:spacing w:line="360" w:lineRule="auto"/>
        <w:ind w:firstLine="480" w:firstLineChars="200"/>
        <w:rPr>
          <w:rFonts w:hint="eastAsia" w:ascii="宋体" w:hAnsi="宋体" w:eastAsia="宋体" w:cs="宋体"/>
          <w:bCs/>
          <w:iCs/>
          <w:kern w:val="0"/>
          <w:sz w:val="24"/>
          <w:highlight w:val="none"/>
        </w:rPr>
      </w:pPr>
      <w:r>
        <w:rPr>
          <w:rFonts w:hint="eastAsia" w:ascii="宋体" w:hAnsi="宋体" w:eastAsia="宋体" w:cs="宋体"/>
          <w:bCs/>
          <w:iCs/>
          <w:kern w:val="0"/>
          <w:sz w:val="24"/>
          <w:highlight w:val="none"/>
        </w:rPr>
        <w:t>2.投标人所投水泵产品应通过节能认证（投标书内提供证书彩色复印件并加盖投标人公章）；各扬程点水泵效率≥</w:t>
      </w:r>
      <w:r>
        <w:rPr>
          <w:rFonts w:hint="eastAsia" w:ascii="宋体" w:hAnsi="宋体" w:eastAsia="宋体" w:cs="宋体"/>
          <w:bCs/>
          <w:iCs/>
          <w:kern w:val="0"/>
          <w:sz w:val="24"/>
          <w:highlight w:val="none"/>
          <w:lang w:val="en-US" w:eastAsia="zh-CN"/>
        </w:rPr>
        <w:t xml:space="preserve">  </w:t>
      </w:r>
      <w:r>
        <w:rPr>
          <w:rFonts w:hint="eastAsia" w:ascii="宋体" w:hAnsi="宋体" w:eastAsia="宋体" w:cs="宋体"/>
          <w:bCs/>
          <w:iCs/>
          <w:kern w:val="0"/>
          <w:sz w:val="24"/>
          <w:highlight w:val="none"/>
        </w:rPr>
        <w:t>%，且须在投标文件中明确所提供型号的泵在各点的效率值；水泵效率符合现行标准《清水离心泵能效限定值及节能评价值》GB19762规定的节能评价值标准。</w:t>
      </w:r>
    </w:p>
    <w:p>
      <w:pPr>
        <w:spacing w:line="360" w:lineRule="auto"/>
        <w:ind w:left="1" w:firstLine="480" w:firstLineChars="200"/>
        <w:rPr>
          <w:rFonts w:hint="eastAsia" w:ascii="宋体" w:hAnsi="宋体" w:eastAsia="宋体" w:cs="宋体"/>
          <w:bCs/>
          <w:iCs/>
          <w:kern w:val="0"/>
          <w:sz w:val="24"/>
          <w:highlight w:val="none"/>
        </w:rPr>
      </w:pPr>
      <w:r>
        <w:rPr>
          <w:rFonts w:hint="eastAsia" w:ascii="宋体" w:hAnsi="宋体" w:eastAsia="宋体" w:cs="宋体"/>
          <w:bCs/>
          <w:iCs/>
          <w:kern w:val="0"/>
          <w:sz w:val="24"/>
          <w:highlight w:val="none"/>
        </w:rPr>
        <w:t>3.材质及加工工艺：</w:t>
      </w:r>
      <w:bookmarkStart w:id="267" w:name="_Hlk536522479"/>
      <w:r>
        <w:rPr>
          <w:rFonts w:hint="eastAsia" w:ascii="宋体" w:hAnsi="宋体" w:eastAsia="宋体" w:cs="宋体"/>
          <w:bCs/>
          <w:iCs/>
          <w:kern w:val="0"/>
          <w:sz w:val="24"/>
          <w:highlight w:val="none"/>
        </w:rPr>
        <w:t>水泵叶轮部件采用304不锈钢材质，轴采用食品级不锈钢304（国标）材质。水泵进、出水接口采用圆形法兰连接，水泵采用集装式机械密封</w:t>
      </w:r>
      <w:bookmarkEnd w:id="267"/>
      <w:r>
        <w:rPr>
          <w:rFonts w:hint="eastAsia" w:ascii="宋体" w:hAnsi="宋体" w:eastAsia="宋体" w:cs="宋体"/>
          <w:bCs/>
          <w:iCs/>
          <w:kern w:val="0"/>
          <w:sz w:val="24"/>
          <w:highlight w:val="none"/>
        </w:rPr>
        <w:t>；</w:t>
      </w:r>
      <w:bookmarkStart w:id="268" w:name="_Hlk536522611"/>
      <w:r>
        <w:rPr>
          <w:rFonts w:hint="eastAsia" w:ascii="宋体" w:hAnsi="宋体" w:eastAsia="宋体" w:cs="宋体"/>
          <w:bCs/>
          <w:iCs/>
          <w:kern w:val="0"/>
          <w:sz w:val="24"/>
          <w:highlight w:val="none"/>
        </w:rPr>
        <w:t>水泵叶轮采用激光一次性整体焊接,激光熔断焊接的方式</w:t>
      </w:r>
      <w:bookmarkEnd w:id="268"/>
      <w:r>
        <w:rPr>
          <w:rFonts w:hint="eastAsia" w:ascii="宋体" w:hAnsi="宋体" w:eastAsia="宋体" w:cs="宋体"/>
          <w:bCs/>
          <w:iCs/>
          <w:kern w:val="0"/>
          <w:sz w:val="24"/>
          <w:highlight w:val="none"/>
        </w:rPr>
        <w:t>，必须提供真实零件样品以便评定。</w:t>
      </w:r>
    </w:p>
    <w:p>
      <w:pPr>
        <w:spacing w:line="360" w:lineRule="auto"/>
        <w:ind w:firstLine="480" w:firstLineChars="200"/>
        <w:rPr>
          <w:rFonts w:hint="eastAsia" w:ascii="宋体" w:hAnsi="宋体" w:eastAsia="宋体" w:cs="宋体"/>
          <w:bCs/>
          <w:iCs/>
          <w:kern w:val="0"/>
          <w:sz w:val="24"/>
          <w:highlight w:val="none"/>
        </w:rPr>
      </w:pPr>
      <w:r>
        <w:rPr>
          <w:rFonts w:hint="eastAsia" w:ascii="宋体" w:hAnsi="宋体" w:eastAsia="宋体" w:cs="宋体"/>
          <w:bCs/>
          <w:iCs/>
          <w:kern w:val="0"/>
          <w:sz w:val="24"/>
          <w:highlight w:val="none"/>
        </w:rPr>
        <w:t>4.二次供水设施选用的水泵噪声应符合现行标准《泵的噪声测量与评价方法》JB/T 8098中的A级或以上要求；水泵振动应符合现行标准《泵的振动测量与评价方法》JB/T 8097中的A级或以上要求。</w:t>
      </w:r>
    </w:p>
    <w:p>
      <w:pPr>
        <w:spacing w:line="360" w:lineRule="auto"/>
        <w:ind w:firstLine="480" w:firstLineChars="200"/>
        <w:rPr>
          <w:rFonts w:hint="eastAsia" w:ascii="宋体" w:hAnsi="宋体" w:eastAsia="宋体" w:cs="宋体"/>
          <w:bCs/>
          <w:iCs/>
          <w:kern w:val="0"/>
          <w:sz w:val="24"/>
          <w:highlight w:val="none"/>
        </w:rPr>
      </w:pPr>
      <w:r>
        <w:rPr>
          <w:rFonts w:hint="eastAsia" w:ascii="宋体" w:hAnsi="宋体" w:eastAsia="宋体" w:cs="宋体"/>
          <w:bCs/>
          <w:iCs/>
          <w:kern w:val="0"/>
          <w:sz w:val="24"/>
          <w:highlight w:val="none"/>
        </w:rPr>
        <w:t>5.成套设备基座采用不低于热浸镀锌、304不锈钢槽钢等防腐措施的材料，且必须符合国家相关标准。成套设备基座与水泵铸造基板物理隔离。成套设备使用的螺栓、螺钉和螺母等紧固件应采用不锈钢材质。</w:t>
      </w:r>
    </w:p>
    <w:p>
      <w:pPr>
        <w:spacing w:line="360" w:lineRule="auto"/>
        <w:ind w:firstLine="480" w:firstLineChars="200"/>
        <w:rPr>
          <w:rFonts w:hint="eastAsia" w:ascii="宋体" w:hAnsi="宋体" w:eastAsia="宋体" w:cs="宋体"/>
          <w:bCs/>
          <w:iCs/>
          <w:kern w:val="0"/>
          <w:sz w:val="24"/>
          <w:highlight w:val="none"/>
        </w:rPr>
      </w:pPr>
      <w:r>
        <w:rPr>
          <w:rFonts w:hint="eastAsia" w:ascii="宋体" w:hAnsi="宋体" w:eastAsia="宋体" w:cs="宋体"/>
          <w:bCs/>
          <w:iCs/>
          <w:kern w:val="0"/>
          <w:sz w:val="24"/>
          <w:highlight w:val="none"/>
        </w:rPr>
        <w:t>6.水泵安装应符合现行国家标准《压缩机、风机、泵安装工程施工及验收规范》GB50275的规定。</w:t>
      </w:r>
    </w:p>
    <w:p>
      <w:pPr>
        <w:spacing w:line="360" w:lineRule="auto"/>
        <w:ind w:firstLine="480" w:firstLineChars="200"/>
        <w:rPr>
          <w:rFonts w:hint="eastAsia" w:ascii="宋体" w:hAnsi="宋体" w:eastAsia="宋体" w:cs="宋体"/>
          <w:bCs/>
          <w:iCs/>
          <w:kern w:val="0"/>
          <w:sz w:val="24"/>
          <w:highlight w:val="none"/>
        </w:rPr>
      </w:pPr>
      <w:r>
        <w:rPr>
          <w:rFonts w:hint="eastAsia" w:ascii="宋体" w:hAnsi="宋体" w:eastAsia="宋体" w:cs="宋体"/>
          <w:bCs/>
          <w:iCs/>
          <w:kern w:val="0"/>
          <w:sz w:val="24"/>
          <w:highlight w:val="none"/>
        </w:rPr>
        <w:t>7.轴承：选用进口精密轴承，滚动轴承的基本额定寿命不小于30000小时。采用SKF或NSK品牌。</w:t>
      </w:r>
    </w:p>
    <w:p>
      <w:pPr>
        <w:spacing w:line="360" w:lineRule="auto"/>
        <w:ind w:firstLine="480" w:firstLineChars="200"/>
        <w:rPr>
          <w:rFonts w:hint="eastAsia" w:ascii="宋体" w:hAnsi="宋体" w:eastAsia="宋体" w:cs="宋体"/>
          <w:bCs/>
          <w:iCs/>
          <w:kern w:val="0"/>
          <w:sz w:val="24"/>
          <w:highlight w:val="none"/>
        </w:rPr>
      </w:pPr>
      <w:r>
        <w:rPr>
          <w:rFonts w:hint="eastAsia" w:ascii="宋体" w:hAnsi="宋体" w:eastAsia="宋体" w:cs="宋体"/>
          <w:bCs/>
          <w:iCs/>
          <w:kern w:val="0"/>
          <w:sz w:val="24"/>
          <w:highlight w:val="none"/>
        </w:rPr>
        <w:t>8.应选型在水泵特性曲线的高效区，并提供所投标水泵的特性曲线，包括：流量、扬程、功率、效率、气蚀余量。</w:t>
      </w:r>
    </w:p>
    <w:p>
      <w:pPr>
        <w:rPr>
          <w:rFonts w:hint="eastAsia" w:ascii="宋体" w:hAnsi="宋体" w:eastAsia="宋体" w:cs="宋体"/>
          <w:highlight w:val="none"/>
        </w:rPr>
      </w:pPr>
    </w:p>
    <w:p>
      <w:pPr>
        <w:snapToGrid w:val="0"/>
        <w:spacing w:beforeLines="50"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3.3 配套电机</w:t>
      </w:r>
    </w:p>
    <w:p>
      <w:pPr>
        <w:pStyle w:val="331"/>
        <w:numPr>
          <w:ilvl w:val="0"/>
          <w:numId w:val="6"/>
        </w:numPr>
        <w:adjustRightInd w:val="0"/>
        <w:snapToGrid w:val="0"/>
        <w:spacing w:line="360" w:lineRule="auto"/>
        <w:ind w:firstLineChars="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电机使用电压380V,50HZ,功率与水泵配套,转速与水泵配套。</w:t>
      </w:r>
    </w:p>
    <w:p>
      <w:pPr>
        <w:pStyle w:val="331"/>
        <w:adjustRightInd w:val="0"/>
        <w:snapToGrid w:val="0"/>
        <w:spacing w:line="360" w:lineRule="auto"/>
        <w:ind w:firstLine="360" w:firstLineChars="15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2.水泵电动机能效不低于现行标准《中小型三相异步电动机能效限定值及节能评价值》 GB18613-2012中IE</w:t>
      </w:r>
      <w:r>
        <w:rPr>
          <w:rFonts w:hint="eastAsia" w:ascii="宋体" w:hAnsi="宋体" w:eastAsia="宋体" w:cs="宋体"/>
          <w:bCs/>
          <w:iCs/>
          <w:kern w:val="0"/>
          <w:sz w:val="24"/>
          <w:szCs w:val="20"/>
          <w:highlight w:val="none"/>
          <w:lang w:val="en-US" w:eastAsia="zh-CN"/>
        </w:rPr>
        <w:t>4</w:t>
      </w:r>
      <w:r>
        <w:rPr>
          <w:rFonts w:hint="eastAsia" w:ascii="宋体" w:hAnsi="宋体" w:eastAsia="宋体" w:cs="宋体"/>
          <w:bCs/>
          <w:iCs/>
          <w:kern w:val="0"/>
          <w:sz w:val="24"/>
          <w:szCs w:val="20"/>
          <w:highlight w:val="none"/>
        </w:rPr>
        <w:t>要求，优先选用能满足IE5标准的电机。电机外壳采取烤漆工艺，且需有中国能效标识标签。</w:t>
      </w:r>
    </w:p>
    <w:p>
      <w:pPr>
        <w:adjustRightInd w:val="0"/>
        <w:snapToGrid w:val="0"/>
        <w:spacing w:line="360" w:lineRule="auto"/>
        <w:ind w:firstLine="360" w:firstLineChars="150"/>
        <w:rPr>
          <w:rFonts w:hint="eastAsia" w:ascii="宋体" w:hAnsi="宋体" w:eastAsia="宋体" w:cs="宋体"/>
          <w:bCs/>
          <w:iCs/>
          <w:kern w:val="0"/>
          <w:sz w:val="24"/>
          <w:highlight w:val="none"/>
        </w:rPr>
      </w:pPr>
      <w:r>
        <w:rPr>
          <w:rFonts w:hint="eastAsia" w:ascii="宋体" w:hAnsi="宋体" w:eastAsia="宋体" w:cs="宋体"/>
          <w:bCs/>
          <w:iCs/>
          <w:kern w:val="0"/>
          <w:sz w:val="24"/>
          <w:highlight w:val="none"/>
        </w:rPr>
        <w:t>3.电动机绝缘等级F级，防护等级为IP55；电机应做减振处理；应有可靠的接地，应标注电机的旋转方向。</w:t>
      </w:r>
    </w:p>
    <w:p>
      <w:pPr>
        <w:widowControl/>
        <w:tabs>
          <w:tab w:val="left" w:pos="709"/>
        </w:tabs>
        <w:spacing w:line="360" w:lineRule="auto"/>
        <w:ind w:firstLine="360" w:firstLineChars="150"/>
        <w:rPr>
          <w:rFonts w:hint="eastAsia" w:ascii="宋体" w:hAnsi="宋体" w:eastAsia="宋体" w:cs="宋体"/>
          <w:bCs/>
          <w:iCs/>
          <w:kern w:val="0"/>
          <w:sz w:val="24"/>
          <w:highlight w:val="none"/>
        </w:rPr>
      </w:pPr>
      <w:r>
        <w:rPr>
          <w:rFonts w:hint="eastAsia" w:ascii="宋体" w:hAnsi="宋体" w:eastAsia="宋体" w:cs="宋体"/>
          <w:bCs/>
          <w:iCs/>
          <w:kern w:val="0"/>
          <w:sz w:val="24"/>
          <w:highlight w:val="none"/>
        </w:rPr>
        <w:t>4.考虑到能效，参照选用进口品牌或国内知名品牌(格兰富、飞力、KSB、威乐同档次品牌)，并且为同一制造商生产。</w:t>
      </w:r>
    </w:p>
    <w:p>
      <w:pPr>
        <w:adjustRightInd w:val="0"/>
        <w:snapToGrid w:val="0"/>
        <w:spacing w:line="360" w:lineRule="auto"/>
        <w:ind w:firstLine="480" w:firstLineChars="200"/>
        <w:rPr>
          <w:rFonts w:hint="eastAsia" w:ascii="宋体" w:hAnsi="宋体" w:eastAsia="宋体" w:cs="宋体"/>
          <w:bCs/>
          <w:iCs/>
          <w:kern w:val="0"/>
          <w:sz w:val="24"/>
          <w:highlight w:val="none"/>
        </w:rPr>
      </w:pPr>
      <w:r>
        <w:rPr>
          <w:rFonts w:hint="eastAsia" w:ascii="宋体" w:hAnsi="宋体" w:eastAsia="宋体" w:cs="宋体"/>
          <w:bCs/>
          <w:iCs/>
          <w:kern w:val="0"/>
          <w:sz w:val="24"/>
          <w:highlight w:val="none"/>
        </w:rPr>
        <w:t>5.变频器：应采用变频器与水泵一对一的变频配置，必须选用水泵专用变频器，具有符合水泵功能特性和保护功能。优先选用高效数字集成式变频水泵。外置变频器必须采用国际知名品牌的合资档次产品（ABB,丹佛斯、西门子或</w:t>
      </w:r>
      <w:r>
        <w:rPr>
          <w:rFonts w:hint="eastAsia" w:ascii="宋体" w:hAnsi="宋体" w:eastAsia="宋体" w:cs="宋体"/>
          <w:bCs/>
          <w:iCs/>
          <w:kern w:val="0"/>
          <w:sz w:val="24"/>
          <w:highlight w:val="none"/>
          <w:lang w:val="en-US" w:eastAsia="zh-CN"/>
        </w:rPr>
        <w:t>以上</w:t>
      </w:r>
      <w:r>
        <w:rPr>
          <w:rFonts w:hint="eastAsia" w:ascii="宋体" w:hAnsi="宋体" w:eastAsia="宋体" w:cs="宋体"/>
          <w:bCs/>
          <w:iCs/>
          <w:kern w:val="0"/>
          <w:sz w:val="24"/>
          <w:highlight w:val="none"/>
        </w:rPr>
        <w:t>品牌产品）</w:t>
      </w:r>
    </w:p>
    <w:p>
      <w:pPr>
        <w:pStyle w:val="40"/>
        <w:spacing w:line="360" w:lineRule="auto"/>
        <w:rPr>
          <w:rFonts w:hint="eastAsia" w:ascii="宋体" w:hAnsi="宋体" w:eastAsia="宋体" w:cs="宋体"/>
          <w:b/>
          <w:bCs/>
          <w:iCs/>
          <w:kern w:val="0"/>
          <w:sz w:val="24"/>
          <w:highlight w:val="none"/>
        </w:rPr>
      </w:pPr>
      <w:r>
        <w:rPr>
          <w:rFonts w:hint="eastAsia" w:ascii="宋体" w:hAnsi="宋体" w:eastAsia="宋体" w:cs="宋体"/>
          <w:b/>
          <w:bCs/>
          <w:iCs/>
          <w:kern w:val="0"/>
          <w:sz w:val="24"/>
          <w:highlight w:val="none"/>
        </w:rPr>
        <w:t>3.4</w:t>
      </w:r>
      <w:bookmarkStart w:id="269" w:name="_Toc2356"/>
      <w:r>
        <w:rPr>
          <w:rFonts w:hint="eastAsia" w:ascii="宋体" w:hAnsi="宋体" w:eastAsia="宋体" w:cs="宋体"/>
          <w:b/>
          <w:bCs/>
          <w:iCs/>
          <w:kern w:val="0"/>
          <w:sz w:val="24"/>
          <w:highlight w:val="none"/>
        </w:rPr>
        <w:t>机组管路及配件、稳流补偿罐、气压罐</w:t>
      </w:r>
      <w:bookmarkEnd w:id="269"/>
    </w:p>
    <w:p>
      <w:pPr>
        <w:pStyle w:val="331"/>
        <w:numPr>
          <w:ilvl w:val="0"/>
          <w:numId w:val="7"/>
        </w:numPr>
        <w:adjustRightInd w:val="0"/>
        <w:snapToGrid w:val="0"/>
        <w:spacing w:line="360" w:lineRule="auto"/>
        <w:ind w:left="0" w:firstLine="48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控制系统（硬件部分）泵、气压罐、压力传感器、压力表、稳流罐、机械台座、阀门、管件应形成一个整体。</w:t>
      </w:r>
    </w:p>
    <w:p>
      <w:pPr>
        <w:pStyle w:val="331"/>
        <w:numPr>
          <w:ilvl w:val="0"/>
          <w:numId w:val="7"/>
        </w:numPr>
        <w:adjustRightInd w:val="0"/>
        <w:snapToGrid w:val="0"/>
        <w:spacing w:line="360" w:lineRule="auto"/>
        <w:ind w:left="0" w:firstLine="48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管路连接处宜采用先进的冷拔技术连接管路，尽可能的避免由于连接处的不平整所造成的对水力特性的影响，并对如何避免或降低对水力特性的影响作出相关说明。</w:t>
      </w:r>
    </w:p>
    <w:p>
      <w:pPr>
        <w:pStyle w:val="331"/>
        <w:numPr>
          <w:ilvl w:val="0"/>
          <w:numId w:val="7"/>
        </w:numPr>
        <w:adjustRightInd w:val="0"/>
        <w:snapToGrid w:val="0"/>
        <w:spacing w:line="360" w:lineRule="auto"/>
        <w:ind w:left="0" w:firstLine="480"/>
        <w:rPr>
          <w:rFonts w:hint="eastAsia" w:ascii="宋体" w:hAnsi="宋体" w:eastAsia="宋体" w:cs="宋体"/>
          <w:bCs/>
          <w:iCs/>
          <w:kern w:val="0"/>
          <w:sz w:val="24"/>
          <w:szCs w:val="20"/>
          <w:highlight w:val="none"/>
        </w:rPr>
      </w:pPr>
      <w:bookmarkStart w:id="270" w:name="_Hlk536522753"/>
      <w:r>
        <w:rPr>
          <w:rFonts w:hint="eastAsia" w:ascii="宋体" w:hAnsi="宋体" w:eastAsia="宋体" w:cs="宋体"/>
          <w:bCs/>
          <w:iCs/>
          <w:kern w:val="0"/>
          <w:sz w:val="24"/>
          <w:szCs w:val="20"/>
          <w:highlight w:val="none"/>
        </w:rPr>
        <w:t>稳流补偿罐板材选用食品级304（06Cr19Ni10）不锈钢材质，表面处理工艺采用抛丸亚光或不低于此工艺处理，与水接触配件材质选用食品级304（06Cr19Ni10）不锈钢或内部衬塑或使用其他技术，避免自来水与罐体接触，产生化学腐蚀；稳流补偿罐壁厚度大于4mm。进水口应设置在稳流补偿器的上部，稳流补偿器在最低点处应设置排水阀门口径不低于DN40。</w:t>
      </w:r>
    </w:p>
    <w:bookmarkEnd w:id="270"/>
    <w:p>
      <w:pPr>
        <w:pStyle w:val="331"/>
        <w:numPr>
          <w:ilvl w:val="0"/>
          <w:numId w:val="7"/>
        </w:numPr>
        <w:adjustRightInd w:val="0"/>
        <w:snapToGrid w:val="0"/>
        <w:spacing w:line="360" w:lineRule="auto"/>
        <w:ind w:left="0" w:firstLine="48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气压罐：采用隔膜式，材质选用碳钢或食品级304(国标)不锈钢，选用食品级橡胶，压力罐顶部设置压力表。压力表与气压罐体连接处使用紫铜缓冲管。气压罐应设置检修阀（球阀）。气压罐铭牌应注明：设计压力、容积、生产日期、制造许可证编号。气压罐与管道连接应设置检修不锈钢闸阀。设计工作压力要求为：工作压力在0.6MPa之内配置1.0MPa等级气压罐，工作压力在0.6~1.0MPa之内配置1.6MPa等级气压罐，工作压力在1.0-1.60MPa之内配置2.0MPa等级以上气压罐。</w:t>
      </w:r>
    </w:p>
    <w:p>
      <w:pPr>
        <w:rPr>
          <w:rFonts w:hint="eastAsia" w:ascii="宋体" w:hAnsi="宋体" w:eastAsia="宋体" w:cs="宋体"/>
          <w:highlight w:val="none"/>
        </w:rPr>
      </w:pPr>
    </w:p>
    <w:p>
      <w:pPr>
        <w:snapToGrid w:val="0"/>
        <w:spacing w:beforeLines="50" w:line="360" w:lineRule="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4.自动系统及安防系统技术要求</w:t>
      </w:r>
    </w:p>
    <w:p>
      <w:pPr>
        <w:pStyle w:val="40"/>
        <w:spacing w:line="360" w:lineRule="auto"/>
        <w:rPr>
          <w:rFonts w:hint="eastAsia" w:ascii="宋体" w:hAnsi="宋体" w:eastAsia="宋体" w:cs="宋体"/>
          <w:sz w:val="24"/>
          <w:highlight w:val="none"/>
        </w:rPr>
      </w:pPr>
      <w:r>
        <w:rPr>
          <w:rFonts w:hint="eastAsia" w:ascii="宋体" w:hAnsi="宋体" w:eastAsia="宋体" w:cs="宋体"/>
          <w:sz w:val="24"/>
          <w:highlight w:val="none"/>
        </w:rPr>
        <w:t>4.1一般要求</w:t>
      </w:r>
    </w:p>
    <w:p>
      <w:pPr>
        <w:pStyle w:val="331"/>
        <w:numPr>
          <w:ilvl w:val="0"/>
          <w:numId w:val="8"/>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lang w:val="zh-CN"/>
        </w:rPr>
        <w:t>一般要</w:t>
      </w:r>
      <w:r>
        <w:rPr>
          <w:rFonts w:hint="eastAsia" w:ascii="宋体" w:hAnsi="宋体" w:eastAsia="宋体" w:cs="宋体"/>
          <w:sz w:val="24"/>
          <w:highlight w:val="none"/>
        </w:rPr>
        <w:t>应按现行国家标准《通用用电设备配电设计规范》GB50055和《电气控制设备》GB/T 3797的有关规定执行。</w:t>
      </w:r>
    </w:p>
    <w:p>
      <w:pPr>
        <w:pStyle w:val="331"/>
        <w:numPr>
          <w:ilvl w:val="0"/>
          <w:numId w:val="8"/>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制造应符合国家现行标准的规定（GB/T3047.1）；系统参数设置应设置管理等级。在室内的设备不低于IP54；</w:t>
      </w:r>
    </w:p>
    <w:p>
      <w:pPr>
        <w:pStyle w:val="331"/>
        <w:numPr>
          <w:ilvl w:val="0"/>
          <w:numId w:val="8"/>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柜内所有元器件应选择知名的高质量产品，如：西门子、施耐德、ABB（排名不分先后）等同档次及以上产品。</w:t>
      </w:r>
    </w:p>
    <w:p>
      <w:pPr>
        <w:pStyle w:val="331"/>
        <w:numPr>
          <w:ilvl w:val="0"/>
          <w:numId w:val="8"/>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柜体具有很大的灵活性，可以靠墙或背靠背安装，钢板壁厚≥1.5㎜，标准底座钢板厚度≥2㎜。柜体内设有照明装置，并与柜门启闭装置联动，便于检修。柜体顶部加装吊环,柜门装设加强筋并配通用锁。</w:t>
      </w:r>
    </w:p>
    <w:p>
      <w:pPr>
        <w:pStyle w:val="331"/>
        <w:numPr>
          <w:ilvl w:val="0"/>
          <w:numId w:val="8"/>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柜内自带照明灯，且做到门开灯开，门关灯关。柜内留有备用插座。</w:t>
      </w:r>
    </w:p>
    <w:p>
      <w:pPr>
        <w:pStyle w:val="331"/>
        <w:numPr>
          <w:ilvl w:val="0"/>
          <w:numId w:val="8"/>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柜体内部辅助设备均应有永久固定的铭牌、电气线路原理图及接线图，其位置应清楚易见。电气接线和仪表（包括继电器）也应标有编号并与电气控制图上的编号相对应。</w:t>
      </w:r>
    </w:p>
    <w:p>
      <w:pPr>
        <w:pStyle w:val="331"/>
        <w:numPr>
          <w:ilvl w:val="0"/>
          <w:numId w:val="8"/>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柜体内接线，应采用低烟、无卤、耐潮、具有足够强度的绝缘多股阻燃或耐火软铜导线，其阻燃等级不低于B级。导线应无损伤，端头应采用压紧型的连接件。</w:t>
      </w:r>
    </w:p>
    <w:p>
      <w:pPr>
        <w:pStyle w:val="331"/>
        <w:numPr>
          <w:ilvl w:val="0"/>
          <w:numId w:val="8"/>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所有设备的机箱应有可锁的门，任何通风口或百叶窗都应有有效的滤尘装置，任何冷却风扇都有风扇故障报警触头，连接到相应的报警系统。</w:t>
      </w:r>
    </w:p>
    <w:p>
      <w:pPr>
        <w:pStyle w:val="331"/>
        <w:numPr>
          <w:ilvl w:val="0"/>
          <w:numId w:val="8"/>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电气间隙与爬电距离：设备中带电电路之间以及带电零部件或接地零部件的电气间隙应大于4mm，爬电距离应大于6mm。</w:t>
      </w:r>
    </w:p>
    <w:p>
      <w:pPr>
        <w:pStyle w:val="331"/>
        <w:numPr>
          <w:ilvl w:val="0"/>
          <w:numId w:val="8"/>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绝缘电组与介电强度：设备中带电回路之间及带电回路和地之间的绝缘电阻按标称电压应至少1000Ω/V。(至少是500V的测量工具)；介电强度应至少达到强度1000V。</w:t>
      </w:r>
    </w:p>
    <w:p>
      <w:pPr>
        <w:pStyle w:val="331"/>
        <w:numPr>
          <w:ilvl w:val="0"/>
          <w:numId w:val="8"/>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安全接地：设备的金属构体上应设置接地点，与接地点相连接的保护导线的截面，应与设备导体截面积相同，按30*4mm接地铜排以上配置。与接地点连接的导线必须是黄、绿双色线。不能明显表明的接地点，应在附近标注明显的接地符号。主接地点与设备任何有关的、因绝缘损坏可能带电的金属之间的电阻不应超过0.1Ω，连接接地线的螺钉和接线点不得作其他机械紧固用。接地应达到国家标准要求。如直接与建筑物接地体连接，应确保建筑物接地安全。</w:t>
      </w:r>
    </w:p>
    <w:p>
      <w:pPr>
        <w:pStyle w:val="331"/>
        <w:numPr>
          <w:ilvl w:val="0"/>
          <w:numId w:val="8"/>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在5.9m/s(0.6G)震动下可正常工作。抗电磁干扰性能符合IEC255-22标准规定。</w:t>
      </w:r>
    </w:p>
    <w:p>
      <w:pPr>
        <w:pStyle w:val="331"/>
        <w:numPr>
          <w:ilvl w:val="0"/>
          <w:numId w:val="8"/>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内部结构布置必须严格按系统图、国家标准及地方规范执行；内部接线应排列整齐、清晰和美观，绑扎成束或敷于专用塑料槽内卡在安装架上；配线应考虑足够的余量。元气件安装采用整体背板固定安装。</w:t>
      </w:r>
    </w:p>
    <w:p>
      <w:pPr>
        <w:pStyle w:val="331"/>
        <w:numPr>
          <w:ilvl w:val="0"/>
          <w:numId w:val="8"/>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中性线母排和接地母排的电流容量必须经过计算且足够大；箱内电器元件的上方标志该元件的文字符号，各电路的导线端头应标志相应的文字符号。所有的文字符号应与提供的线路图、系统图上的文字符号一致。所使用的图形和符号应符合相应的国家标准。</w:t>
      </w:r>
    </w:p>
    <w:p>
      <w:pPr>
        <w:pStyle w:val="331"/>
        <w:numPr>
          <w:ilvl w:val="0"/>
          <w:numId w:val="8"/>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柜门、盖、覆板必须与保护电路可靠连接；柜内保护导体颜色符合规定；支撑固定导体的绝缘子外表不得有裂纹或缺损；二次配线应使用铜芯绝缘硬线。其截面应不小于：电流回路2.5mm</w:t>
      </w:r>
      <w:r>
        <w:rPr>
          <w:rFonts w:hint="eastAsia" w:ascii="宋体" w:hAnsi="宋体" w:eastAsia="宋体" w:cs="宋体"/>
          <w:sz w:val="24"/>
          <w:highlight w:val="none"/>
          <w:vertAlign w:val="superscript"/>
        </w:rPr>
        <w:t>2</w:t>
      </w:r>
      <w:r>
        <w:rPr>
          <w:rFonts w:hint="eastAsia" w:ascii="宋体" w:hAnsi="宋体" w:eastAsia="宋体" w:cs="宋体"/>
          <w:sz w:val="24"/>
          <w:highlight w:val="none"/>
        </w:rPr>
        <w:t>，控制回路1.0mm</w:t>
      </w:r>
      <w:r>
        <w:rPr>
          <w:rFonts w:hint="eastAsia" w:ascii="宋体" w:hAnsi="宋体" w:eastAsia="宋体" w:cs="宋体"/>
          <w:sz w:val="24"/>
          <w:highlight w:val="none"/>
          <w:vertAlign w:val="superscript"/>
        </w:rPr>
        <w:t>2</w:t>
      </w:r>
      <w:r>
        <w:rPr>
          <w:rFonts w:hint="eastAsia" w:ascii="宋体" w:hAnsi="宋体" w:eastAsia="宋体" w:cs="宋体"/>
          <w:sz w:val="24"/>
          <w:highlight w:val="none"/>
        </w:rPr>
        <w:t>导线。各连接导线应具有防导线虚接的工艺措施。要求采用TN-S系统供电，PE、N线端子采用方铜端子。柜内的铜母线应有彩色分相标志，按下表规定布置。</w:t>
      </w:r>
    </w:p>
    <w:p>
      <w:pPr>
        <w:widowControl/>
        <w:tabs>
          <w:tab w:val="left" w:pos="709"/>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控制柜、元器件技术要求</w:t>
      </w:r>
    </w:p>
    <w:p>
      <w:pPr>
        <w:widowControl/>
        <w:tabs>
          <w:tab w:val="left" w:pos="709"/>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（1）现场控制柜规格尺寸由供货商优化设计（参考尺寸：800*600*2200mm）, 采用304不锈钢板制作，厚度不小于2mm，双门防雨型，防护等级不低于IP54。箱表面应保证平滑，部件接头处表面齐平、无毛刺。</w:t>
      </w:r>
    </w:p>
    <w:p>
      <w:pPr>
        <w:widowControl/>
        <w:tabs>
          <w:tab w:val="left" w:pos="709"/>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控制柜内主要元件：如断路器、接触器及继电器等参照选用ABB、西门子、施耐德等国际知名品牌，PLC参照选用GE、西门子、AB等国际知名品牌，泵组综合保护器采用泵组的同类品牌，箱内端子、按钮、变送器、互感器等二次原件及附件要求采用国内知名品牌。投标时可提供电器元件检测报告等相关证明资料。</w:t>
      </w:r>
    </w:p>
    <w:p>
      <w:pPr>
        <w:widowControl/>
        <w:tabs>
          <w:tab w:val="left" w:pos="709"/>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（3）变频器参照选用不低于丹佛斯，ABB，西门子的国际知名品牌产品。</w:t>
      </w:r>
    </w:p>
    <w:p>
      <w:pPr>
        <w:widowControl/>
        <w:tabs>
          <w:tab w:val="left" w:pos="709"/>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（4）频器额定输入电压应满足：三相380V－480VAC（-10%/+10%）</w:t>
      </w:r>
    </w:p>
    <w:p>
      <w:pPr>
        <w:widowControl/>
        <w:tabs>
          <w:tab w:val="left" w:pos="709"/>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（5）变频器过载能力必须达到工艺要求，标准负载能力设备须达到110%额定电流 1分钟；重载负载能力设备能力必须达到150%额定电流 1分钟。变频器额定电流必须大于电机的额定电流，所有变频器的额定功率大于或等于对应电机的额定功率。</w:t>
      </w:r>
    </w:p>
    <w:p>
      <w:pPr>
        <w:widowControl/>
        <w:tabs>
          <w:tab w:val="left" w:pos="709"/>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（6）变频器必须配置原厂直流电抗器或三相交流输入电抗器及EMC谐波滤波器，以降低谐波。</w:t>
      </w:r>
    </w:p>
    <w:p>
      <w:pPr>
        <w:widowControl/>
        <w:tabs>
          <w:tab w:val="left" w:pos="709"/>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（7）变频器内部线路板须具有防腐蚀涂层。并符合IEC 721－3－3 标准CL.3C3级别。</w:t>
      </w:r>
    </w:p>
    <w:p>
      <w:pPr>
        <w:widowControl/>
        <w:tabs>
          <w:tab w:val="left" w:pos="709"/>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（8）接线端子、连接片的安全性能应符合GB 16836的规定，各类按钮、开关等操作件的操作寿命不应少于100000次，各类仪表等测量元件，当施加一定电量时，应指示相应的电量值，其精度应符合规定值，不应出现失灵或指示错误的现象。</w:t>
      </w:r>
    </w:p>
    <w:p>
      <w:pPr>
        <w:widowControl/>
        <w:tabs>
          <w:tab w:val="left" w:pos="709"/>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（9）导线与电气元件间采用螺栓连接、插接、焊接或压接等，均应牢固可靠。 柜内的导线不应有接头，导线芯线应无损伤。 电缆芯线和所配导线的端部均应标明其回路编号，编号应正确，字迹清晰且不易脱色。屏柜内配线颜色按规程要求，且颜色一致，配线应整齐、清晰、美观，导线绝缘应良好，无损伤。每个接线端子的每侧接线宜为1根，不得超过2根。对于插接式端子，不同截面的两根导线不得接在同一端子上；对于螺栓连接端子，当接两根导线时，中间应加平垫片。二次回路接地应设专用螺栓。</w:t>
      </w:r>
    </w:p>
    <w:p>
      <w:pPr>
        <w:widowControl/>
        <w:tabs>
          <w:tab w:val="left" w:pos="709"/>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（10）装有电器元件的仪表门及柜内的安装件与构架形成完整的接地保护电路，保持电气的连续性。</w:t>
      </w:r>
    </w:p>
    <w:p>
      <w:pPr>
        <w:widowControl/>
        <w:tabs>
          <w:tab w:val="left" w:pos="709"/>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铭牌：每台柜柜体正面应有永久的铭牌标志，铭牌上应标有制造厂名称、设备出厂日期、编号、型号、额定参数、重量及其它重要数据，柜内主要元件（断路器、接触器、接线端子等）应有永久的铭牌，铭牌应字迹（中文）清晰、经久耐用。</w:t>
      </w:r>
    </w:p>
    <w:p>
      <w:pPr>
        <w:widowControl/>
        <w:tabs>
          <w:tab w:val="left" w:pos="709"/>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（12）所有信号灯、指示灯、操作开关、按钮等颜色均采用国家标准，都应有明确的、永久的标志，并表明其操作方向，铭牌和标志所用的文字应采用中文或中英文对照，且字迹清晰，经久耐用。</w:t>
      </w:r>
    </w:p>
    <w:p>
      <w:pPr>
        <w:widowControl/>
        <w:tabs>
          <w:tab w:val="left" w:pos="709"/>
        </w:tabs>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（13）柜门用转轴式活动铰链与构架相连，安装、拆卸方便。门的折边处均嵌有橡胶塑条，能防止门与柜体直接碰撞。</w:t>
      </w:r>
    </w:p>
    <w:p>
      <w:pPr>
        <w:widowControl/>
        <w:tabs>
          <w:tab w:val="left" w:pos="709"/>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000000" w:themeColor="text1"/>
          <w:sz w:val="24"/>
          <w:szCs w:val="24"/>
          <w:highlight w:val="none"/>
          <w14:textFill>
            <w14:solidFill>
              <w14:schemeClr w14:val="tx1"/>
            </w14:solidFill>
          </w14:textFill>
        </w:rPr>
        <w:t>（14）控制柜必须有足够接线空间，外形美观，便于安装和观察运行情况。</w:t>
      </w:r>
    </w:p>
    <w:p>
      <w:pPr>
        <w:spacing w:line="360" w:lineRule="auto"/>
        <w:rPr>
          <w:rFonts w:hint="eastAsia" w:ascii="宋体" w:hAnsi="宋体" w:eastAsia="宋体" w:cs="宋体"/>
          <w:b/>
          <w:bCs/>
          <w:iCs/>
          <w:kern w:val="0"/>
          <w:sz w:val="24"/>
          <w:highlight w:val="none"/>
        </w:rPr>
      </w:pPr>
      <w:r>
        <w:rPr>
          <w:rFonts w:hint="eastAsia" w:ascii="宋体" w:hAnsi="宋体" w:eastAsia="宋体" w:cs="宋体"/>
          <w:b/>
          <w:bCs/>
          <w:iCs/>
          <w:kern w:val="0"/>
          <w:sz w:val="24"/>
          <w:highlight w:val="none"/>
        </w:rPr>
        <w:t>4.2供电单元</w:t>
      </w:r>
    </w:p>
    <w:p>
      <w:pPr>
        <w:pStyle w:val="331"/>
        <w:numPr>
          <w:ilvl w:val="0"/>
          <w:numId w:val="9"/>
        </w:numPr>
        <w:adjustRightInd w:val="0"/>
        <w:snapToGrid w:val="0"/>
        <w:spacing w:line="360" w:lineRule="auto"/>
        <w:ind w:left="0" w:firstLine="48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配电系统的负荷分级及供电要求应按《民用建筑电气设计规范》JGJ16的有关规定执行。</w:t>
      </w:r>
    </w:p>
    <w:p>
      <w:pPr>
        <w:pStyle w:val="331"/>
        <w:numPr>
          <w:ilvl w:val="0"/>
          <w:numId w:val="9"/>
        </w:numPr>
        <w:adjustRightInd w:val="0"/>
        <w:snapToGrid w:val="0"/>
        <w:spacing w:line="360" w:lineRule="auto"/>
        <w:ind w:left="0" w:firstLine="48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供电设备应安装可靠牢固，操作和联动符合设计和运行要求。</w:t>
      </w:r>
    </w:p>
    <w:p>
      <w:pPr>
        <w:pStyle w:val="331"/>
        <w:numPr>
          <w:ilvl w:val="0"/>
          <w:numId w:val="9"/>
        </w:numPr>
        <w:adjustRightInd w:val="0"/>
        <w:snapToGrid w:val="0"/>
        <w:spacing w:line="360" w:lineRule="auto"/>
        <w:ind w:left="0" w:firstLine="48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设置数字显示多功能仪表：显示泵房总电耗、各分路供电电耗（分控柜）、照明供电电耗及其他备用供电回路总电耗。应能显示供电的三相电压、三相电流、总功耗、功率、功率因数。并具备Modbus RTU或TCPIP协议及标准物理接口（RS485/RJ45），应能将显示的供电数据上传给主控柜的通讯系统中。</w:t>
      </w:r>
    </w:p>
    <w:p>
      <w:pPr>
        <w:pStyle w:val="331"/>
        <w:numPr>
          <w:ilvl w:val="0"/>
          <w:numId w:val="9"/>
        </w:numPr>
        <w:adjustRightInd w:val="0"/>
        <w:snapToGrid w:val="0"/>
        <w:spacing w:line="360" w:lineRule="auto"/>
        <w:ind w:left="0" w:firstLine="480"/>
        <w:rPr>
          <w:rFonts w:hint="eastAsia" w:ascii="宋体" w:hAnsi="宋体" w:eastAsia="宋体" w:cs="宋体"/>
          <w:bCs/>
          <w:iCs/>
          <w:kern w:val="0"/>
          <w:sz w:val="24"/>
          <w:szCs w:val="20"/>
          <w:highlight w:val="none"/>
        </w:rPr>
      </w:pPr>
      <w:r>
        <w:rPr>
          <w:rFonts w:hint="eastAsia" w:ascii="宋体" w:hAnsi="宋体" w:eastAsia="宋体" w:cs="宋体"/>
          <w:bCs/>
          <w:iCs/>
          <w:kern w:val="0"/>
          <w:sz w:val="24"/>
          <w:szCs w:val="20"/>
          <w:highlight w:val="none"/>
        </w:rPr>
        <w:t>设置APC UPS电源，电源负荷根据泵房所需供电设备进行校核，UPS供电时间30min。</w:t>
      </w:r>
    </w:p>
    <w:p>
      <w:pPr>
        <w:adjustRightInd w:val="0"/>
        <w:snapToGrid w:val="0"/>
        <w:spacing w:line="360" w:lineRule="auto"/>
        <w:rPr>
          <w:rFonts w:hint="eastAsia" w:ascii="宋体" w:hAnsi="宋体" w:eastAsia="宋体" w:cs="宋体"/>
          <w:b/>
          <w:bCs/>
          <w:iCs/>
          <w:kern w:val="0"/>
          <w:sz w:val="24"/>
          <w:highlight w:val="none"/>
        </w:rPr>
      </w:pPr>
      <w:r>
        <w:rPr>
          <w:rFonts w:hint="eastAsia" w:ascii="宋体" w:hAnsi="宋体" w:eastAsia="宋体" w:cs="宋体"/>
          <w:b/>
          <w:bCs/>
          <w:iCs/>
          <w:kern w:val="0"/>
          <w:sz w:val="24"/>
          <w:highlight w:val="none"/>
        </w:rPr>
        <w:t>4.3泵房系统控制单元</w:t>
      </w:r>
    </w:p>
    <w:p>
      <w:pPr>
        <w:pStyle w:val="331"/>
        <w:numPr>
          <w:ilvl w:val="0"/>
          <w:numId w:val="10"/>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主控柜指泵房内汇总多套二次供水系统的数据及信息，并对整体泵房内相关设备控制及视频汇总的总控制系统。主控制柜满足“（一）一般要求”外，还需要满足下列要求。</w:t>
      </w:r>
    </w:p>
    <w:p>
      <w:pPr>
        <w:pStyle w:val="331"/>
        <w:numPr>
          <w:ilvl w:val="0"/>
          <w:numId w:val="10"/>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应有人机对话功能，采用液晶触摸屏并带机械开关，界面应汉化、图标明显、显示清晰、便于操作。</w:t>
      </w:r>
    </w:p>
    <w:p>
      <w:pPr>
        <w:pStyle w:val="331"/>
        <w:numPr>
          <w:ilvl w:val="0"/>
          <w:numId w:val="10"/>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可编程逻辑控制器应选用知名品牌产品，如西门子、AB 、施耐德等同档次及以上产品。</w:t>
      </w:r>
    </w:p>
    <w:p>
      <w:pPr>
        <w:pStyle w:val="331"/>
        <w:numPr>
          <w:ilvl w:val="0"/>
          <w:numId w:val="10"/>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触摸屏应选用知名品牌产品，如西门子、施耐、AB等同档次及以上产品，触摸屏尺寸不小于9-10.2寸，彩色TFT LCD显示，显示颜色1600万色。</w:t>
      </w:r>
    </w:p>
    <w:p>
      <w:pPr>
        <w:pStyle w:val="331"/>
        <w:numPr>
          <w:ilvl w:val="0"/>
          <w:numId w:val="10"/>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智能控制器应选用知名品牌产品，应具备可编程逻辑控制和显示界面，并应能导入和显示水泵或机组数据或特性曲线，依据水泵特性曲线的高效区范围合理控制水泵运行，显示界面应为彩色显示，尺寸不得小于5.7寸。</w:t>
      </w:r>
    </w:p>
    <w:p>
      <w:pPr>
        <w:pStyle w:val="331"/>
        <w:numPr>
          <w:ilvl w:val="0"/>
          <w:numId w:val="10"/>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控制设备应具备Modbus RTU或TCPIP协议及标准物理接口（RS485/RJ45）。应具备以太网通讯方式，汇总和收集变频、配电相关数据：</w:t>
      </w:r>
    </w:p>
    <w:p>
      <w:pPr>
        <w:pStyle w:val="331"/>
        <w:numPr>
          <w:ilvl w:val="0"/>
          <w:numId w:val="10"/>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变频：水泵运行状态（开、停信号，故障报警信号、运行转速、能耗、运行时间）、整机运行能耗、进、出水总管压力、水池/箱状态（水位，超高水位报警，超低水位报警，溢水报警）</w:t>
      </w:r>
    </w:p>
    <w:p>
      <w:pPr>
        <w:pStyle w:val="331"/>
        <w:numPr>
          <w:ilvl w:val="0"/>
          <w:numId w:val="10"/>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配电：泵房总电耗、各分路供电电耗（分控柜）、照明供电电耗及其他备用供电回路总电耗。</w:t>
      </w:r>
    </w:p>
    <w:p>
      <w:pPr>
        <w:pStyle w:val="331"/>
        <w:numPr>
          <w:ilvl w:val="0"/>
          <w:numId w:val="10"/>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应具备以太网交换机，品牌为华为、MOXA品牌、思科（排名不分先后）等同档次及以上产品。</w:t>
      </w:r>
    </w:p>
    <w:p>
      <w:pPr>
        <w:pStyle w:val="331"/>
        <w:numPr>
          <w:ilvl w:val="0"/>
          <w:numId w:val="10"/>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应具备环境温度、环境湿度、总氯、浊度、水温、PH值、电导率、氨氮等信息数据采集。</w:t>
      </w:r>
    </w:p>
    <w:p>
      <w:pPr>
        <w:pStyle w:val="331"/>
        <w:numPr>
          <w:ilvl w:val="0"/>
          <w:numId w:val="10"/>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应具备泵房总进水电动阀控制及供电，当水淹报警时应关闭泵房总进水电动阀。</w:t>
      </w:r>
    </w:p>
    <w:p>
      <w:pPr>
        <w:pStyle w:val="331"/>
        <w:numPr>
          <w:ilvl w:val="0"/>
          <w:numId w:val="10"/>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控制柜应具有但不限于以下输入、输出、显示功能：</w:t>
      </w:r>
    </w:p>
    <w:p>
      <w:pPr>
        <w:pStyle w:val="331"/>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1）.电源输入，手自动状态信号输入，故障信号输入，远程控制电动蝶阀启动输入，远程控制电动蝶阀关闭输入。</w:t>
      </w:r>
    </w:p>
    <w:p>
      <w:pPr>
        <w:pStyle w:val="331"/>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2）.电动蝶阀关闭、开启、故障信号输出，手自动状态信号输出，故障信号输出。</w:t>
      </w:r>
    </w:p>
    <w:p>
      <w:pPr>
        <w:pStyle w:val="331"/>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3）.控制柜正面应显示电动蝶阀开启、关闭开关及开启、关闭指示灯，故障指示灯，声光报警指示。</w:t>
      </w:r>
    </w:p>
    <w:p>
      <w:pPr>
        <w:pStyle w:val="331"/>
        <w:numPr>
          <w:ilvl w:val="0"/>
          <w:numId w:val="10"/>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主控柜应具备PLC/RTU与服务器之间采用GPRS通信方式。应上传的数据有：水泵运行状态（开、停信号，故障报警信号、运行转速、能耗、运行时间）、整机运行能耗、进、出水总管压力、水池/箱状态（水位，超高水位报警，超低水位报警，溢水报警）、泵房总电耗、各分路供电电耗（分控柜）、照明供电电耗及其他备用供电回路总电耗、门禁状态信息、红外入侵信息、泵房总进水电动阀状态、水箱补水电动阀状态。</w:t>
      </w:r>
    </w:p>
    <w:p>
      <w:pPr>
        <w:pStyle w:val="4"/>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4.4供水设备控制单元</w:t>
      </w:r>
    </w:p>
    <w:p>
      <w:pPr>
        <w:pStyle w:val="331"/>
        <w:spacing w:line="360" w:lineRule="auto"/>
        <w:ind w:firstLine="482"/>
        <w:rPr>
          <w:rFonts w:hint="eastAsia" w:ascii="宋体" w:hAnsi="宋体" w:eastAsia="宋体" w:cs="宋体"/>
          <w:b/>
          <w:sz w:val="24"/>
          <w:highlight w:val="none"/>
        </w:rPr>
      </w:pPr>
      <w:r>
        <w:rPr>
          <w:rFonts w:hint="eastAsia" w:ascii="宋体" w:hAnsi="宋体" w:eastAsia="宋体" w:cs="宋体"/>
          <w:b/>
          <w:sz w:val="24"/>
          <w:highlight w:val="none"/>
        </w:rPr>
        <w:t>系统运行模式</w:t>
      </w:r>
    </w:p>
    <w:p>
      <w:pPr>
        <w:pStyle w:val="331"/>
        <w:numPr>
          <w:ilvl w:val="0"/>
          <w:numId w:val="11"/>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二次供水设备应具有手动、自动和远程控制功能，手动、自动可以通过控制柜上安装的转换开关进行选择。(手动模式，自动模式，远程模式优先级依次递减)</w:t>
      </w:r>
    </w:p>
    <w:p>
      <w:pPr>
        <w:pStyle w:val="331"/>
        <w:numPr>
          <w:ilvl w:val="0"/>
          <w:numId w:val="11"/>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手动模式：由电气柜控制面板按钮启/停机组，大功率机组应设置变频启动设备。</w:t>
      </w:r>
    </w:p>
    <w:p>
      <w:pPr>
        <w:pStyle w:val="331"/>
        <w:numPr>
          <w:ilvl w:val="0"/>
          <w:numId w:val="11"/>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自动模式：可将一天分为多个时间段，用户可根据供水量设置不同的工作压力，根据压力信号控制供水机组运行频率，自动投入和退出机组，发生故障自动切换到备用泵。</w:t>
      </w:r>
    </w:p>
    <w:p>
      <w:pPr>
        <w:pStyle w:val="331"/>
        <w:numPr>
          <w:ilvl w:val="0"/>
          <w:numId w:val="11"/>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远程控制：可以在远程监控平台远程控制水泵的启停，调节进水电动阀的开度（任意角度）。远程控制状态下具有本地复位功能。远程起停水泵时，能保证恒压供水。</w:t>
      </w:r>
    </w:p>
    <w:p>
      <w:pPr>
        <w:pStyle w:val="331"/>
        <w:spacing w:line="360" w:lineRule="auto"/>
        <w:ind w:firstLine="482"/>
        <w:rPr>
          <w:rFonts w:hint="eastAsia" w:ascii="宋体" w:hAnsi="宋体" w:eastAsia="宋体" w:cs="宋体"/>
          <w:b/>
          <w:sz w:val="24"/>
          <w:highlight w:val="none"/>
        </w:rPr>
      </w:pPr>
      <w:r>
        <w:rPr>
          <w:rFonts w:hint="eastAsia" w:ascii="宋体" w:hAnsi="宋体" w:eastAsia="宋体" w:cs="宋体"/>
          <w:b/>
          <w:sz w:val="24"/>
          <w:highlight w:val="none"/>
        </w:rPr>
        <w:t>控制功能</w:t>
      </w:r>
    </w:p>
    <w:p>
      <w:pPr>
        <w:pStyle w:val="331"/>
        <w:numPr>
          <w:ilvl w:val="0"/>
          <w:numId w:val="12"/>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自动恒压：根据工程实际情况，可现场设定设备出水压力，采用控制算法根据出水压力与设定压力相比较，自动调节保持出水压力恒定，恒定压力控制精度≤±0.01Mpa 。系统根据供水流量的变化增加或减少水泵台数。在切换过程中保持供水压力平稳。</w:t>
      </w:r>
    </w:p>
    <w:p>
      <w:pPr>
        <w:pStyle w:val="331"/>
        <w:numPr>
          <w:ilvl w:val="0"/>
          <w:numId w:val="12"/>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无负压功能:当供水管网供水量小于用户水量，供水管网压力下降趋向最低服务压力时，流量控制器开始工作，将管网压力始终维持在最低服务压力之上。</w:t>
      </w:r>
    </w:p>
    <w:p>
      <w:pPr>
        <w:pStyle w:val="331"/>
        <w:numPr>
          <w:ilvl w:val="0"/>
          <w:numId w:val="12"/>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自动轮换功能：系统可以选择定时轮换与定点轮换方式，用户可设置轮换时间。系统自动累计各水泵的运行时间，每次均优先启动运行时间最短的水泵。人机界面屏可以显示轮换倒计时。（备用泵也进行轮换）</w:t>
      </w:r>
    </w:p>
    <w:p>
      <w:pPr>
        <w:pStyle w:val="331"/>
        <w:numPr>
          <w:ilvl w:val="0"/>
          <w:numId w:val="12"/>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自动休眠：当设备在用水低峰期运行，实际用水量很小时，控制系统对检测到的信号进行处理，并迅速调整运行状态，直至设备小流量停机，实现停机零损耗。设备停止运行，通过气压罐维持压力，提高节能效果，保证用水需求，在流量加大时可以自动恢复运行状态。</w:t>
      </w:r>
    </w:p>
    <w:p>
      <w:pPr>
        <w:pStyle w:val="331"/>
        <w:numPr>
          <w:ilvl w:val="0"/>
          <w:numId w:val="12"/>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状态显示：通过触摸屏可查看当前供水压力、设定压力及压力波动曲线、频率、各泵能耗、总电耗、水箱液位(仅水箱式)、流量等运行信息及各台水泵的运行状态（变频、故障、停止）和工作时间。</w:t>
      </w:r>
    </w:p>
    <w:p>
      <w:pPr>
        <w:pStyle w:val="331"/>
        <w:numPr>
          <w:ilvl w:val="0"/>
          <w:numId w:val="12"/>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故障报警与处理：出现过流、过载、缺相、欠压、超压、无水、变频故障等不适合设备工作的情况时，设备能自动切转换到保护状态，以保护设备不受到损坏。同时设备自动跳过故障回路或水泵，投入其他回路或水泵，避免设备不必要的停机影响到用户用水，同时发出报警信号。</w:t>
      </w:r>
    </w:p>
    <w:p>
      <w:pPr>
        <w:pStyle w:val="331"/>
        <w:numPr>
          <w:ilvl w:val="0"/>
          <w:numId w:val="12"/>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变频故障自动复位：变频器报警后，自动复位到设定次数，且复位间隔时间递增。如果变频器复位达到设定次数后仍然不成功，则自动停机保护。当变频器故障无法复位或断电情况下，应能切换至其他变频器工作。</w:t>
      </w:r>
    </w:p>
    <w:p>
      <w:pPr>
        <w:pStyle w:val="331"/>
        <w:numPr>
          <w:ilvl w:val="0"/>
          <w:numId w:val="12"/>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无水/超压自动复位：无水/超压故障发生后，系统进入停机状态，当故障恢复后系统自动启动。管网叠压设备至少有2套独立的缺水（负压）保护机构，当发生缺水（或负压）的状态下应能自动报警及停机保护，当进水恢复正常时，设备恢复正常运行。</w:t>
      </w:r>
    </w:p>
    <w:p>
      <w:pPr>
        <w:pStyle w:val="331"/>
        <w:numPr>
          <w:ilvl w:val="0"/>
          <w:numId w:val="12"/>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故障记录与存储：应具有故障报警和报警记忆功能，故障报警应及时准确。自动记录故障发生/恢复时间，故障类别。并提示用户处理方法，声光报警。</w:t>
      </w:r>
    </w:p>
    <w:p>
      <w:pPr>
        <w:pStyle w:val="331"/>
        <w:numPr>
          <w:ilvl w:val="0"/>
          <w:numId w:val="12"/>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巡检功能：系统控制机组/进水电动阀定期自动巡检，巡检时间的长短可以自动调节，此功能可防止水泵/电动阀长期不运行而锈蚀的情况发生。</w:t>
      </w:r>
    </w:p>
    <w:p>
      <w:pPr>
        <w:pStyle w:val="331"/>
        <w:numPr>
          <w:ilvl w:val="0"/>
          <w:numId w:val="12"/>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管网爆管失压自动停机功能:当供水设备自动运行时，所有水泵满负荷运行，流量远超设计流量时，仍然满足不了供水压力需求，能自动停机并报警；待管理人员现场人为确认报警后，方能再次开机供水。</w:t>
      </w:r>
    </w:p>
    <w:p>
      <w:pPr>
        <w:pStyle w:val="4"/>
        <w:spacing w:line="360" w:lineRule="auto"/>
        <w:rPr>
          <w:rFonts w:hint="eastAsia" w:ascii="宋体" w:hAnsi="宋体" w:eastAsia="宋体" w:cs="宋体"/>
          <w:b/>
          <w:sz w:val="24"/>
          <w:highlight w:val="none"/>
        </w:rPr>
      </w:pPr>
      <w:r>
        <w:rPr>
          <w:rFonts w:hint="eastAsia" w:ascii="宋体" w:hAnsi="宋体" w:eastAsia="宋体" w:cs="宋体"/>
          <w:b/>
          <w:sz w:val="24"/>
          <w:highlight w:val="none"/>
        </w:rPr>
        <w:t>4.5安防系统</w:t>
      </w:r>
    </w:p>
    <w:p>
      <w:pPr>
        <w:pStyle w:val="331"/>
        <w:numPr>
          <w:ilvl w:val="0"/>
          <w:numId w:val="13"/>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箱体应设置安防系统，包括门禁系统、视频监控系统。</w:t>
      </w:r>
    </w:p>
    <w:p>
      <w:pPr>
        <w:pStyle w:val="331"/>
        <w:numPr>
          <w:ilvl w:val="0"/>
          <w:numId w:val="13"/>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安防系统中所有报警设备均应具备声光报警功能。</w:t>
      </w:r>
    </w:p>
    <w:p>
      <w:pPr>
        <w:pStyle w:val="331"/>
        <w:numPr>
          <w:ilvl w:val="0"/>
          <w:numId w:val="13"/>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泵房内应设置红外报警与开门报警设备，实现门开合状态的实时监视。</w:t>
      </w:r>
    </w:p>
    <w:p>
      <w:pPr>
        <w:pStyle w:val="331"/>
        <w:numPr>
          <w:ilvl w:val="0"/>
          <w:numId w:val="13"/>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门禁信号和图像信号应传输至远程中控平台，使门禁信号、视频图像均可在门禁远程监控软件的电子地图上以及远程图像监控计算机上予以报警和显示。</w:t>
      </w:r>
    </w:p>
    <w:p>
      <w:pPr>
        <w:pStyle w:val="331"/>
        <w:numPr>
          <w:ilvl w:val="0"/>
          <w:numId w:val="13"/>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视频监控系统图像应以现场保存为主，可远程同步存储、监看、回放视频监控系统不得低于60天。当泵房内触发相应报警时，摄像系统可自动调用预置位摄像机对现场情况进行联动报警录像。视频监控系统应能提供不低于D1画质的信号，摄像点附近应安装应急照明灯。</w:t>
      </w:r>
    </w:p>
    <w:p>
      <w:pPr>
        <w:pStyle w:val="331"/>
        <w:numPr>
          <w:ilvl w:val="0"/>
          <w:numId w:val="13"/>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语音对话单元应由扩音器及麦克风组成，其音频信号通过嵌入式硬盘录像机传送，为现场和远程中控平台建立实时通话环境。</w:t>
      </w:r>
    </w:p>
    <w:p>
      <w:pPr>
        <w:pStyle w:val="331"/>
        <w:numPr>
          <w:ilvl w:val="0"/>
          <w:numId w:val="13"/>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自控设计中应考虑系统整体的模块化、标准化、智能化，以实现系统运行的安全可靠以及节能高效运行。系统中涉及的设备均应选用工业级产品。</w:t>
      </w:r>
    </w:p>
    <w:p>
      <w:pPr>
        <w:pStyle w:val="331"/>
        <w:numPr>
          <w:ilvl w:val="0"/>
          <w:numId w:val="13"/>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电动机应装设短路、接地故障、过载、断相和低电压保护。所有保护都应符合《通用用电设备配电设计规范》GB 50055的规定。</w:t>
      </w:r>
    </w:p>
    <w:p>
      <w:pPr>
        <w:pStyle w:val="331"/>
        <w:numPr>
          <w:ilvl w:val="0"/>
          <w:numId w:val="13"/>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设备的电控柜(箱) 应符合现行国家标准《电气控制设备》GB/T3797的有关规定。</w:t>
      </w:r>
    </w:p>
    <w:p>
      <w:pPr>
        <w:pStyle w:val="331"/>
        <w:numPr>
          <w:ilvl w:val="0"/>
          <w:numId w:val="13"/>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电源应满足设备的安全运行,宜采用双电源或双回路供电方式。</w:t>
      </w:r>
    </w:p>
    <w:p>
      <w:pPr>
        <w:pStyle w:val="331"/>
        <w:numPr>
          <w:ilvl w:val="0"/>
          <w:numId w:val="13"/>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泵房采用TN系统供电时，配电线路必须采用TN-S系统接地形式。接地装置宜采用共用接地装置。接地电阻不应大于1Ω。控制设备的金属外壳和金属支架、金属管道等均应做等电位联结。就近连接到等电位联结端子板上或接地干线上。</w:t>
      </w:r>
    </w:p>
    <w:p>
      <w:pPr>
        <w:pStyle w:val="331"/>
        <w:numPr>
          <w:ilvl w:val="0"/>
          <w:numId w:val="13"/>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地面应设置水淹报警，有低、高水位报警信号输出，当遇低水淹信号输出，应自动警告，不关闭进水总阀，系统运行；当遇高水淹信号输出，应自动报警并关闭进水总阀，系统停止运行。</w:t>
      </w:r>
    </w:p>
    <w:p>
      <w:pPr>
        <w:pStyle w:val="331"/>
        <w:numPr>
          <w:ilvl w:val="0"/>
          <w:numId w:val="13"/>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含电控门磁系统、球机视频监控、工业级交换机。</w:t>
      </w:r>
    </w:p>
    <w:p>
      <w:pPr>
        <w:pStyle w:val="331"/>
        <w:numPr>
          <w:ilvl w:val="0"/>
          <w:numId w:val="13"/>
        </w:numPr>
        <w:adjustRightInd w:val="0"/>
        <w:snapToGrid w:val="0"/>
        <w:spacing w:line="360" w:lineRule="auto"/>
        <w:ind w:left="0" w:firstLine="480"/>
        <w:rPr>
          <w:rFonts w:hint="eastAsia" w:ascii="宋体" w:hAnsi="宋体" w:eastAsia="宋体" w:cs="宋体"/>
          <w:sz w:val="24"/>
          <w:highlight w:val="none"/>
        </w:rPr>
      </w:pPr>
      <w:r>
        <w:rPr>
          <w:rFonts w:hint="eastAsia" w:ascii="宋体" w:hAnsi="宋体" w:eastAsia="宋体" w:cs="宋体"/>
          <w:sz w:val="24"/>
          <w:highlight w:val="none"/>
        </w:rPr>
        <w:t>含空调系统和通风除湿系统，应具备保温、隔热、降温、降噪、强排通风设施。</w:t>
      </w:r>
    </w:p>
    <w:p>
      <w:pPr>
        <w:pStyle w:val="4"/>
        <w:rPr>
          <w:rFonts w:hint="eastAsia" w:ascii="宋体" w:hAnsi="宋体" w:eastAsia="宋体" w:cs="宋体"/>
          <w:highlight w:val="none"/>
        </w:rPr>
      </w:pPr>
    </w:p>
    <w:p>
      <w:pPr>
        <w:pStyle w:val="40"/>
        <w:rPr>
          <w:rFonts w:hint="eastAsia" w:ascii="宋体" w:hAnsi="宋体" w:eastAsia="宋体" w:cs="宋体"/>
          <w:highlight w:val="none"/>
        </w:rPr>
      </w:pPr>
      <w:r>
        <w:rPr>
          <w:rFonts w:hint="eastAsia" w:ascii="宋体" w:hAnsi="宋体" w:eastAsia="宋体" w:cs="宋体"/>
          <w:b/>
          <w:bCs/>
          <w:color w:val="000000"/>
          <w:sz w:val="28"/>
          <w:szCs w:val="28"/>
          <w:highlight w:val="none"/>
        </w:rPr>
        <w:t>5.仪器仪表技术要求</w:t>
      </w:r>
    </w:p>
    <w:p>
      <w:pPr>
        <w:widowControl/>
        <w:tabs>
          <w:tab w:val="left" w:pos="709"/>
        </w:tabs>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5.1</w:t>
      </w:r>
      <w:bookmarkStart w:id="271" w:name="_Toc21225"/>
      <w:r>
        <w:rPr>
          <w:rFonts w:hint="eastAsia" w:ascii="宋体" w:hAnsi="宋体" w:eastAsia="宋体" w:cs="宋体"/>
          <w:sz w:val="24"/>
          <w:szCs w:val="24"/>
          <w:highlight w:val="none"/>
        </w:rPr>
        <w:t>水淹报警</w:t>
      </w:r>
      <w:bookmarkEnd w:id="271"/>
    </w:p>
    <w:p>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水淹报警应符合如下设计要求：</w:t>
      </w:r>
    </w:p>
    <w:p>
      <w:pPr>
        <w:pStyle w:val="331"/>
        <w:numPr>
          <w:ilvl w:val="0"/>
          <w:numId w:val="14"/>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产品应采用电源，输入，输出三端隔离设计。</w:t>
      </w:r>
    </w:p>
    <w:p>
      <w:pPr>
        <w:pStyle w:val="331"/>
        <w:numPr>
          <w:ilvl w:val="0"/>
          <w:numId w:val="14"/>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主要技术参数：</w:t>
      </w:r>
    </w:p>
    <w:p>
      <w:pPr>
        <w:pStyle w:val="331"/>
        <w:numPr>
          <w:ilvl w:val="0"/>
          <w:numId w:val="14"/>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供电电压：DC24V(12V~36V)</w:t>
      </w:r>
    </w:p>
    <w:p>
      <w:pPr>
        <w:pStyle w:val="331"/>
        <w:numPr>
          <w:ilvl w:val="0"/>
          <w:numId w:val="14"/>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工作温度：0℃~50℃</w:t>
      </w:r>
    </w:p>
    <w:p>
      <w:pPr>
        <w:pStyle w:val="331"/>
        <w:numPr>
          <w:ilvl w:val="0"/>
          <w:numId w:val="14"/>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工作湿度：20%RH~100%RH</w:t>
      </w:r>
    </w:p>
    <w:p>
      <w:pPr>
        <w:pStyle w:val="331"/>
        <w:numPr>
          <w:ilvl w:val="0"/>
          <w:numId w:val="14"/>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误报率：&lt;100ppm</w:t>
      </w:r>
      <w:bookmarkStart w:id="272" w:name="_Toc14173"/>
    </w:p>
    <w:p>
      <w:pPr>
        <w:adjustRightInd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5.2温湿度传感器</w:t>
      </w:r>
      <w:bookmarkEnd w:id="272"/>
    </w:p>
    <w:p>
      <w:pPr>
        <w:pStyle w:val="331"/>
        <w:numPr>
          <w:ilvl w:val="0"/>
          <w:numId w:val="15"/>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温湿度传感器应满足如下要求：</w:t>
      </w:r>
    </w:p>
    <w:p>
      <w:pPr>
        <w:pStyle w:val="331"/>
        <w:numPr>
          <w:ilvl w:val="0"/>
          <w:numId w:val="15"/>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环境温度：</w:t>
      </w:r>
      <w:bookmarkStart w:id="273" w:name="OLE_LINK4"/>
      <w:bookmarkStart w:id="274" w:name="OLE_LINK3"/>
      <w:r>
        <w:rPr>
          <w:rFonts w:hint="eastAsia" w:ascii="宋体" w:hAnsi="宋体" w:eastAsia="宋体" w:cs="宋体"/>
          <w:sz w:val="24"/>
          <w:highlight w:val="none"/>
        </w:rPr>
        <w:t>-40℃～+120℃</w:t>
      </w:r>
      <w:bookmarkEnd w:id="273"/>
      <w:bookmarkEnd w:id="274"/>
    </w:p>
    <w:p>
      <w:pPr>
        <w:pStyle w:val="331"/>
        <w:numPr>
          <w:ilvl w:val="0"/>
          <w:numId w:val="15"/>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变松电路工作温度：-20℃～+60℃</w:t>
      </w:r>
    </w:p>
    <w:p>
      <w:pPr>
        <w:pStyle w:val="331"/>
        <w:numPr>
          <w:ilvl w:val="0"/>
          <w:numId w:val="15"/>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供电电压：DC24V(12V~24V)</w:t>
      </w:r>
    </w:p>
    <w:p>
      <w:pPr>
        <w:pStyle w:val="331"/>
        <w:numPr>
          <w:ilvl w:val="0"/>
          <w:numId w:val="15"/>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精准度：湿度 ±2%RH(5%RH~95%RH,25℃)</w:t>
      </w:r>
    </w:p>
    <w:p>
      <w:pPr>
        <w:pStyle w:val="331"/>
        <w:numPr>
          <w:ilvl w:val="0"/>
          <w:numId w:val="15"/>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温度 ±0.5℃（25℃）</w:t>
      </w:r>
    </w:p>
    <w:p>
      <w:pPr>
        <w:pStyle w:val="331"/>
        <w:numPr>
          <w:ilvl w:val="0"/>
          <w:numId w:val="15"/>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输出信号：4~20mA，0~5V</w:t>
      </w:r>
      <w:bookmarkStart w:id="275" w:name="_Toc22505"/>
    </w:p>
    <w:p>
      <w:pPr>
        <w:adjustRightInd w:val="0"/>
        <w:snapToGrid w:val="0"/>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5.3电磁流量计</w:t>
      </w:r>
      <w:bookmarkEnd w:id="275"/>
      <w:r>
        <w:rPr>
          <w:rFonts w:hint="eastAsia" w:ascii="宋体" w:hAnsi="宋体" w:eastAsia="宋体" w:cs="宋体"/>
          <w:sz w:val="24"/>
          <w:highlight w:val="none"/>
          <w:lang w:eastAsia="zh-CN"/>
        </w:rPr>
        <w:t>（水表）</w:t>
      </w:r>
    </w:p>
    <w:p>
      <w:pPr>
        <w:pStyle w:val="331"/>
        <w:numPr>
          <w:ilvl w:val="0"/>
          <w:numId w:val="16"/>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 xml:space="preserve">应采用 4 电极测量系统，带空管检测电极和接地电极； </w:t>
      </w:r>
    </w:p>
    <w:p>
      <w:pPr>
        <w:pStyle w:val="331"/>
        <w:numPr>
          <w:ilvl w:val="0"/>
          <w:numId w:val="16"/>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 xml:space="preserve">电极材质应采用 316L/哈氏 C，衬里材料应采用硬橡胶/聚氨酯； </w:t>
      </w:r>
    </w:p>
    <w:p>
      <w:pPr>
        <w:pStyle w:val="331"/>
        <w:numPr>
          <w:ilvl w:val="0"/>
          <w:numId w:val="16"/>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 xml:space="preserve">防护等级：IP67； </w:t>
      </w:r>
    </w:p>
    <w:p>
      <w:pPr>
        <w:pStyle w:val="331"/>
        <w:numPr>
          <w:ilvl w:val="0"/>
          <w:numId w:val="16"/>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 xml:space="preserve">应通过饮用水认证； </w:t>
      </w:r>
    </w:p>
    <w:p>
      <w:pPr>
        <w:pStyle w:val="331"/>
        <w:numPr>
          <w:ilvl w:val="0"/>
          <w:numId w:val="16"/>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 xml:space="preserve">精度应为测量值的±0.5%，并有相应检验标定证书。 </w:t>
      </w:r>
    </w:p>
    <w:p>
      <w:pPr>
        <w:pStyle w:val="331"/>
        <w:numPr>
          <w:ilvl w:val="0"/>
          <w:numId w:val="16"/>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输出带 4-20mA 模拟信号；带 ModbusRTU 协议通信功能,能读取瞬时流量</w:t>
      </w:r>
    </w:p>
    <w:p>
      <w:pPr>
        <w:pStyle w:val="331"/>
        <w:numPr>
          <w:ilvl w:val="0"/>
          <w:numId w:val="16"/>
        </w:numPr>
        <w:adjustRightInd w:val="0"/>
        <w:snapToGrid w:val="0"/>
        <w:spacing w:line="360" w:lineRule="auto"/>
        <w:ind w:firstLineChars="0"/>
        <w:rPr>
          <w:rFonts w:hint="eastAsia" w:ascii="宋体" w:hAnsi="宋体" w:eastAsia="宋体" w:cs="宋体"/>
          <w:sz w:val="24"/>
          <w:highlight w:val="none"/>
        </w:rPr>
      </w:pPr>
      <w:r>
        <w:rPr>
          <w:rFonts w:hint="eastAsia" w:ascii="宋体" w:hAnsi="宋体" w:eastAsia="宋体" w:cs="宋体"/>
          <w:sz w:val="24"/>
          <w:highlight w:val="none"/>
        </w:rPr>
        <w:t xml:space="preserve">值及累计值； </w:t>
      </w:r>
    </w:p>
    <w:p>
      <w:pPr>
        <w:rPr>
          <w:rFonts w:hint="eastAsia" w:ascii="宋体" w:hAnsi="宋体" w:eastAsia="宋体" w:cs="宋体"/>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326"/>
        <w:ind w:firstLine="480"/>
        <w:rPr>
          <w:rFonts w:hint="eastAsia" w:ascii="宋体" w:hAnsi="宋体" w:eastAsia="宋体" w:cs="宋体"/>
          <w:sz w:val="24"/>
          <w:szCs w:val="24"/>
          <w:highlight w:val="none"/>
        </w:rPr>
      </w:pPr>
    </w:p>
    <w:p>
      <w:pPr>
        <w:pStyle w:val="329"/>
        <w:ind w:firstLine="720"/>
        <w:jc w:val="center"/>
        <w:outlineLvl w:val="0"/>
        <w:rPr>
          <w:rFonts w:hint="eastAsia" w:ascii="宋体" w:hAnsi="宋体" w:eastAsia="宋体" w:cs="宋体"/>
          <w:sz w:val="36"/>
          <w:highlight w:val="none"/>
        </w:rPr>
      </w:pPr>
      <w:bookmarkStart w:id="276" w:name="_Toc133706660"/>
      <w:bookmarkStart w:id="277" w:name="_Toc133706514"/>
      <w:bookmarkStart w:id="278" w:name="_Toc133706190"/>
      <w:bookmarkStart w:id="279" w:name="_Toc133705448"/>
      <w:r>
        <w:rPr>
          <w:rFonts w:ascii="宋体" w:hAnsi="宋体" w:eastAsia="宋体" w:cs="宋体"/>
          <w:sz w:val="36"/>
          <w:highlight w:val="none"/>
        </w:rPr>
        <w:t>第四章  合同主要条款</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76"/>
      <w:bookmarkEnd w:id="277"/>
      <w:bookmarkEnd w:id="278"/>
      <w:bookmarkEnd w:id="279"/>
    </w:p>
    <w:bookmarkEnd w:id="234"/>
    <w:p>
      <w:pPr>
        <w:spacing w:line="720" w:lineRule="auto"/>
        <w:jc w:val="center"/>
        <w:rPr>
          <w:rFonts w:hint="eastAsia" w:ascii="宋体" w:hAnsi="宋体" w:eastAsia="宋体" w:cs="宋体"/>
          <w:color w:val="auto"/>
          <w:kern w:val="0"/>
          <w:sz w:val="44"/>
          <w:szCs w:val="44"/>
          <w:highlight w:val="none"/>
        </w:rPr>
      </w:pPr>
      <w:bookmarkStart w:id="280" w:name="_Toc26543"/>
      <w:bookmarkStart w:id="281" w:name="_Toc12214"/>
      <w:bookmarkStart w:id="282" w:name="_Toc3409"/>
      <w:bookmarkStart w:id="283" w:name="_Toc23535"/>
      <w:bookmarkStart w:id="284" w:name="_Toc3132"/>
      <w:bookmarkStart w:id="285" w:name="_Toc41471740"/>
      <w:bookmarkStart w:id="286" w:name="_Toc7634"/>
      <w:bookmarkStart w:id="287" w:name="_Toc7041"/>
      <w:bookmarkStart w:id="288" w:name="_Toc18714"/>
      <w:bookmarkStart w:id="289" w:name="_Toc4260"/>
      <w:bookmarkStart w:id="290" w:name="_Toc7534"/>
      <w:bookmarkStart w:id="291" w:name="_Toc19038"/>
      <w:bookmarkStart w:id="292" w:name="_Toc12781"/>
      <w:bookmarkStart w:id="293" w:name="_Toc29237"/>
      <w:bookmarkStart w:id="294" w:name="_Toc21131"/>
      <w:r>
        <w:rPr>
          <w:rFonts w:hint="eastAsia" w:ascii="宋体" w:hAnsi="宋体" w:eastAsia="宋体" w:cs="宋体"/>
          <w:szCs w:val="21"/>
          <w:highlight w:val="none"/>
        </w:rPr>
        <w:t>(仅供参考，具体以最终合同签订为准)</w:t>
      </w:r>
    </w:p>
    <w:p>
      <w:pPr>
        <w:adjustRightInd w:val="0"/>
        <w:snapToGrid w:val="0"/>
        <w:spacing w:after="200" w:line="360" w:lineRule="auto"/>
        <w:ind w:firstLine="6515" w:firstLineChars="2950"/>
        <w:rPr>
          <w:rFonts w:ascii="宋体" w:hAnsi="宋体" w:cs="宋体"/>
          <w:b/>
          <w:sz w:val="22"/>
          <w:szCs w:val="16"/>
          <w:highlight w:val="none"/>
        </w:rPr>
      </w:pPr>
      <w:r>
        <w:rPr>
          <w:rFonts w:hint="eastAsia" w:ascii="宋体" w:hAnsi="宋体" w:cs="宋体"/>
          <w:b/>
          <w:sz w:val="22"/>
          <w:szCs w:val="16"/>
          <w:highlight w:val="none"/>
        </w:rPr>
        <w:t>合同编号：</w:t>
      </w:r>
      <w:r>
        <w:rPr>
          <w:rFonts w:hint="eastAsia" w:ascii="宋体" w:hAnsi="宋体" w:cs="宋体"/>
          <w:b/>
          <w:sz w:val="22"/>
          <w:szCs w:val="16"/>
          <w:highlight w:val="none"/>
          <w:u w:val="single"/>
        </w:rPr>
        <w:t xml:space="preserve">        </w:t>
      </w:r>
      <w:r>
        <w:rPr>
          <w:rFonts w:hint="eastAsia" w:ascii="宋体" w:hAnsi="宋体" w:cs="宋体"/>
          <w:b/>
          <w:sz w:val="22"/>
          <w:szCs w:val="16"/>
          <w:highlight w:val="none"/>
          <w:u w:val="single"/>
          <w:lang w:val="en-US" w:eastAsia="zh-CN"/>
        </w:rPr>
        <w:t xml:space="preserve">  </w:t>
      </w:r>
      <w:r>
        <w:rPr>
          <w:rFonts w:hint="eastAsia" w:ascii="宋体" w:hAnsi="宋体" w:cs="宋体"/>
          <w:b/>
          <w:sz w:val="22"/>
          <w:szCs w:val="16"/>
          <w:highlight w:val="none"/>
          <w:u w:val="singl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adjustRightInd w:val="0"/>
        <w:snapToGrid w:val="0"/>
        <w:spacing w:line="360" w:lineRule="auto"/>
        <w:jc w:val="center"/>
        <w:rPr>
          <w:rFonts w:hint="eastAsia" w:ascii="宋体" w:hAnsi="宋体" w:eastAsia="宋体" w:cs="宋体"/>
          <w:b/>
          <w:color w:val="auto"/>
          <w:sz w:val="44"/>
          <w:highlight w:val="none"/>
          <w:lang w:eastAsia="zh-CN"/>
        </w:rPr>
      </w:pPr>
      <w:r>
        <w:rPr>
          <w:rFonts w:hint="eastAsia" w:ascii="宋体" w:hAnsi="宋体" w:cs="宋体"/>
          <w:b/>
          <w:color w:val="auto"/>
          <w:sz w:val="44"/>
          <w:highlight w:val="none"/>
          <w:lang w:eastAsia="zh-CN"/>
        </w:rPr>
        <w:t>深圳会计进修学院生活用水市政接驳工程（一体化加压设备）</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宋体" w:hAnsi="宋体" w:eastAsia="宋体" w:cs="宋体"/>
          <w:b/>
          <w:sz w:val="32"/>
          <w:szCs w:val="32"/>
          <w:highlight w:val="none"/>
          <w:u w:val="none"/>
          <w:lang w:eastAsia="zh-CN"/>
        </w:rPr>
      </w:pPr>
      <w:r>
        <w:rPr>
          <w:rFonts w:hint="eastAsia" w:ascii="宋体" w:hAnsi="宋体" w:cs="宋体"/>
          <w:sz w:val="32"/>
          <w:szCs w:val="32"/>
          <w:highlight w:val="none"/>
        </w:rPr>
        <w:t>项目名称：</w:t>
      </w:r>
      <w:r>
        <w:rPr>
          <w:rFonts w:hint="eastAsia" w:ascii="宋体" w:hAnsi="宋体" w:cs="宋体"/>
          <w:sz w:val="32"/>
          <w:szCs w:val="32"/>
          <w:highlight w:val="none"/>
          <w:u w:val="single"/>
          <w:lang w:val="en-US" w:eastAsia="zh-CN"/>
        </w:rPr>
        <w:t xml:space="preserve"> </w:t>
      </w:r>
      <w:r>
        <w:rPr>
          <w:rFonts w:hint="eastAsia" w:ascii="宋体" w:hAnsi="宋体" w:cs="宋体"/>
          <w:b/>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2"/>
          <w:szCs w:val="32"/>
          <w:highlight w:val="none"/>
          <w:lang w:eastAsia="zh-CN"/>
        </w:rPr>
      </w:pPr>
      <w:r>
        <w:rPr>
          <w:rFonts w:hint="eastAsia" w:ascii="宋体" w:hAnsi="宋体" w:cs="宋体"/>
          <w:sz w:val="32"/>
          <w:szCs w:val="32"/>
          <w:highlight w:val="none"/>
        </w:rPr>
        <w:t>项目地点：</w:t>
      </w:r>
      <w:r>
        <w:rPr>
          <w:rFonts w:hint="eastAsia" w:ascii="宋体" w:hAnsi="宋体" w:cs="宋体"/>
          <w:b/>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2"/>
          <w:szCs w:val="32"/>
          <w:highlight w:val="none"/>
          <w:lang w:eastAsia="zh-CN"/>
        </w:rPr>
      </w:pPr>
      <w:r>
        <w:rPr>
          <w:rFonts w:hint="eastAsia" w:ascii="宋体" w:hAnsi="宋体" w:cs="宋体"/>
          <w:sz w:val="32"/>
          <w:szCs w:val="32"/>
          <w:highlight w:val="none"/>
        </w:rPr>
        <w:t>甲方：</w:t>
      </w:r>
      <w:r>
        <w:rPr>
          <w:rFonts w:hint="eastAsia" w:ascii="宋体" w:hAnsi="宋体" w:cs="宋体"/>
          <w:b/>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sz w:val="32"/>
          <w:szCs w:val="32"/>
          <w:highlight w:val="none"/>
          <w:lang w:eastAsia="zh-CN"/>
        </w:rPr>
      </w:pPr>
      <w:r>
        <w:rPr>
          <w:rFonts w:hint="eastAsia" w:ascii="宋体" w:hAnsi="宋体" w:cs="宋体"/>
          <w:sz w:val="32"/>
          <w:szCs w:val="32"/>
          <w:highlight w:val="none"/>
        </w:rPr>
        <w:t>乙方：</w:t>
      </w:r>
      <w:r>
        <w:rPr>
          <w:rFonts w:hint="eastAsia" w:ascii="宋体" w:hAnsi="宋体" w:cs="宋体"/>
          <w:b/>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宋体" w:hAnsi="宋体" w:cs="宋体"/>
          <w:sz w:val="32"/>
          <w:szCs w:val="32"/>
          <w:highlight w:val="none"/>
        </w:rPr>
      </w:pPr>
      <w:r>
        <w:rPr>
          <w:rFonts w:hint="eastAsia" w:ascii="宋体" w:hAnsi="宋体" w:cs="宋体"/>
          <w:sz w:val="32"/>
          <w:szCs w:val="32"/>
          <w:highlight w:val="none"/>
        </w:rPr>
        <w:t>签订日期：</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日</w:t>
      </w:r>
    </w:p>
    <w:p>
      <w:pPr>
        <w:spacing w:after="120" w:line="418" w:lineRule="auto"/>
        <w:ind w:right="431"/>
        <w:rPr>
          <w:rFonts w:ascii="宋体" w:hAnsi="宋体" w:cs="宋体"/>
          <w:b/>
          <w:sz w:val="28"/>
          <w:szCs w:val="22"/>
          <w:highlight w:val="none"/>
        </w:rPr>
      </w:pPr>
    </w:p>
    <w:p>
      <w:pPr>
        <w:rPr>
          <w:rFonts w:ascii="宋体" w:hAnsi="宋体" w:cs="宋体"/>
          <w:b/>
          <w:sz w:val="28"/>
          <w:szCs w:val="22"/>
          <w:highlight w:val="none"/>
        </w:rPr>
      </w:pPr>
      <w:r>
        <w:rPr>
          <w:rFonts w:hint="eastAsia" w:ascii="宋体" w:hAnsi="宋体" w:cs="宋体"/>
          <w:b/>
          <w:sz w:val="28"/>
          <w:szCs w:val="22"/>
          <w:highlight w:val="none"/>
        </w:rPr>
        <w:br w:type="page"/>
      </w:r>
    </w:p>
    <w:p>
      <w:pPr>
        <w:adjustRightInd w:val="0"/>
        <w:snapToGrid w:val="0"/>
        <w:spacing w:after="200" w:line="360" w:lineRule="auto"/>
        <w:ind w:left="10" w:firstLine="465" w:firstLineChars="193"/>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甲方（买方）：</w:t>
      </w:r>
      <w:r>
        <w:rPr>
          <w:rFonts w:hint="eastAsia" w:ascii="宋体" w:hAnsi="宋体" w:cs="宋体"/>
          <w:b/>
          <w:sz w:val="24"/>
          <w:szCs w:val="24"/>
          <w:highlight w:val="none"/>
          <w:u w:val="single"/>
          <w:lang w:val="en-US" w:eastAsia="zh-CN"/>
        </w:rPr>
        <w:t xml:space="preserve"> </w:t>
      </w:r>
    </w:p>
    <w:p>
      <w:pPr>
        <w:adjustRightInd w:val="0"/>
        <w:snapToGrid w:val="0"/>
        <w:spacing w:after="200" w:line="360" w:lineRule="auto"/>
        <w:ind w:left="10" w:firstLine="465" w:firstLineChars="193"/>
        <w:jc w:val="left"/>
        <w:rPr>
          <w:rFonts w:hint="eastAsia" w:ascii="宋体" w:hAnsi="宋体" w:eastAsia="宋体" w:cs="宋体"/>
          <w:b/>
          <w:sz w:val="24"/>
          <w:szCs w:val="24"/>
          <w:highlight w:val="none"/>
          <w:lang w:eastAsia="zh-CN"/>
        </w:rPr>
      </w:pPr>
      <w:r>
        <w:rPr>
          <w:rFonts w:hint="eastAsia" w:ascii="宋体" w:hAnsi="宋体" w:cs="宋体"/>
          <w:b/>
          <w:sz w:val="24"/>
          <w:szCs w:val="24"/>
          <w:highlight w:val="none"/>
        </w:rPr>
        <w:t>乙方（卖方）：</w:t>
      </w:r>
      <w:r>
        <w:rPr>
          <w:rFonts w:hint="eastAsia" w:ascii="宋体" w:hAnsi="宋体" w:cs="宋体"/>
          <w:b/>
          <w:sz w:val="24"/>
          <w:szCs w:val="24"/>
          <w:highlight w:val="none"/>
          <w:u w:val="single"/>
          <w:lang w:val="en-US" w:eastAsia="zh-CN"/>
        </w:rPr>
        <w:t xml:space="preserve"> </w:t>
      </w:r>
    </w:p>
    <w:p>
      <w:pPr>
        <w:tabs>
          <w:tab w:val="left" w:pos="7200"/>
        </w:tabs>
        <w:adjustRightInd w:val="0"/>
        <w:snapToGrid w:val="0"/>
        <w:spacing w:after="200" w:line="360" w:lineRule="auto"/>
        <w:ind w:firstLine="420" w:firstLineChars="200"/>
        <w:jc w:val="left"/>
        <w:rPr>
          <w:rFonts w:ascii="宋体" w:hAnsi="宋体" w:cs="宋体"/>
          <w:bCs/>
          <w:sz w:val="24"/>
          <w:szCs w:val="24"/>
          <w:highlight w:val="none"/>
        </w:rPr>
      </w:pPr>
      <w:r>
        <w:rPr>
          <w:rFonts w:hint="eastAsia" w:ascii="宋体" w:hAnsi="宋体" w:cs="宋体"/>
          <w:szCs w:val="21"/>
          <w:highlight w:val="none"/>
        </w:rPr>
        <w:t>根据</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项目的采购结果，按照《中华人民共和国民法典》等有关法律、法规、规章、部门及行业的规定，</w:t>
      </w:r>
      <w:r>
        <w:rPr>
          <w:rFonts w:hint="eastAsia" w:ascii="宋体" w:hAnsi="宋体" w:cs="宋体"/>
          <w:kern w:val="28"/>
          <w:szCs w:val="21"/>
          <w:highlight w:val="none"/>
        </w:rPr>
        <w:t>经双方协商，</w:t>
      </w:r>
      <w:r>
        <w:rPr>
          <w:rFonts w:hint="eastAsia" w:ascii="宋体" w:hAnsi="宋体" w:cs="宋体"/>
          <w:szCs w:val="21"/>
          <w:highlight w:val="none"/>
        </w:rPr>
        <w:t>本着平等互利和诚实信用的原则，</w:t>
      </w:r>
      <w:r>
        <w:rPr>
          <w:rFonts w:hint="eastAsia" w:ascii="宋体" w:hAnsi="宋体" w:cs="宋体"/>
          <w:kern w:val="28"/>
          <w:szCs w:val="21"/>
          <w:highlight w:val="none"/>
        </w:rPr>
        <w:t>一致同意签订本合同。</w:t>
      </w:r>
    </w:p>
    <w:p>
      <w:pPr>
        <w:spacing w:line="360" w:lineRule="auto"/>
        <w:ind w:firstLine="482" w:firstLineChars="200"/>
        <w:outlineLvl w:val="0"/>
        <w:rPr>
          <w:rFonts w:ascii="宋体" w:hAnsi="宋体" w:cs="宋体"/>
          <w:b/>
          <w:sz w:val="24"/>
          <w:szCs w:val="24"/>
          <w:highlight w:val="none"/>
        </w:rPr>
      </w:pPr>
      <w:r>
        <w:rPr>
          <w:rFonts w:hint="eastAsia" w:ascii="宋体" w:hAnsi="宋体" w:cs="宋体"/>
          <w:b/>
          <w:sz w:val="24"/>
          <w:szCs w:val="24"/>
          <w:highlight w:val="none"/>
        </w:rPr>
        <w:t>第一条 项目概况</w:t>
      </w:r>
    </w:p>
    <w:p>
      <w:pPr>
        <w:adjustRightInd w:val="0"/>
        <w:snapToGrid w:val="0"/>
        <w:spacing w:line="360" w:lineRule="auto"/>
        <w:ind w:firstLine="465"/>
        <w:rPr>
          <w:rFonts w:hint="eastAsia" w:ascii="宋体" w:hAnsi="宋体" w:cs="宋体"/>
          <w:szCs w:val="21"/>
          <w:highlight w:val="none"/>
          <w:u w:val="single"/>
          <w:lang w:val="en-US" w:eastAsia="zh-CN"/>
        </w:rPr>
      </w:pPr>
      <w:r>
        <w:rPr>
          <w:rFonts w:hint="eastAsia" w:ascii="宋体" w:hAnsi="宋体" w:cs="宋体"/>
          <w:szCs w:val="21"/>
          <w:highlight w:val="none"/>
        </w:rPr>
        <w:t>1.1项目名称：</w:t>
      </w:r>
      <w:r>
        <w:rPr>
          <w:rFonts w:hint="eastAsia" w:ascii="宋体" w:hAnsi="宋体" w:cs="宋体"/>
          <w:szCs w:val="21"/>
          <w:highlight w:val="none"/>
          <w:u w:val="single"/>
          <w:lang w:val="en-US" w:eastAsia="zh-CN"/>
        </w:rPr>
        <w:t xml:space="preserve"> </w:t>
      </w:r>
    </w:p>
    <w:p>
      <w:pPr>
        <w:adjustRightInd w:val="0"/>
        <w:snapToGrid w:val="0"/>
        <w:spacing w:line="360" w:lineRule="auto"/>
        <w:ind w:firstLine="465"/>
        <w:rPr>
          <w:rFonts w:hint="eastAsia" w:ascii="宋体" w:hAnsi="宋体" w:eastAsia="宋体" w:cs="宋体"/>
          <w:szCs w:val="21"/>
          <w:highlight w:val="none"/>
          <w:lang w:eastAsia="zh-CN"/>
        </w:rPr>
      </w:pPr>
      <w:r>
        <w:rPr>
          <w:rFonts w:hint="eastAsia" w:ascii="宋体" w:hAnsi="宋体" w:cs="宋体"/>
          <w:szCs w:val="21"/>
          <w:highlight w:val="none"/>
        </w:rPr>
        <w:t>1.2项目地点（现场）：</w:t>
      </w:r>
      <w:r>
        <w:rPr>
          <w:rFonts w:hint="eastAsia" w:ascii="宋体" w:hAnsi="宋体" w:cs="宋体"/>
          <w:szCs w:val="21"/>
          <w:highlight w:val="none"/>
          <w:u w:val="single"/>
          <w:lang w:val="en-US" w:eastAsia="zh-CN"/>
        </w:rPr>
        <w:t xml:space="preserve"> </w:t>
      </w:r>
    </w:p>
    <w:p>
      <w:pPr>
        <w:adjustRightInd w:val="0"/>
        <w:snapToGrid w:val="0"/>
        <w:spacing w:line="360" w:lineRule="auto"/>
        <w:ind w:firstLine="465"/>
        <w:rPr>
          <w:rFonts w:hint="eastAsia" w:ascii="宋体" w:hAnsi="宋体" w:eastAsia="宋体" w:cs="宋体"/>
          <w:szCs w:val="21"/>
          <w:highlight w:val="none"/>
          <w:u w:val="single"/>
          <w:lang w:val="en-US" w:eastAsia="zh-CN"/>
        </w:rPr>
      </w:pPr>
      <w:r>
        <w:rPr>
          <w:rFonts w:hint="eastAsia" w:ascii="宋体" w:hAnsi="宋体" w:cs="宋体"/>
          <w:szCs w:val="21"/>
          <w:highlight w:val="none"/>
        </w:rPr>
        <w:t>1.3项目工程概况：</w:t>
      </w:r>
      <w:r>
        <w:rPr>
          <w:rFonts w:hint="eastAsia" w:ascii="宋体" w:hAnsi="宋体" w:cs="宋体"/>
          <w:szCs w:val="21"/>
          <w:highlight w:val="none"/>
          <w:u w:val="single"/>
          <w:lang w:val="en-US" w:eastAsia="zh-CN"/>
        </w:rPr>
        <w:t xml:space="preserve"> </w:t>
      </w:r>
    </w:p>
    <w:p>
      <w:pPr>
        <w:spacing w:line="360" w:lineRule="auto"/>
        <w:ind w:firstLine="420" w:firstLineChars="200"/>
        <w:outlineLvl w:val="0"/>
        <w:rPr>
          <w:rFonts w:ascii="宋体" w:hAnsi="宋体" w:cs="宋体"/>
          <w:b/>
          <w:sz w:val="24"/>
          <w:szCs w:val="24"/>
          <w:highlight w:val="none"/>
        </w:rPr>
      </w:pPr>
      <w:r>
        <w:rPr>
          <w:rFonts w:hint="eastAsia" w:ascii="宋体" w:hAnsi="宋体" w:cs="宋体"/>
          <w:szCs w:val="21"/>
          <w:highlight w:val="none"/>
          <w:lang w:val="en-US" w:eastAsia="zh-CN"/>
        </w:rPr>
        <w:t xml:space="preserve"> </w:t>
      </w:r>
      <w:r>
        <w:rPr>
          <w:rFonts w:hint="eastAsia" w:ascii="宋体" w:hAnsi="宋体" w:cs="宋体"/>
          <w:b/>
          <w:sz w:val="24"/>
          <w:szCs w:val="24"/>
          <w:highlight w:val="none"/>
        </w:rPr>
        <w:t>第二条 项目内容及范围</w:t>
      </w:r>
    </w:p>
    <w:p>
      <w:pPr>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ascii="宋体" w:hAnsi="宋体" w:eastAsia="宋体" w:cs="宋体"/>
          <w:bCs/>
          <w:color w:val="000000" w:themeColor="text1"/>
          <w:kern w:val="0"/>
          <w:szCs w:val="21"/>
          <w:highlight w:val="none"/>
          <w14:textFill>
            <w14:solidFill>
              <w14:schemeClr w14:val="tx1"/>
            </w14:solidFill>
          </w14:textFill>
        </w:rPr>
        <w:t>1）设备</w:t>
      </w:r>
      <w:r>
        <w:rPr>
          <w:rFonts w:hint="eastAsia" w:ascii="宋体" w:hAnsi="宋体" w:eastAsia="宋体" w:cs="宋体"/>
          <w:bCs/>
          <w:color w:val="000000" w:themeColor="text1"/>
          <w:kern w:val="0"/>
          <w:szCs w:val="21"/>
          <w:highlight w:val="none"/>
          <w14:textFill>
            <w14:solidFill>
              <w14:schemeClr w14:val="tx1"/>
            </w14:solidFill>
          </w14:textFill>
        </w:rPr>
        <w:t>的供货及现场指导安装；</w:t>
      </w:r>
    </w:p>
    <w:p>
      <w:pPr>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ascii="宋体" w:hAnsi="宋体" w:eastAsia="宋体" w:cs="宋体"/>
          <w:bCs/>
          <w:color w:val="000000" w:themeColor="text1"/>
          <w:kern w:val="0"/>
          <w:szCs w:val="21"/>
          <w:highlight w:val="none"/>
          <w14:textFill>
            <w14:solidFill>
              <w14:schemeClr w14:val="tx1"/>
            </w14:solidFill>
          </w14:textFill>
        </w:rPr>
        <w:t>2）本功能包涉及的</w:t>
      </w:r>
      <w:r>
        <w:rPr>
          <w:rFonts w:hint="eastAsia" w:ascii="宋体" w:hAnsi="宋体" w:eastAsia="宋体" w:cs="宋体"/>
          <w:bCs/>
          <w:color w:val="000000" w:themeColor="text1"/>
          <w:kern w:val="0"/>
          <w:szCs w:val="21"/>
          <w:highlight w:val="none"/>
          <w14:textFill>
            <w14:solidFill>
              <w14:schemeClr w14:val="tx1"/>
            </w14:solidFill>
          </w14:textFill>
        </w:rPr>
        <w:t>设备清单出自</w:t>
      </w:r>
      <w:r>
        <w:rPr>
          <w:rFonts w:hint="eastAsia" w:ascii="宋体" w:hAnsi="宋体" w:cs="宋体"/>
          <w:szCs w:val="21"/>
          <w:highlight w:val="none"/>
          <w:u w:val="single"/>
          <w:lang w:val="en-US" w:eastAsia="zh-CN"/>
        </w:rPr>
        <w:t xml:space="preserve">       </w:t>
      </w:r>
      <w:r>
        <w:rPr>
          <w:rFonts w:hint="eastAsia" w:ascii="宋体" w:hAnsi="宋体" w:eastAsia="宋体" w:cs="宋体"/>
          <w:bCs/>
          <w:color w:val="000000" w:themeColor="text1"/>
          <w:kern w:val="0"/>
          <w:szCs w:val="21"/>
          <w:highlight w:val="none"/>
          <w14:textFill>
            <w14:solidFill>
              <w14:schemeClr w14:val="tx1"/>
            </w14:solidFill>
          </w14:textFill>
        </w:rPr>
        <w:t>施工图设计，具体设备参数及数量以甲方确认的施工图为准，乙方可对该设备进行优化，满足设计及工艺要求；</w:t>
      </w:r>
    </w:p>
    <w:p>
      <w:pPr>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ascii="宋体" w:hAnsi="宋体" w:eastAsia="宋体" w:cs="宋体"/>
          <w:bCs/>
          <w:color w:val="000000" w:themeColor="text1"/>
          <w:kern w:val="0"/>
          <w:szCs w:val="21"/>
          <w:highlight w:val="none"/>
          <w14:textFill>
            <w14:solidFill>
              <w14:schemeClr w14:val="tx1"/>
            </w14:solidFill>
          </w14:textFill>
        </w:rPr>
        <w:t>3）技术支持和相关服务、人员培训、设备质保及售后服务</w:t>
      </w:r>
      <w:r>
        <w:rPr>
          <w:rFonts w:hint="eastAsia" w:ascii="宋体" w:hAnsi="宋体" w:eastAsia="宋体" w:cs="宋体"/>
          <w:bCs/>
          <w:color w:val="000000" w:themeColor="text1"/>
          <w:kern w:val="0"/>
          <w:szCs w:val="21"/>
          <w:highlight w:val="none"/>
          <w14:textFill>
            <w14:solidFill>
              <w14:schemeClr w14:val="tx1"/>
            </w14:solidFill>
          </w14:textFill>
        </w:rPr>
        <w:t>；</w:t>
      </w:r>
    </w:p>
    <w:p>
      <w:pPr>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ascii="宋体" w:hAnsi="宋体" w:eastAsia="宋体" w:cs="宋体"/>
          <w:bCs/>
          <w:color w:val="000000" w:themeColor="text1"/>
          <w:kern w:val="0"/>
          <w:szCs w:val="21"/>
          <w:highlight w:val="none"/>
          <w14:textFill>
            <w14:solidFill>
              <w14:schemeClr w14:val="tx1"/>
            </w14:solidFill>
          </w14:textFill>
        </w:rPr>
        <w:t>4）本功能包内容要求有</w:t>
      </w:r>
      <w:r>
        <w:rPr>
          <w:rFonts w:hint="eastAsia" w:ascii="宋体" w:hAnsi="宋体" w:cs="宋体"/>
          <w:bCs/>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kern w:val="0"/>
          <w:szCs w:val="21"/>
          <w:highlight w:val="none"/>
          <w14:textFill>
            <w14:solidFill>
              <w14:schemeClr w14:val="tx1"/>
            </w14:solidFill>
          </w14:textFill>
        </w:rPr>
        <w:t>个月</w:t>
      </w:r>
      <w:r>
        <w:rPr>
          <w:rFonts w:ascii="宋体" w:hAnsi="宋体" w:eastAsia="宋体" w:cs="宋体"/>
          <w:bCs/>
          <w:color w:val="000000" w:themeColor="text1"/>
          <w:kern w:val="0"/>
          <w:szCs w:val="21"/>
          <w:highlight w:val="none"/>
          <w14:textFill>
            <w14:solidFill>
              <w14:schemeClr w14:val="tx1"/>
            </w14:solidFill>
          </w14:textFill>
        </w:rPr>
        <w:t>的调试期</w:t>
      </w:r>
      <w:r>
        <w:rPr>
          <w:rFonts w:hint="eastAsia" w:ascii="宋体" w:hAnsi="宋体" w:eastAsia="宋体" w:cs="宋体"/>
          <w:bCs/>
          <w:color w:val="000000" w:themeColor="text1"/>
          <w:kern w:val="0"/>
          <w:szCs w:val="21"/>
          <w:highlight w:val="none"/>
          <w14:textFill>
            <w14:solidFill>
              <w14:schemeClr w14:val="tx1"/>
            </w14:solidFill>
          </w14:textFill>
        </w:rPr>
        <w:t>，</w:t>
      </w:r>
      <w:r>
        <w:rPr>
          <w:rFonts w:ascii="宋体" w:hAnsi="宋体" w:eastAsia="宋体" w:cs="宋体"/>
          <w:bCs/>
          <w:color w:val="000000" w:themeColor="text1"/>
          <w:kern w:val="0"/>
          <w:szCs w:val="21"/>
          <w:highlight w:val="none"/>
          <w14:textFill>
            <w14:solidFill>
              <w14:schemeClr w14:val="tx1"/>
            </w14:solidFill>
          </w14:textFill>
        </w:rPr>
        <w:t>调试期间</w:t>
      </w:r>
      <w:r>
        <w:rPr>
          <w:rFonts w:hint="eastAsia" w:ascii="宋体" w:hAnsi="宋体" w:eastAsia="宋体" w:cs="宋体"/>
          <w:bCs/>
          <w:color w:val="000000" w:themeColor="text1"/>
          <w:kern w:val="0"/>
          <w:szCs w:val="21"/>
          <w:highlight w:val="none"/>
          <w14:textFill>
            <w14:solidFill>
              <w14:schemeClr w14:val="tx1"/>
            </w14:solidFill>
          </w14:textFill>
        </w:rPr>
        <w:t>乙方</w:t>
      </w:r>
      <w:r>
        <w:rPr>
          <w:rFonts w:ascii="宋体" w:hAnsi="宋体" w:eastAsia="宋体" w:cs="宋体"/>
          <w:bCs/>
          <w:color w:val="000000" w:themeColor="text1"/>
          <w:kern w:val="0"/>
          <w:szCs w:val="21"/>
          <w:highlight w:val="none"/>
          <w14:textFill>
            <w14:solidFill>
              <w14:schemeClr w14:val="tx1"/>
            </w14:solidFill>
          </w14:textFill>
        </w:rPr>
        <w:t>提供专业技术人员驻场调试；</w:t>
      </w:r>
    </w:p>
    <w:p>
      <w:pPr>
        <w:spacing w:line="360" w:lineRule="auto"/>
        <w:ind w:firstLine="420" w:firstLineChars="200"/>
        <w:jc w:val="left"/>
        <w:rPr>
          <w:rFonts w:ascii="宋体" w:hAnsi="宋体" w:eastAsia="宋体" w:cs="宋体"/>
          <w:bCs/>
          <w:color w:val="000000" w:themeColor="text1"/>
          <w:kern w:val="0"/>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14:textFill>
            <w14:solidFill>
              <w14:schemeClr w14:val="tx1"/>
            </w14:solidFill>
          </w14:textFill>
        </w:rPr>
        <w:t>（</w:t>
      </w:r>
      <w:r>
        <w:rPr>
          <w:rFonts w:ascii="宋体" w:hAnsi="宋体" w:eastAsia="宋体" w:cs="宋体"/>
          <w:bCs/>
          <w:color w:val="000000" w:themeColor="text1"/>
          <w:kern w:val="0"/>
          <w:szCs w:val="21"/>
          <w:highlight w:val="none"/>
          <w14:textFill>
            <w14:solidFill>
              <w14:schemeClr w14:val="tx1"/>
            </w14:solidFill>
          </w14:textFill>
        </w:rPr>
        <w:t>5）</w:t>
      </w:r>
      <w:r>
        <w:rPr>
          <w:rFonts w:hint="eastAsia" w:ascii="宋体" w:hAnsi="宋体" w:eastAsia="宋体" w:cs="宋体"/>
          <w:bCs/>
          <w:color w:val="000000" w:themeColor="text1"/>
          <w:kern w:val="0"/>
          <w:szCs w:val="21"/>
          <w:highlight w:val="none"/>
          <w14:textFill>
            <w14:solidFill>
              <w14:schemeClr w14:val="tx1"/>
            </w14:solidFill>
          </w14:textFill>
        </w:rPr>
        <w:t>甲方</w:t>
      </w:r>
      <w:r>
        <w:rPr>
          <w:rFonts w:ascii="宋体" w:hAnsi="宋体" w:eastAsia="宋体" w:cs="宋体"/>
          <w:bCs/>
          <w:color w:val="000000" w:themeColor="text1"/>
          <w:kern w:val="0"/>
          <w:szCs w:val="21"/>
          <w:highlight w:val="none"/>
          <w14:textFill>
            <w14:solidFill>
              <w14:schemeClr w14:val="tx1"/>
            </w14:solidFill>
          </w14:textFill>
        </w:rPr>
        <w:t>指定的其他工作。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注：本项目在实际实施过程中工作内容可能有增加或减少，乙方必须无条件接受甲方提出的变更要求，并按最新的要求调整工作内容。</w:t>
      </w:r>
    </w:p>
    <w:p>
      <w:pPr>
        <w:spacing w:line="360" w:lineRule="auto"/>
        <w:ind w:firstLine="482" w:firstLineChars="200"/>
        <w:outlineLvl w:val="0"/>
        <w:rPr>
          <w:rFonts w:ascii="宋体" w:hAnsi="宋体" w:cs="宋体"/>
          <w:b/>
          <w:sz w:val="24"/>
          <w:szCs w:val="24"/>
          <w:highlight w:val="none"/>
        </w:rPr>
      </w:pPr>
      <w:r>
        <w:rPr>
          <w:rFonts w:hint="eastAsia" w:ascii="宋体" w:hAnsi="宋体" w:cs="宋体"/>
          <w:b/>
          <w:sz w:val="24"/>
          <w:szCs w:val="24"/>
          <w:highlight w:val="none"/>
        </w:rPr>
        <w:t>第三条 合同价款</w:t>
      </w:r>
    </w:p>
    <w:tbl>
      <w:tblPr>
        <w:tblStyle w:val="58"/>
        <w:tblW w:w="4997" w:type="pct"/>
        <w:jc w:val="center"/>
        <w:tblLayout w:type="autofit"/>
        <w:tblCellMar>
          <w:top w:w="0" w:type="dxa"/>
          <w:left w:w="108" w:type="dxa"/>
          <w:bottom w:w="0" w:type="dxa"/>
          <w:right w:w="108" w:type="dxa"/>
        </w:tblCellMar>
      </w:tblPr>
      <w:tblGrid>
        <w:gridCol w:w="656"/>
        <w:gridCol w:w="1278"/>
        <w:gridCol w:w="1326"/>
        <w:gridCol w:w="453"/>
        <w:gridCol w:w="439"/>
        <w:gridCol w:w="1270"/>
        <w:gridCol w:w="1090"/>
        <w:gridCol w:w="1234"/>
        <w:gridCol w:w="491"/>
        <w:gridCol w:w="1272"/>
      </w:tblGrid>
      <w:tr>
        <w:tblPrEx>
          <w:tblCellMar>
            <w:top w:w="0" w:type="dxa"/>
            <w:left w:w="108" w:type="dxa"/>
            <w:bottom w:w="0" w:type="dxa"/>
            <w:right w:w="108" w:type="dxa"/>
          </w:tblCellMar>
        </w:tblPrEx>
        <w:trPr>
          <w:trHeight w:val="600" w:hRule="atLeast"/>
          <w:tblHeader/>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1"/>
                <w:szCs w:val="21"/>
                <w:highlight w:val="none"/>
              </w:rPr>
            </w:pPr>
            <w:r>
              <w:rPr>
                <w:rFonts w:hint="eastAsia" w:ascii="宋体" w:hAnsi="宋体" w:cs="宋体"/>
                <w:b/>
                <w:bCs/>
                <w:sz w:val="21"/>
                <w:szCs w:val="21"/>
                <w:highlight w:val="none"/>
                <w:lang w:bidi="ar"/>
              </w:rPr>
              <w:t>序号</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1"/>
                <w:szCs w:val="21"/>
                <w:highlight w:val="none"/>
                <w:lang w:bidi="ar"/>
              </w:rPr>
            </w:pPr>
            <w:r>
              <w:rPr>
                <w:rFonts w:hint="eastAsia" w:ascii="宋体" w:hAnsi="宋体" w:cs="宋体"/>
                <w:b/>
                <w:bCs/>
                <w:sz w:val="21"/>
                <w:szCs w:val="21"/>
                <w:highlight w:val="none"/>
                <w:lang w:bidi="ar"/>
              </w:rPr>
              <w:t>设备材料</w:t>
            </w:r>
          </w:p>
          <w:p>
            <w:pPr>
              <w:widowControl/>
              <w:jc w:val="center"/>
              <w:textAlignment w:val="center"/>
              <w:rPr>
                <w:rFonts w:ascii="宋体" w:hAnsi="宋体" w:cs="宋体"/>
                <w:b/>
                <w:bCs/>
                <w:sz w:val="21"/>
                <w:szCs w:val="21"/>
                <w:highlight w:val="none"/>
              </w:rPr>
            </w:pPr>
            <w:r>
              <w:rPr>
                <w:rFonts w:hint="eastAsia" w:ascii="宋体" w:hAnsi="宋体" w:cs="宋体"/>
                <w:b/>
                <w:bCs/>
                <w:sz w:val="21"/>
                <w:szCs w:val="21"/>
                <w:highlight w:val="none"/>
                <w:lang w:bidi="ar"/>
              </w:rPr>
              <w:t>名称</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1"/>
                <w:szCs w:val="21"/>
                <w:highlight w:val="none"/>
              </w:rPr>
            </w:pPr>
            <w:r>
              <w:rPr>
                <w:rFonts w:hint="eastAsia" w:ascii="宋体" w:hAnsi="宋体" w:cs="宋体"/>
                <w:b/>
                <w:bCs/>
                <w:sz w:val="21"/>
                <w:szCs w:val="21"/>
                <w:highlight w:val="none"/>
                <w:lang w:bidi="ar"/>
              </w:rPr>
              <w:t>规格型号</w:t>
            </w: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1"/>
                <w:szCs w:val="21"/>
                <w:highlight w:val="none"/>
              </w:rPr>
            </w:pPr>
            <w:r>
              <w:rPr>
                <w:rFonts w:hint="eastAsia" w:ascii="宋体" w:hAnsi="宋体" w:cs="宋体"/>
                <w:b/>
                <w:bCs/>
                <w:sz w:val="21"/>
                <w:szCs w:val="21"/>
                <w:highlight w:val="none"/>
                <w:lang w:bidi="ar"/>
              </w:rPr>
              <w:t>数量</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1"/>
                <w:szCs w:val="21"/>
                <w:highlight w:val="none"/>
              </w:rPr>
            </w:pPr>
            <w:r>
              <w:rPr>
                <w:rFonts w:hint="eastAsia" w:ascii="宋体" w:hAnsi="宋体" w:cs="宋体"/>
                <w:b/>
                <w:bCs/>
                <w:kern w:val="0"/>
                <w:sz w:val="21"/>
                <w:szCs w:val="21"/>
                <w:highlight w:val="none"/>
                <w:lang w:bidi="ar"/>
              </w:rPr>
              <w:t>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1"/>
                <w:szCs w:val="21"/>
                <w:highlight w:val="none"/>
              </w:rPr>
            </w:pPr>
            <w:r>
              <w:rPr>
                <w:rFonts w:hint="eastAsia" w:ascii="宋体" w:hAnsi="宋体" w:cs="宋体"/>
                <w:b/>
                <w:bCs/>
                <w:kern w:val="0"/>
                <w:sz w:val="21"/>
                <w:szCs w:val="21"/>
                <w:highlight w:val="none"/>
                <w:lang w:bidi="ar"/>
              </w:rPr>
              <w:t>不含税单价（元）</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1"/>
                <w:szCs w:val="21"/>
                <w:highlight w:val="none"/>
              </w:rPr>
            </w:pPr>
            <w:r>
              <w:rPr>
                <w:rFonts w:hint="eastAsia" w:ascii="宋体" w:hAnsi="宋体" w:cs="宋体"/>
                <w:b/>
                <w:bCs/>
                <w:sz w:val="21"/>
                <w:szCs w:val="21"/>
                <w:highlight w:val="none"/>
                <w:lang w:bidi="ar"/>
              </w:rPr>
              <w:t>含税单价</w:t>
            </w:r>
            <w:r>
              <w:rPr>
                <w:rFonts w:hint="eastAsia" w:ascii="宋体" w:hAnsi="宋体" w:cs="宋体"/>
                <w:b/>
                <w:bCs/>
                <w:kern w:val="0"/>
                <w:sz w:val="21"/>
                <w:szCs w:val="21"/>
                <w:highlight w:val="none"/>
                <w:lang w:bidi="ar"/>
              </w:rPr>
              <w:t>（元）</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1"/>
                <w:szCs w:val="21"/>
                <w:highlight w:val="none"/>
              </w:rPr>
            </w:pPr>
            <w:r>
              <w:rPr>
                <w:rFonts w:hint="eastAsia" w:ascii="宋体" w:hAnsi="宋体" w:cs="宋体"/>
                <w:b/>
                <w:bCs/>
                <w:sz w:val="21"/>
                <w:szCs w:val="21"/>
                <w:highlight w:val="none"/>
                <w:lang w:bidi="ar"/>
              </w:rPr>
              <w:t>含税总价</w:t>
            </w:r>
            <w:r>
              <w:rPr>
                <w:rFonts w:hint="eastAsia" w:ascii="宋体" w:hAnsi="宋体" w:cs="宋体"/>
                <w:b/>
                <w:bCs/>
                <w:kern w:val="0"/>
                <w:sz w:val="21"/>
                <w:szCs w:val="21"/>
                <w:highlight w:val="none"/>
                <w:lang w:bidi="ar"/>
              </w:rPr>
              <w:t>（元）</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1"/>
                <w:szCs w:val="21"/>
                <w:highlight w:val="none"/>
              </w:rPr>
            </w:pPr>
            <w:r>
              <w:rPr>
                <w:rFonts w:hint="eastAsia" w:ascii="宋体" w:hAnsi="宋体" w:cs="宋体"/>
                <w:b/>
                <w:bCs/>
                <w:sz w:val="21"/>
                <w:szCs w:val="21"/>
                <w:highlight w:val="none"/>
                <w:lang w:bidi="ar"/>
              </w:rPr>
              <w:t>税率</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1"/>
                <w:szCs w:val="21"/>
                <w:highlight w:val="none"/>
              </w:rPr>
            </w:pPr>
            <w:r>
              <w:rPr>
                <w:rFonts w:hint="eastAsia" w:ascii="宋体" w:hAnsi="宋体" w:cs="宋体"/>
                <w:b/>
                <w:bCs/>
                <w:sz w:val="21"/>
                <w:szCs w:val="21"/>
                <w:highlight w:val="none"/>
                <w:lang w:bidi="ar"/>
              </w:rPr>
              <w:t>品牌</w:t>
            </w:r>
          </w:p>
        </w:tc>
      </w:tr>
      <w:tr>
        <w:tblPrEx>
          <w:tblCellMar>
            <w:top w:w="0" w:type="dxa"/>
            <w:left w:w="108" w:type="dxa"/>
            <w:bottom w:w="0" w:type="dxa"/>
            <w:right w:w="108" w:type="dxa"/>
          </w:tblCellMar>
        </w:tblPrEx>
        <w:trPr>
          <w:trHeight w:val="600"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258" w:type="pct"/>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default" w:ascii="宋体" w:hAnsi="宋体" w:eastAsia="宋体" w:cs="宋体"/>
                <w:sz w:val="21"/>
                <w:szCs w:val="21"/>
                <w:highlight w:val="none"/>
                <w:lang w:val="en-US" w:eastAsia="zh-CN"/>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r>
      <w:tr>
        <w:tblPrEx>
          <w:tblCellMar>
            <w:top w:w="0" w:type="dxa"/>
            <w:left w:w="108" w:type="dxa"/>
            <w:bottom w:w="0" w:type="dxa"/>
            <w:right w:w="108" w:type="dxa"/>
          </w:tblCellMar>
        </w:tblPrEx>
        <w:trPr>
          <w:trHeight w:val="600"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258"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sz w:val="21"/>
                <w:szCs w:val="21"/>
                <w:highlight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r>
      <w:tr>
        <w:tblPrEx>
          <w:tblCellMar>
            <w:top w:w="0" w:type="dxa"/>
            <w:left w:w="108" w:type="dxa"/>
            <w:bottom w:w="0" w:type="dxa"/>
            <w:right w:w="108" w:type="dxa"/>
          </w:tblCellMar>
        </w:tblPrEx>
        <w:trPr>
          <w:trHeight w:val="600"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258"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sz w:val="21"/>
                <w:szCs w:val="21"/>
                <w:highlight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r>
      <w:tr>
        <w:tblPrEx>
          <w:tblCellMar>
            <w:top w:w="0" w:type="dxa"/>
            <w:left w:w="108" w:type="dxa"/>
            <w:bottom w:w="0" w:type="dxa"/>
            <w:right w:w="108" w:type="dxa"/>
          </w:tblCellMar>
        </w:tblPrEx>
        <w:trPr>
          <w:trHeight w:val="600"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258"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sz w:val="21"/>
                <w:szCs w:val="21"/>
                <w:highlight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r>
      <w:tr>
        <w:tblPrEx>
          <w:tblCellMar>
            <w:top w:w="0" w:type="dxa"/>
            <w:left w:w="108" w:type="dxa"/>
            <w:bottom w:w="0" w:type="dxa"/>
            <w:right w:w="108" w:type="dxa"/>
          </w:tblCellMar>
        </w:tblPrEx>
        <w:trPr>
          <w:trHeight w:val="600"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258"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sz w:val="21"/>
                <w:szCs w:val="21"/>
                <w:highlight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r>
      <w:tr>
        <w:tblPrEx>
          <w:tblCellMar>
            <w:top w:w="0" w:type="dxa"/>
            <w:left w:w="108" w:type="dxa"/>
            <w:bottom w:w="0" w:type="dxa"/>
            <w:right w:w="108" w:type="dxa"/>
          </w:tblCellMar>
        </w:tblPrEx>
        <w:trPr>
          <w:trHeight w:val="600"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258"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1"/>
                <w:szCs w:val="21"/>
                <w:highlight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r>
      <w:tr>
        <w:tblPrEx>
          <w:tblCellMar>
            <w:top w:w="0" w:type="dxa"/>
            <w:left w:w="108" w:type="dxa"/>
            <w:bottom w:w="0" w:type="dxa"/>
            <w:right w:w="108" w:type="dxa"/>
          </w:tblCellMar>
        </w:tblPrEx>
        <w:trPr>
          <w:trHeight w:val="600"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258" w:type="pct"/>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default"/>
                <w:sz w:val="21"/>
                <w:szCs w:val="21"/>
                <w:highlight w:val="none"/>
                <w:lang w:val="en-US" w:eastAsia="zh-CN"/>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r>
      <w:tr>
        <w:tblPrEx>
          <w:tblCellMar>
            <w:top w:w="0" w:type="dxa"/>
            <w:left w:w="108" w:type="dxa"/>
            <w:bottom w:w="0" w:type="dxa"/>
            <w:right w:w="108" w:type="dxa"/>
          </w:tblCellMar>
        </w:tblPrEx>
        <w:trPr>
          <w:trHeight w:val="600" w:hRule="atLeast"/>
          <w:jc w:val="center"/>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1"/>
                <w:szCs w:val="21"/>
                <w:highlight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c>
          <w:tcPr>
            <w:tcW w:w="258"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sz w:val="21"/>
                <w:szCs w:val="21"/>
                <w:highlight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jc w:val="center"/>
        </w:trPr>
        <w:tc>
          <w:tcPr>
            <w:tcW w:w="5000" w:type="pct"/>
            <w:gridSpan w:val="10"/>
            <w:vAlign w:val="center"/>
          </w:tcPr>
          <w:p>
            <w:pPr>
              <w:spacing w:line="360" w:lineRule="auto"/>
              <w:rPr>
                <w:rFonts w:ascii="宋体" w:hAnsi="宋体" w:cs="宋体"/>
                <w:sz w:val="21"/>
                <w:szCs w:val="21"/>
                <w:highlight w:val="none"/>
              </w:rPr>
            </w:pPr>
            <w:r>
              <w:rPr>
                <w:rFonts w:hint="eastAsia"/>
                <w:sz w:val="21"/>
                <w:szCs w:val="21"/>
                <w:highlight w:val="none"/>
              </w:rPr>
              <w:t>本项目为</w:t>
            </w:r>
            <w:r>
              <w:rPr>
                <w:rFonts w:hint="eastAsia"/>
                <w:sz w:val="21"/>
                <w:szCs w:val="21"/>
                <w:highlight w:val="none"/>
                <w:u w:val="single"/>
              </w:rPr>
              <w:t xml:space="preserve">   1   </w:t>
            </w:r>
            <w:r>
              <w:rPr>
                <w:rFonts w:hint="eastAsia"/>
                <w:sz w:val="21"/>
                <w:szCs w:val="21"/>
                <w:highlight w:val="none"/>
              </w:rPr>
              <w:t>合同（1、固定单价，2、固定总价）</w:t>
            </w:r>
          </w:p>
          <w:p>
            <w:pPr>
              <w:spacing w:line="360" w:lineRule="auto"/>
              <w:rPr>
                <w:rFonts w:hint="eastAsia" w:ascii="宋体" w:hAnsi="宋体" w:cs="宋体" w:eastAsiaTheme="minorEastAsia"/>
                <w:sz w:val="21"/>
                <w:szCs w:val="21"/>
                <w:highlight w:val="none"/>
                <w:lang w:val="en-US" w:eastAsia="zh-CN"/>
              </w:rPr>
            </w:pPr>
            <w:r>
              <w:rPr>
                <w:rFonts w:hint="eastAsia" w:ascii="宋体" w:hAnsi="宋体" w:cs="宋体"/>
                <w:sz w:val="21"/>
                <w:szCs w:val="21"/>
                <w:highlight w:val="none"/>
              </w:rPr>
              <w:t>合同价款（含13%增值税）</w:t>
            </w:r>
            <w:r>
              <w:rPr>
                <w:rFonts w:hint="eastAsia" w:ascii="宋体" w:hAnsi="宋体" w:cs="宋体"/>
                <w:sz w:val="21"/>
                <w:szCs w:val="21"/>
                <w:highlight w:val="none"/>
                <w:lang w:val="en-US" w:eastAsia="zh-CN"/>
              </w:rPr>
              <w:t>暂定</w:t>
            </w:r>
            <w:r>
              <w:rPr>
                <w:rFonts w:hint="eastAsia" w:ascii="宋体" w:hAnsi="宋体" w:cs="宋体"/>
                <w:sz w:val="21"/>
                <w:szCs w:val="21"/>
                <w:highlight w:val="none"/>
              </w:rPr>
              <w:t>总额（大写）：</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rPr>
              <w:t>（小写）：</w:t>
            </w:r>
            <w:r>
              <w:rPr>
                <w:rFonts w:hint="eastAsia" w:ascii="宋体" w:hAnsi="宋体" w:cs="宋体"/>
                <w:sz w:val="21"/>
                <w:szCs w:val="21"/>
                <w:highlight w:val="none"/>
                <w:lang w:eastAsia="zh-CN"/>
              </w:rPr>
              <w:t>￥</w:t>
            </w:r>
            <w:r>
              <w:rPr>
                <w:rFonts w:hint="eastAsia" w:cs="宋体" w:asciiTheme="minorEastAsia" w:hAnsiTheme="minorEastAsia" w:eastAsiaTheme="minorEastAsia"/>
                <w:sz w:val="21"/>
                <w:szCs w:val="21"/>
                <w:highlight w:val="none"/>
                <w:u w:val="single"/>
                <w:lang w:val="en-US" w:eastAsia="zh-CN"/>
              </w:rPr>
              <w:t xml:space="preserve">  </w:t>
            </w:r>
            <w:r>
              <w:rPr>
                <w:rFonts w:hint="eastAsia" w:cs="宋体" w:asciiTheme="minorEastAsia" w:hAnsiTheme="minorEastAsia" w:eastAsiaTheme="minorEastAsia"/>
                <w:sz w:val="21"/>
                <w:szCs w:val="21"/>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5000" w:type="pct"/>
            <w:gridSpan w:val="10"/>
            <w:vAlign w:val="center"/>
          </w:tcPr>
          <w:p>
            <w:pPr>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其中：不含税价款为：</w:t>
            </w:r>
            <w:r>
              <w:rPr>
                <w:rFonts w:hint="eastAsia" w:ascii="宋体" w:hAnsi="宋体" w:cs="宋体"/>
                <w:sz w:val="21"/>
                <w:szCs w:val="21"/>
                <w:highlight w:val="none"/>
                <w:lang w:eastAsia="zh-CN"/>
              </w:rPr>
              <w:t>￥</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lang w:val="en-US" w:eastAsia="zh-CN"/>
              </w:rPr>
              <w:t>元</w:t>
            </w:r>
            <w:r>
              <w:rPr>
                <w:rFonts w:hint="eastAsia" w:ascii="宋体" w:hAnsi="宋体" w:cs="宋体"/>
                <w:sz w:val="21"/>
                <w:szCs w:val="21"/>
                <w:highlight w:val="none"/>
              </w:rPr>
              <w:t>，增值税税金为：</w:t>
            </w:r>
            <w:r>
              <w:rPr>
                <w:rFonts w:hint="eastAsia" w:ascii="宋体" w:hAnsi="宋体" w:cs="宋体"/>
                <w:sz w:val="21"/>
                <w:szCs w:val="21"/>
                <w:highlight w:val="none"/>
                <w:lang w:eastAsia="zh-CN"/>
              </w:rPr>
              <w:t>￥</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blHeader/>
          <w:jc w:val="center"/>
        </w:trPr>
        <w:tc>
          <w:tcPr>
            <w:tcW w:w="5000" w:type="pct"/>
            <w:gridSpan w:val="10"/>
            <w:vAlign w:val="center"/>
          </w:tcPr>
          <w:p>
            <w:pPr>
              <w:spacing w:after="200" w:line="276" w:lineRule="auto"/>
              <w:rPr>
                <w:rFonts w:ascii="宋体" w:hAnsi="宋体" w:cs="宋体"/>
                <w:sz w:val="21"/>
                <w:szCs w:val="21"/>
                <w:highlight w:val="none"/>
              </w:rPr>
            </w:pPr>
            <w:r>
              <w:rPr>
                <w:rFonts w:hint="eastAsia" w:ascii="宋体" w:hAnsi="宋体" w:cs="宋体"/>
                <w:sz w:val="21"/>
                <w:szCs w:val="21"/>
                <w:highlight w:val="none"/>
              </w:rPr>
              <w:t>注：</w:t>
            </w:r>
          </w:p>
          <w:p>
            <w:pPr>
              <w:spacing w:after="200" w:line="276" w:lineRule="auto"/>
              <w:rPr>
                <w:rFonts w:ascii="宋体" w:hAnsi="宋体" w:cs="宋体"/>
                <w:sz w:val="21"/>
                <w:szCs w:val="21"/>
                <w:highlight w:val="none"/>
              </w:rPr>
            </w:pPr>
            <w:r>
              <w:rPr>
                <w:rFonts w:hint="eastAsia" w:ascii="宋体" w:hAnsi="宋体" w:cs="宋体"/>
                <w:sz w:val="21"/>
                <w:szCs w:val="21"/>
                <w:highlight w:val="none"/>
              </w:rPr>
              <w:t>1.合同价款包括但不限于货物费、退换货物费、BIM模型设计费、制造费、备品备件费、专用工具费、采购费、检测费、包装费、运输费、装卸费、保险费、监造费、仓管费、指导安装费、调试人工费、保函手续费、利润和国家规定的任何收费、税金、培训辅导、所投设备质保服务、质保期售后服务、必须的加班费或汇率的变动、相关行政技术主管部门检验及合同实施过程中不可预见费用等为完成本合同内容所需承担的一切费用。</w:t>
            </w:r>
          </w:p>
          <w:p>
            <w:pPr>
              <w:spacing w:after="200" w:line="276" w:lineRule="auto"/>
              <w:rPr>
                <w:rFonts w:ascii="宋体" w:hAnsi="宋体" w:cs="宋体"/>
                <w:sz w:val="21"/>
                <w:szCs w:val="21"/>
                <w:highlight w:val="none"/>
              </w:rPr>
            </w:pPr>
            <w:r>
              <w:rPr>
                <w:rFonts w:hint="eastAsia" w:ascii="宋体" w:hAnsi="宋体" w:cs="宋体"/>
                <w:sz w:val="21"/>
                <w:szCs w:val="21"/>
                <w:highlight w:val="none"/>
              </w:rPr>
              <w:t>2.货物名称内容必须与投标文件中货物名称内容一致。</w:t>
            </w:r>
          </w:p>
        </w:tc>
      </w:tr>
    </w:tbl>
    <w:p>
      <w:pPr>
        <w:spacing w:line="360" w:lineRule="auto"/>
        <w:ind w:firstLine="482" w:firstLineChars="200"/>
        <w:outlineLvl w:val="0"/>
        <w:rPr>
          <w:rFonts w:ascii="宋体" w:hAnsi="宋体" w:cs="宋体"/>
          <w:b/>
          <w:sz w:val="24"/>
          <w:szCs w:val="24"/>
          <w:highlight w:val="none"/>
        </w:rPr>
      </w:pPr>
      <w:r>
        <w:rPr>
          <w:rFonts w:hint="eastAsia" w:ascii="宋体" w:hAnsi="宋体" w:cs="宋体"/>
          <w:b/>
          <w:sz w:val="24"/>
          <w:szCs w:val="24"/>
          <w:highlight w:val="none"/>
        </w:rPr>
        <w:t>第四条 付款方式</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4.1本合同所有货款的支付均以甲方收到建设单位支付的相应款项，且乙方按照甲方的要求开具发票、提供请款资料为前提，在满足支付前提后甲方按以下条件支付：</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4.1.1预付款：合同生效且乙方提供</w:t>
      </w:r>
      <w:r>
        <w:rPr>
          <w:rFonts w:hint="eastAsia" w:ascii="宋体" w:hAnsi="宋体" w:cs="宋体"/>
          <w:szCs w:val="21"/>
          <w:highlight w:val="none"/>
          <w:u w:val="single"/>
        </w:rPr>
        <w:t>10%</w:t>
      </w:r>
      <w:r>
        <w:rPr>
          <w:rFonts w:hint="eastAsia" w:ascii="宋体" w:hAnsi="宋体" w:cs="宋体"/>
          <w:szCs w:val="21"/>
          <w:highlight w:val="none"/>
        </w:rPr>
        <w:t>的履约保函后，甲方支付合同价款的</w:t>
      </w:r>
      <w:r>
        <w:rPr>
          <w:rFonts w:hint="eastAsia" w:ascii="宋体" w:hAnsi="宋体" w:cs="宋体"/>
          <w:szCs w:val="21"/>
          <w:highlight w:val="none"/>
          <w:u w:val="single"/>
        </w:rPr>
        <w:t>20%</w:t>
      </w:r>
      <w:r>
        <w:rPr>
          <w:rFonts w:hint="eastAsia" w:ascii="宋体" w:hAnsi="宋体" w:cs="宋体"/>
          <w:szCs w:val="21"/>
          <w:highlight w:val="none"/>
        </w:rPr>
        <w:t>作为预付款。</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4.1.2到货款：签订合同后，乙方将货物运至甲方指定地点，经甲方初步验收合格后，支付已审核签认的设备材料货款的</w:t>
      </w:r>
      <w:r>
        <w:rPr>
          <w:rFonts w:hint="eastAsia" w:ascii="宋体" w:hAnsi="宋体" w:cs="宋体"/>
          <w:szCs w:val="21"/>
          <w:highlight w:val="none"/>
          <w:u w:val="single"/>
        </w:rPr>
        <w:t>40%</w:t>
      </w:r>
      <w:r>
        <w:rPr>
          <w:rFonts w:hint="eastAsia" w:ascii="宋体" w:hAnsi="宋体" w:cs="宋体"/>
          <w:szCs w:val="21"/>
          <w:highlight w:val="none"/>
        </w:rPr>
        <w:t>。</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4.1.3进度款：乙方将货物运至甲方指定地点，完成</w:t>
      </w:r>
      <w:r>
        <w:rPr>
          <w:rFonts w:hint="eastAsia" w:ascii="宋体" w:hAnsi="宋体" w:cs="宋体"/>
          <w:szCs w:val="21"/>
          <w:highlight w:val="none"/>
          <w:lang w:val="zh-TW" w:eastAsia="zh-TW"/>
        </w:rPr>
        <w:t>指导</w:t>
      </w:r>
      <w:r>
        <w:rPr>
          <w:rFonts w:hint="eastAsia" w:ascii="宋体" w:hAnsi="宋体" w:cs="宋体"/>
          <w:szCs w:val="21"/>
          <w:highlight w:val="none"/>
        </w:rPr>
        <w:t>安装调试且经甲方验收合格后，支付已审核签认的设备材料货款的</w:t>
      </w:r>
      <w:r>
        <w:rPr>
          <w:rFonts w:hint="eastAsia" w:ascii="宋体" w:hAnsi="宋体" w:cs="宋体"/>
          <w:szCs w:val="21"/>
          <w:highlight w:val="none"/>
          <w:u w:val="single"/>
        </w:rPr>
        <w:t>20%</w:t>
      </w:r>
      <w:r>
        <w:rPr>
          <w:rFonts w:hint="eastAsia" w:ascii="宋体" w:hAnsi="宋体" w:cs="宋体"/>
          <w:szCs w:val="21"/>
          <w:highlight w:val="none"/>
        </w:rPr>
        <w:t>。</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4.1.4验收款：设备安装完成且项目通水验收合格后，甲方支付至合同结算总价的</w:t>
      </w:r>
      <w:r>
        <w:rPr>
          <w:rFonts w:hint="eastAsia" w:ascii="宋体" w:hAnsi="宋体" w:cs="宋体"/>
          <w:szCs w:val="21"/>
          <w:highlight w:val="none"/>
          <w:u w:val="single"/>
        </w:rPr>
        <w:t>97%</w:t>
      </w:r>
      <w:r>
        <w:rPr>
          <w:rFonts w:hint="eastAsia" w:ascii="宋体" w:hAnsi="宋体" w:cs="宋体"/>
          <w:szCs w:val="21"/>
          <w:highlight w:val="none"/>
        </w:rPr>
        <w:t>。</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4.1.5质保金：预留结算总价的</w:t>
      </w:r>
      <w:r>
        <w:rPr>
          <w:rFonts w:hint="eastAsia" w:ascii="宋体" w:hAnsi="宋体" w:cs="宋体"/>
          <w:szCs w:val="21"/>
          <w:highlight w:val="none"/>
          <w:u w:val="single"/>
        </w:rPr>
        <w:t>3%</w:t>
      </w:r>
      <w:r>
        <w:rPr>
          <w:rFonts w:hint="eastAsia" w:ascii="宋体" w:hAnsi="宋体" w:cs="宋体"/>
          <w:szCs w:val="21"/>
          <w:highlight w:val="none"/>
        </w:rPr>
        <w:t>作为质保金。质保期为2年，从验收合格之日起计算。质保期满后，甲方付清全部余款。</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4.2每次付款前，乙方应向甲方开具相应金额的13%增值税专用发票。合同价款中，不含税价不因税率变化而变化。若遇国家税收政策变化导致税率调整，甲方有权根据不含税价及新适用增值税税率在进度款支付阶段及结算阶段进行增值税税额调整，乙方应无异议，实际支付的进度款=当期应支付进度款/（1+原增值税税率）×（1+新适用增值税税率），其中原增值税税率为合同签订时国家法定增值税税率，结算金额依据此公式进行调整。否则，甲方有权不予支付，且不承担违约责任。若甲方存在超付现象，乙方需在甲方规定的时间内退回多付的金额。</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4.3结算方式：</w:t>
      </w:r>
      <w:r>
        <w:rPr>
          <w:rFonts w:hint="eastAsia" w:ascii="宋体" w:hAnsi="宋体" w:cs="宋体"/>
          <w:szCs w:val="21"/>
          <w:highlight w:val="none"/>
          <w:lang w:val="en-US" w:eastAsia="zh-CN"/>
        </w:rPr>
        <w:t>本合同为固定单价合同。</w:t>
      </w:r>
      <w:r>
        <w:rPr>
          <w:rFonts w:hint="eastAsia" w:ascii="宋体" w:hAnsi="宋体" w:cs="宋体"/>
          <w:szCs w:val="21"/>
          <w:highlight w:val="none"/>
        </w:rPr>
        <w:t>结算时，以按乙方实际供应的且经甲方审核签认的合格供货量乘以合同单价进行结算。</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4.4如乙方根据本合同规定需向甲方支付违约金或其他赔偿时，甲方在通知乙方后，有权从上述付款中扣除该款项。</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4.5任何一方下列信息发生变更，应提前十日以书面方式通知另一方。如一方未按本合同规定通知而使另一方遭受损失的，应予以赔偿。双方基本信息如下：</w:t>
      </w:r>
    </w:p>
    <w:p>
      <w:pPr>
        <w:spacing w:line="360" w:lineRule="auto"/>
        <w:ind w:firstLine="420" w:firstLineChars="200"/>
        <w:jc w:val="left"/>
        <w:rPr>
          <w:rFonts w:hint="eastAsia" w:ascii="宋体" w:hAnsi="宋体" w:cs="宋体"/>
          <w:szCs w:val="21"/>
          <w:highlight w:val="none"/>
        </w:rPr>
      </w:pPr>
    </w:p>
    <w:tbl>
      <w:tblPr>
        <w:tblStyle w:val="332"/>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7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甲方</w:t>
            </w:r>
          </w:p>
        </w:tc>
        <w:tc>
          <w:tcPr>
            <w:tcW w:w="7998" w:type="dxa"/>
          </w:tcPr>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名称：</w:t>
            </w:r>
            <w:r>
              <w:rPr>
                <w:rFonts w:hint="eastAsia" w:ascii="宋体" w:hAnsi="宋体" w:cs="宋体"/>
                <w:szCs w:val="21"/>
                <w:highlight w:val="none"/>
                <w:lang w:val="en-US" w:eastAsia="zh-CN"/>
              </w:rPr>
              <w:t xml:space="preserve"> </w:t>
            </w:r>
          </w:p>
          <w:p>
            <w:pPr>
              <w:spacing w:line="360" w:lineRule="auto"/>
              <w:rPr>
                <w:rFonts w:ascii="宋体" w:hAnsi="宋体" w:cs="宋体"/>
                <w:szCs w:val="21"/>
                <w:highlight w:val="none"/>
              </w:rPr>
            </w:pPr>
            <w:r>
              <w:rPr>
                <w:rFonts w:hint="eastAsia" w:ascii="宋体" w:hAnsi="宋体" w:cs="宋体"/>
                <w:szCs w:val="21"/>
                <w:highlight w:val="none"/>
              </w:rPr>
              <w:t>纳税人身份：</w:t>
            </w:r>
            <w:r>
              <w:rPr>
                <w:rFonts w:hint="eastAsia" w:ascii="宋体" w:hAnsi="宋体" w:cs="宋体"/>
                <w:szCs w:val="21"/>
                <w:highlight w:val="none"/>
                <w:lang w:eastAsia="zh-CN"/>
              </w:rPr>
              <w:t>□</w:t>
            </w:r>
            <w:r>
              <w:rPr>
                <w:rFonts w:hint="eastAsia" w:ascii="宋体" w:hAnsi="宋体" w:cs="宋体"/>
                <w:szCs w:val="21"/>
                <w:highlight w:val="none"/>
              </w:rPr>
              <w:t>一般纳税人    □小规模纳税人（请勾选）</w:t>
            </w:r>
          </w:p>
          <w:p>
            <w:pPr>
              <w:spacing w:line="360" w:lineRule="auto"/>
              <w:rPr>
                <w:rFonts w:hint="eastAsia" w:ascii="宋体" w:hAnsi="宋体" w:cs="宋体"/>
                <w:szCs w:val="21"/>
                <w:highlight w:val="none"/>
                <w:lang w:val="en-US" w:eastAsia="zh-CN"/>
              </w:rPr>
            </w:pPr>
            <w:r>
              <w:rPr>
                <w:rFonts w:hint="eastAsia" w:ascii="宋体" w:hAnsi="宋体" w:cs="宋体"/>
                <w:szCs w:val="21"/>
                <w:highlight w:val="none"/>
              </w:rPr>
              <w:t>纳税人识别号：</w:t>
            </w:r>
            <w:r>
              <w:rPr>
                <w:rFonts w:hint="eastAsia" w:ascii="宋体" w:hAnsi="宋体" w:cs="宋体"/>
                <w:szCs w:val="21"/>
                <w:highlight w:val="none"/>
                <w:lang w:val="en-US" w:eastAsia="zh-CN"/>
              </w:rPr>
              <w:t xml:space="preserve"> </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地址、电话：</w:t>
            </w:r>
            <w:r>
              <w:rPr>
                <w:rFonts w:hint="eastAsia" w:ascii="宋体" w:hAnsi="宋体" w:cs="宋体"/>
                <w:szCs w:val="21"/>
                <w:highlight w:val="none"/>
                <w:lang w:val="en-US" w:eastAsia="zh-CN"/>
              </w:rPr>
              <w:t xml:space="preserve"> </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开户银行、账号：</w:t>
            </w:r>
            <w:r>
              <w:rPr>
                <w:rFonts w:hint="eastAsia" w:ascii="宋体" w:hAnsi="宋体" w:cs="宋体"/>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pPr>
              <w:spacing w:line="360" w:lineRule="auto"/>
              <w:jc w:val="center"/>
              <w:rPr>
                <w:rFonts w:ascii="宋体" w:hAnsi="宋体" w:cs="宋体"/>
                <w:szCs w:val="21"/>
                <w:highlight w:val="none"/>
              </w:rPr>
            </w:pPr>
            <w:r>
              <w:rPr>
                <w:rFonts w:hint="eastAsia" w:ascii="宋体" w:hAnsi="宋体" w:cs="宋体"/>
                <w:szCs w:val="21"/>
                <w:highlight w:val="none"/>
              </w:rPr>
              <w:t>乙方</w:t>
            </w:r>
          </w:p>
        </w:tc>
        <w:tc>
          <w:tcPr>
            <w:tcW w:w="7998" w:type="dxa"/>
          </w:tcPr>
          <w:p>
            <w:pPr>
              <w:spacing w:line="360" w:lineRule="auto"/>
              <w:rPr>
                <w:rFonts w:hint="eastAsia" w:ascii="宋体" w:hAnsi="宋体" w:cs="宋体"/>
                <w:szCs w:val="21"/>
                <w:highlight w:val="none"/>
                <w:lang w:val="en-US" w:eastAsia="zh-CN"/>
              </w:rPr>
            </w:pPr>
            <w:r>
              <w:rPr>
                <w:rFonts w:hint="eastAsia" w:ascii="宋体" w:hAnsi="宋体" w:cs="宋体"/>
                <w:szCs w:val="21"/>
                <w:highlight w:val="none"/>
              </w:rPr>
              <w:t>名称：</w:t>
            </w:r>
            <w:r>
              <w:rPr>
                <w:rFonts w:hint="eastAsia" w:ascii="宋体" w:hAnsi="宋体" w:cs="宋体"/>
                <w:szCs w:val="21"/>
                <w:highlight w:val="none"/>
                <w:lang w:val="en-US" w:eastAsia="zh-CN"/>
              </w:rPr>
              <w:t xml:space="preserve"> </w:t>
            </w:r>
          </w:p>
          <w:p>
            <w:pPr>
              <w:spacing w:line="360" w:lineRule="auto"/>
              <w:rPr>
                <w:rFonts w:ascii="宋体" w:hAnsi="宋体" w:cs="宋体"/>
                <w:szCs w:val="21"/>
                <w:highlight w:val="none"/>
              </w:rPr>
            </w:pPr>
            <w:r>
              <w:rPr>
                <w:rFonts w:hint="eastAsia" w:ascii="宋体" w:hAnsi="宋体" w:cs="宋体"/>
                <w:szCs w:val="21"/>
                <w:highlight w:val="none"/>
              </w:rPr>
              <w:t>纳税人身份：</w:t>
            </w:r>
            <w:r>
              <w:rPr>
                <w:rFonts w:hint="eastAsia" w:ascii="宋体" w:hAnsi="宋体" w:cs="宋体"/>
                <w:szCs w:val="21"/>
                <w:highlight w:val="none"/>
                <w:lang w:eastAsia="zh-CN"/>
              </w:rPr>
              <w:t>□</w:t>
            </w:r>
            <w:r>
              <w:rPr>
                <w:rFonts w:hint="eastAsia" w:ascii="宋体" w:hAnsi="宋体" w:cs="宋体"/>
                <w:szCs w:val="21"/>
                <w:highlight w:val="none"/>
              </w:rPr>
              <w:t>一般纳税人    □小规模纳税人（请勾选）</w:t>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纳税人识别号：</w:t>
            </w:r>
            <w:r>
              <w:rPr>
                <w:rFonts w:hint="eastAsia" w:ascii="宋体" w:hAnsi="宋体" w:cs="宋体"/>
                <w:szCs w:val="21"/>
                <w:highlight w:val="none"/>
                <w:lang w:val="en-US" w:eastAsia="zh-CN"/>
              </w:rPr>
              <w:t xml:space="preserve"> </w:t>
            </w:r>
          </w:p>
          <w:p>
            <w:pPr>
              <w:spacing w:line="360" w:lineRule="auto"/>
              <w:ind w:left="210" w:hanging="210" w:hangingChars="100"/>
              <w:rPr>
                <w:rFonts w:ascii="宋体" w:hAnsi="宋体" w:cs="宋体"/>
                <w:szCs w:val="21"/>
                <w:highlight w:val="none"/>
              </w:rPr>
            </w:pPr>
            <w:r>
              <w:rPr>
                <w:rFonts w:hint="eastAsia" w:ascii="宋体" w:hAnsi="宋体" w:cs="宋体"/>
                <w:szCs w:val="21"/>
                <w:highlight w:val="none"/>
              </w:rPr>
              <w:t>地址、电话：</w:t>
            </w:r>
            <w:r>
              <w:rPr>
                <w:rFonts w:hint="eastAsia" w:ascii="宋体" w:hAnsi="宋体" w:cs="宋体"/>
                <w:szCs w:val="21"/>
                <w:highlight w:val="none"/>
                <w:lang w:val="en-US" w:eastAsia="zh-CN"/>
              </w:rPr>
              <w:t xml:space="preserve"> </w:t>
            </w:r>
            <w:r>
              <w:rPr>
                <w:rFonts w:hint="eastAsia" w:ascii="宋体" w:hAnsi="宋体" w:cs="宋体"/>
                <w:szCs w:val="21"/>
                <w:highlight w:val="none"/>
              </w:rPr>
              <w:tab/>
            </w: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开户银行、账号：</w:t>
            </w:r>
            <w:r>
              <w:rPr>
                <w:rFonts w:hint="eastAsia" w:ascii="宋体" w:hAnsi="宋体" w:cs="宋体"/>
                <w:szCs w:val="21"/>
                <w:highlight w:val="none"/>
                <w:lang w:val="en-US" w:eastAsia="zh-CN"/>
              </w:rPr>
              <w:t xml:space="preserve"> </w:t>
            </w:r>
          </w:p>
        </w:tc>
      </w:tr>
    </w:tbl>
    <w:p>
      <w:pPr>
        <w:spacing w:line="360" w:lineRule="auto"/>
        <w:ind w:firstLine="482" w:firstLineChars="200"/>
        <w:jc w:val="left"/>
        <w:outlineLvl w:val="0"/>
        <w:rPr>
          <w:rFonts w:ascii="宋体" w:hAnsi="宋体" w:cs="宋体"/>
          <w:b/>
          <w:sz w:val="24"/>
          <w:szCs w:val="24"/>
          <w:highlight w:val="none"/>
        </w:rPr>
      </w:pPr>
      <w:r>
        <w:rPr>
          <w:rFonts w:hint="eastAsia" w:ascii="宋体" w:hAnsi="宋体" w:cs="宋体"/>
          <w:b/>
          <w:sz w:val="24"/>
          <w:szCs w:val="24"/>
          <w:highlight w:val="none"/>
        </w:rPr>
        <w:t>第五条 包装</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5.1 乙方应提供货物运至合同规定的最终目的地所需要的包装，以防止货物在运输过程中损坏或变质。包装应采取防震、抗压及防止其他损坏的必要保护措施，从而保护货物能够经受多次搬运，装卸及长途运输。</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5.2 乙方应承担由于其包装或防护措施不当而引起货物锈蚀，损坏和丢失的任何损失的责任或费用。</w:t>
      </w:r>
    </w:p>
    <w:p>
      <w:pPr>
        <w:spacing w:line="360" w:lineRule="auto"/>
        <w:ind w:firstLine="482" w:firstLineChars="200"/>
        <w:outlineLvl w:val="0"/>
        <w:rPr>
          <w:rFonts w:ascii="宋体" w:hAnsi="宋体" w:cs="宋体"/>
          <w:b/>
          <w:sz w:val="24"/>
          <w:szCs w:val="24"/>
          <w:highlight w:val="none"/>
        </w:rPr>
      </w:pPr>
      <w:r>
        <w:rPr>
          <w:rFonts w:hint="eastAsia" w:ascii="宋体" w:hAnsi="宋体" w:cs="宋体"/>
          <w:b/>
          <w:sz w:val="24"/>
          <w:szCs w:val="24"/>
          <w:highlight w:val="none"/>
        </w:rPr>
        <w:t>第六条 装运</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6.1乙方应在货物装运后24小时内以传真书面形式将合同号、货物名称、数量、箱数、毛重、体积和启运日期通知甲方。</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6.2乙方负责安排运输并承担运输费、保险费等所有费用。</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6.3乙方交由承运人运输的在途货物，毁损、丢失的风险由乙方承担。</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6.4乙方必须将送货地址、行车路线等详细告知承运人，如果交接现场无乙方人员，甲方有权不予配合。</w:t>
      </w:r>
    </w:p>
    <w:p>
      <w:pPr>
        <w:spacing w:line="360" w:lineRule="auto"/>
        <w:ind w:firstLine="482" w:firstLineChars="200"/>
        <w:outlineLvl w:val="0"/>
        <w:rPr>
          <w:rFonts w:ascii="宋体" w:hAnsi="宋体" w:cs="宋体"/>
          <w:b/>
          <w:sz w:val="24"/>
          <w:szCs w:val="24"/>
          <w:highlight w:val="none"/>
        </w:rPr>
      </w:pPr>
      <w:r>
        <w:rPr>
          <w:rFonts w:hint="eastAsia" w:ascii="宋体" w:hAnsi="宋体" w:cs="宋体"/>
          <w:b/>
          <w:sz w:val="24"/>
          <w:szCs w:val="24"/>
          <w:highlight w:val="none"/>
        </w:rPr>
        <w:t>第七条 设备的交付</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7.1交货时间：货物运抵现场时间自中标通知书发放之日起</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60</w:t>
      </w:r>
      <w:r>
        <w:rPr>
          <w:rFonts w:hint="eastAsia" w:ascii="宋体" w:hAnsi="宋体" w:cs="宋体"/>
          <w:szCs w:val="21"/>
          <w:highlight w:val="none"/>
          <w:u w:val="single"/>
        </w:rPr>
        <w:t xml:space="preserve">  </w:t>
      </w:r>
      <w:r>
        <w:rPr>
          <w:rFonts w:hint="eastAsia" w:ascii="宋体" w:hAnsi="宋体" w:cs="宋体"/>
          <w:szCs w:val="21"/>
          <w:highlight w:val="none"/>
        </w:rPr>
        <w:t>个日历日内</w:t>
      </w:r>
      <w:r>
        <w:rPr>
          <w:rFonts w:hint="eastAsia" w:ascii="宋体" w:hAnsi="宋体" w:cs="宋体"/>
          <w:bCs/>
          <w:szCs w:val="21"/>
          <w:highlight w:val="none"/>
        </w:rPr>
        <w:t>（乙方需在供货期内完成货物及其他相关配套设施的供应、技术支持等工作，并按甲方要求分批到货，具体供货时间以甲方通知为准）</w:t>
      </w:r>
      <w:r>
        <w:rPr>
          <w:rFonts w:hint="eastAsia" w:ascii="宋体" w:hAnsi="宋体" w:cs="宋体"/>
          <w:szCs w:val="21"/>
          <w:highlight w:val="none"/>
        </w:rPr>
        <w:t>。</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7.2乙方负责运输和保险，将货物运抵交货地点。有关运输、保险、装卸和指导安装等一切的费用由乙方承担。</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7.3合同设备交货时，乙方应提供设备的全套资料，包括但不限于下述文件（同时提供电子版）：</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7.3.1安装使用说明书（包括结构图及易损件零件图）及附属设备安装使用说明书；</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7.3.2设备操作、保养和维护手册；</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7.3.3产品合格证书；</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7.3.4制造商及合同中规定的各种试验报告、材料检验报告；</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7.3.5现场最终试验程序；</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7.3.6进口设备还须提交报关单、商检报告、船运单据、原产地证明以及图文资料的中文译本；</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7.3.7各项设备的BIM深化设计模型图。</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7.4交付检验：甲方接收时对设备的外观检查或开箱清点，检验是否符合合同约定的数量、规格、型号后，交付检验结果应经双方代表签署为该批设备的收货证明。甲方对乙方交付的设备，均应妥善接收并保管。</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甲方代表：</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，联系电话：</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w:t>
      </w:r>
    </w:p>
    <w:p>
      <w:pPr>
        <w:spacing w:line="360" w:lineRule="auto"/>
        <w:ind w:firstLine="420" w:firstLineChars="200"/>
        <w:jc w:val="left"/>
        <w:rPr>
          <w:highlight w:val="none"/>
        </w:rPr>
      </w:pPr>
      <w:r>
        <w:rPr>
          <w:rFonts w:hint="eastAsia" w:ascii="宋体" w:hAnsi="宋体" w:cs="宋体"/>
          <w:szCs w:val="21"/>
          <w:highlight w:val="none"/>
          <w:lang w:val="en-US" w:eastAsia="zh-CN"/>
        </w:rPr>
        <w:t>乙</w:t>
      </w:r>
      <w:r>
        <w:rPr>
          <w:rFonts w:hint="eastAsia" w:ascii="宋体" w:hAnsi="宋体" w:cs="宋体"/>
          <w:szCs w:val="21"/>
          <w:highlight w:val="none"/>
        </w:rPr>
        <w:t>方代表：</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，联系电话：</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7.5交付时，如发现合同设备有任何损坏、瑕疵、短少和不符合合同规定的质量标准和规范时，乙方应无条件免费更换或补发。</w:t>
      </w:r>
    </w:p>
    <w:p>
      <w:pPr>
        <w:spacing w:line="360" w:lineRule="auto"/>
        <w:ind w:firstLine="482" w:firstLineChars="200"/>
        <w:outlineLvl w:val="0"/>
        <w:rPr>
          <w:rFonts w:ascii="宋体" w:hAnsi="宋体" w:cs="宋体"/>
          <w:b/>
          <w:sz w:val="24"/>
          <w:szCs w:val="24"/>
          <w:highlight w:val="none"/>
        </w:rPr>
      </w:pPr>
      <w:r>
        <w:rPr>
          <w:rFonts w:hint="eastAsia" w:ascii="宋体" w:hAnsi="宋体" w:cs="宋体"/>
          <w:b/>
          <w:sz w:val="24"/>
          <w:szCs w:val="24"/>
          <w:highlight w:val="none"/>
        </w:rPr>
        <w:t>第八条 检验</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8.1  工厂检验</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8.1.1</w:t>
      </w:r>
      <w:r>
        <w:rPr>
          <w:rFonts w:hint="eastAsia" w:ascii="宋体" w:hAnsi="宋体"/>
          <w:szCs w:val="21"/>
          <w:highlight w:val="none"/>
        </w:rPr>
        <w:t>设备出厂前检验：甲方有权到乙方设备工厂进行考察监造，检查制造工艺、原材料质量和产品质量以及产品出厂试验(但不作为最终验收),检查合格产品才允许出厂</w:t>
      </w:r>
      <w:r>
        <w:rPr>
          <w:rFonts w:hint="eastAsia" w:ascii="宋体" w:hAnsi="宋体" w:cs="宋体"/>
          <w:szCs w:val="21"/>
          <w:highlight w:val="none"/>
        </w:rPr>
        <w:t>。</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8.1.2在交货前，乙方应对所有合同设备的质量、规格、性能、数量等按照技术规范要求进行严格的检验，并出具检验结果、数据和正式的出厂合格证书和检验记录。乙方应将质量合格证和检验记录提交给甲方（放在乙方向甲方提供的技术档案资料内），出厂合格证书不作为货物的最终检验依据。</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8.2  商品检验</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8.2.1 属法定检验商品，乙方负责商检的全部事宜并承担全部费用。</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8.2.2 对于非法定检测商品，到货后由甲方、乙方共同检验。若发现问题，甲方将指定商检机构进行检验鉴定，相关费用由乙方承担。</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8.2.3 乙方必须安排专人负责合同设备的清点，试验等现场交接事宜。</w:t>
      </w:r>
    </w:p>
    <w:p>
      <w:pPr>
        <w:widowControl/>
        <w:spacing w:line="360" w:lineRule="auto"/>
        <w:ind w:firstLine="420" w:firstLineChars="200"/>
        <w:jc w:val="left"/>
        <w:rPr>
          <w:rFonts w:ascii="宋体" w:hAnsi="宋体" w:cs="宋体"/>
          <w:b/>
          <w:sz w:val="24"/>
          <w:szCs w:val="24"/>
          <w:highlight w:val="none"/>
        </w:rPr>
      </w:pPr>
      <w:r>
        <w:rPr>
          <w:rFonts w:hint="eastAsia" w:ascii="宋体" w:hAnsi="宋体" w:cs="宋体"/>
          <w:kern w:val="24"/>
          <w:szCs w:val="21"/>
          <w:highlight w:val="none"/>
        </w:rPr>
        <w:t>8.2.4甲方不定期的组织将乙方交付的货物送至甲方指定的检测机构进行检测，对于检测不合格的货物，乙方须及时进行更换，如更换后的货物送检仍不合格，乙方按该不合格批次货物价款的10%向甲方支付违约金。</w:t>
      </w:r>
    </w:p>
    <w:p>
      <w:pPr>
        <w:spacing w:line="360" w:lineRule="auto"/>
        <w:ind w:firstLine="482" w:firstLineChars="200"/>
        <w:outlineLvl w:val="0"/>
        <w:rPr>
          <w:rFonts w:ascii="宋体" w:hAnsi="宋体" w:cs="宋体"/>
          <w:b/>
          <w:sz w:val="24"/>
          <w:szCs w:val="24"/>
          <w:highlight w:val="none"/>
        </w:rPr>
      </w:pPr>
      <w:r>
        <w:rPr>
          <w:rFonts w:hint="eastAsia" w:ascii="宋体" w:hAnsi="宋体" w:cs="宋体"/>
          <w:b/>
          <w:sz w:val="24"/>
          <w:szCs w:val="24"/>
          <w:highlight w:val="none"/>
        </w:rPr>
        <w:t>第九条 指导安装安装、调试与验收</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9.1 乙方负责合同货物的指导安装。</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9.2所有合同设备均应在安装后按照技术规范要求进行调试，以证明其适用性和保证值。</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9.3如果由于乙方的原因导致合同设备的任何部分未能无故障的通过调试，甲方有权要求乙方对该部分进行维修或更换，由此产生的一切费用由乙方承担。</w:t>
      </w:r>
    </w:p>
    <w:p>
      <w:pPr>
        <w:spacing w:line="360" w:lineRule="auto"/>
        <w:ind w:firstLine="420" w:firstLineChars="200"/>
        <w:jc w:val="left"/>
        <w:rPr>
          <w:rFonts w:ascii="宋体" w:hAnsi="宋体" w:cs="宋体"/>
          <w:kern w:val="24"/>
          <w:szCs w:val="21"/>
          <w:highlight w:val="none"/>
        </w:rPr>
      </w:pPr>
      <w:r>
        <w:rPr>
          <w:rFonts w:hint="eastAsia" w:ascii="宋体" w:hAnsi="宋体" w:cs="宋体"/>
          <w:kern w:val="24"/>
          <w:szCs w:val="21"/>
          <w:highlight w:val="none"/>
        </w:rPr>
        <w:t>9.4</w:t>
      </w:r>
      <w:r>
        <w:rPr>
          <w:rFonts w:hint="eastAsia" w:ascii="宋体" w:hAnsi="宋体"/>
          <w:szCs w:val="21"/>
          <w:highlight w:val="none"/>
        </w:rPr>
        <w:t>合同设备安装调试完毕，检验合格且通电运行正常后，视为验收合格，甲方、乙方共同出具验收报告。但该报告不能免除乙方对由于设计、工艺或材料的缺陷而产生的故障或质量问题所应承担的责任</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9.5乙方保证严格按照有关安全规范进行项目实施，实施过程中采取足够的安全生产措施，确保不发生安全生产事故。乙方应为</w:t>
      </w:r>
      <w:r>
        <w:rPr>
          <w:rFonts w:hint="eastAsia" w:ascii="宋体" w:hAnsi="宋体"/>
          <w:szCs w:val="21"/>
          <w:highlight w:val="none"/>
        </w:rPr>
        <w:t>指导安装</w:t>
      </w:r>
      <w:r>
        <w:rPr>
          <w:rFonts w:hint="eastAsia" w:ascii="宋体" w:hAnsi="宋体" w:cs="宋体"/>
          <w:szCs w:val="21"/>
          <w:highlight w:val="none"/>
        </w:rPr>
        <w:t>、调试及维修人员和第三人购买人身意外保险，如在合同履行过程中发生安全事故导致人身伤亡的，由乙方承担全部责任。</w:t>
      </w:r>
    </w:p>
    <w:p>
      <w:pPr>
        <w:spacing w:line="360" w:lineRule="auto"/>
        <w:ind w:firstLine="482" w:firstLineChars="200"/>
        <w:outlineLvl w:val="0"/>
        <w:rPr>
          <w:rFonts w:ascii="宋体" w:hAnsi="宋体" w:cs="宋体"/>
          <w:b/>
          <w:sz w:val="24"/>
          <w:szCs w:val="24"/>
          <w:highlight w:val="none"/>
        </w:rPr>
      </w:pPr>
      <w:r>
        <w:rPr>
          <w:rFonts w:hint="eastAsia" w:ascii="宋体" w:hAnsi="宋体" w:cs="宋体"/>
          <w:b/>
          <w:sz w:val="24"/>
          <w:szCs w:val="24"/>
          <w:highlight w:val="none"/>
        </w:rPr>
        <w:t>第十条 质量保证</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10.1 乙方保证所提供货物是原厂出产的、全新的、未使用过的、并完全符合甲方要求和合同规定。</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10.2 乙方保证所有技术资料完整、清晰、正确。</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10.3质保期为竣工</w:t>
      </w:r>
      <w:r>
        <w:rPr>
          <w:rFonts w:hint="eastAsia" w:ascii="宋体" w:hAnsi="宋体"/>
          <w:szCs w:val="21"/>
          <w:highlight w:val="none"/>
        </w:rPr>
        <w:t>验收</w:t>
      </w:r>
      <w:r>
        <w:rPr>
          <w:rFonts w:hint="eastAsia" w:ascii="宋体" w:hAnsi="宋体" w:cs="宋体"/>
          <w:szCs w:val="21"/>
          <w:highlight w:val="none"/>
        </w:rPr>
        <w:t>合格之日起</w:t>
      </w:r>
      <w:r>
        <w:rPr>
          <w:rFonts w:hint="eastAsia" w:ascii="宋体" w:hAnsi="宋体" w:cs="宋体"/>
          <w:b/>
          <w:szCs w:val="21"/>
          <w:highlight w:val="none"/>
          <w:u w:val="single"/>
        </w:rPr>
        <w:t>24</w:t>
      </w:r>
      <w:r>
        <w:rPr>
          <w:rFonts w:hint="eastAsia" w:ascii="宋体" w:hAnsi="宋体" w:cs="宋体"/>
          <w:szCs w:val="21"/>
          <w:highlight w:val="none"/>
        </w:rPr>
        <w:t>个月。质保期内乙方免费维护、更换产品，如因乙方的原因导致设备出现严重质量或技术问题而必须完全停止运行，或乙方未能及时维修、替换缺陷设备，该质保期相应延长。如停用时间累积超过60日历天则质保期重新计算。</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10.4 在质保期内发生问题，乙方必须于1小时内响应甲方的故障通知，4小时内到达现场，48小时内处理完毕。若在48小时内仍未能有效解决，乙方须免费提供同档次的设备给予甲方临时使用。并要求派遣有经验的技术人员携带必备的工具和资料无条件到场服务，逾期处理的，甲方有权自行或委托第三方处理，费用由乙方支付。</w:t>
      </w:r>
    </w:p>
    <w:p>
      <w:pPr>
        <w:pStyle w:val="337"/>
        <w:spacing w:line="360" w:lineRule="auto"/>
        <w:ind w:firstLine="420" w:firstLineChars="200"/>
        <w:jc w:val="left"/>
        <w:rPr>
          <w:rFonts w:ascii="宋体" w:hAnsi="宋体"/>
          <w:szCs w:val="21"/>
          <w:highlight w:val="none"/>
        </w:rPr>
      </w:pPr>
      <w:r>
        <w:rPr>
          <w:rFonts w:hint="eastAsia" w:ascii="宋体" w:hAnsi="宋体"/>
          <w:szCs w:val="21"/>
          <w:highlight w:val="none"/>
        </w:rPr>
        <w:t>10.5产品毁损、灭失的风险，在产品安装、调试完毕经甲方验收合格并交付甲方之前由乙方承担。甲方因产品质量不符合约定的质量要求而拒绝接受产品或解除合同的，产品毁损、灭失的风险由乙方承担。</w:t>
      </w:r>
    </w:p>
    <w:p>
      <w:pPr>
        <w:pStyle w:val="337"/>
        <w:spacing w:line="360" w:lineRule="auto"/>
        <w:ind w:firstLine="420" w:firstLineChars="200"/>
        <w:jc w:val="left"/>
        <w:rPr>
          <w:rFonts w:ascii="宋体" w:hAnsi="宋体"/>
          <w:szCs w:val="21"/>
          <w:highlight w:val="none"/>
        </w:rPr>
      </w:pPr>
      <w:r>
        <w:rPr>
          <w:rFonts w:hint="eastAsia" w:ascii="宋体" w:hAnsi="宋体"/>
          <w:szCs w:val="21"/>
          <w:highlight w:val="none"/>
        </w:rPr>
        <w:t>10.6在乙方承诺的或国家规定的质量保证期内（取两者中最长的期限），如经乙方两次维修或更换，货物仍不能达到合同约定的质量标准，甲方有权退货，乙方应退回全部货款并赔偿甲方因此遭受的损失。</w:t>
      </w:r>
    </w:p>
    <w:p>
      <w:pPr>
        <w:pStyle w:val="337"/>
        <w:spacing w:line="360" w:lineRule="auto"/>
        <w:ind w:firstLine="420" w:firstLineChars="200"/>
        <w:jc w:val="left"/>
        <w:rPr>
          <w:rFonts w:ascii="宋体" w:hAnsi="宋体"/>
          <w:szCs w:val="21"/>
          <w:highlight w:val="none"/>
        </w:rPr>
      </w:pPr>
      <w:r>
        <w:rPr>
          <w:rFonts w:hint="eastAsia" w:ascii="宋体" w:hAnsi="宋体"/>
          <w:szCs w:val="21"/>
          <w:highlight w:val="none"/>
        </w:rPr>
        <w:t>10.7在验收时若出现质量问题，甲方有权要求乙方支付瑕疵品总金额2倍的违约金。</w:t>
      </w:r>
    </w:p>
    <w:p>
      <w:pPr>
        <w:pStyle w:val="337"/>
        <w:spacing w:line="360" w:lineRule="auto"/>
        <w:ind w:firstLine="420" w:firstLineChars="200"/>
        <w:jc w:val="left"/>
        <w:rPr>
          <w:rFonts w:ascii="宋体" w:hAnsi="宋体"/>
          <w:szCs w:val="21"/>
          <w:highlight w:val="none"/>
        </w:rPr>
      </w:pPr>
      <w:r>
        <w:rPr>
          <w:rFonts w:hint="eastAsia" w:ascii="宋体" w:hAnsi="宋体"/>
          <w:szCs w:val="21"/>
          <w:highlight w:val="none"/>
        </w:rPr>
        <w:t>10.8如乙方提供的产品因涉嫌知识产权侵权而牵连甲方遭遇投诉、行政处罚、诉讼等纠纷 ，甲方有权要求解除合同 ，并有权要求乙方支付甲方因处理纠纷而产生的律师费、诉讼费、赔偿第三人损失等经济损失。</w:t>
      </w:r>
    </w:p>
    <w:p>
      <w:pPr>
        <w:pStyle w:val="337"/>
        <w:spacing w:line="360" w:lineRule="auto"/>
        <w:ind w:firstLine="420" w:firstLineChars="200"/>
        <w:jc w:val="left"/>
        <w:rPr>
          <w:rFonts w:ascii="宋体" w:hAnsi="宋体"/>
          <w:szCs w:val="21"/>
          <w:highlight w:val="none"/>
        </w:rPr>
      </w:pPr>
      <w:r>
        <w:rPr>
          <w:rFonts w:hint="eastAsia" w:ascii="宋体" w:hAnsi="宋体"/>
          <w:szCs w:val="21"/>
          <w:highlight w:val="none"/>
        </w:rPr>
        <w:t>10.9乙方供给甲方的产品必须为原厂生产，不得将货物委托第三人生产后贴用合同所指定品牌或使用翻新的材料生产产品的行为，一经查实视为违约，甲方有权拒收或退货且甲方有权单方解除合同，乙方按合同总价的30%向甲方支付违约金。</w:t>
      </w:r>
    </w:p>
    <w:p>
      <w:pPr>
        <w:pStyle w:val="337"/>
        <w:spacing w:line="360" w:lineRule="auto"/>
        <w:ind w:firstLine="420" w:firstLineChars="200"/>
        <w:jc w:val="left"/>
        <w:rPr>
          <w:rFonts w:ascii="宋体" w:hAnsi="宋体"/>
          <w:szCs w:val="21"/>
          <w:highlight w:val="none"/>
        </w:rPr>
      </w:pPr>
      <w:r>
        <w:rPr>
          <w:rFonts w:hint="eastAsia" w:ascii="宋体" w:hAnsi="宋体"/>
          <w:szCs w:val="21"/>
          <w:highlight w:val="none"/>
        </w:rPr>
        <w:t>10.10需要乙方现场测量尺寸、规格的，乙方应对测量结果负责，若因乙方测量偏差等原因导致安装、材料、返工、运输等费用增加的，均由乙方自行承担。给甲方造成损失的，应赔偿甲方损失。</w:t>
      </w:r>
    </w:p>
    <w:p>
      <w:pPr>
        <w:pStyle w:val="337"/>
        <w:spacing w:line="360" w:lineRule="auto"/>
        <w:ind w:firstLine="420" w:firstLineChars="200"/>
        <w:jc w:val="left"/>
        <w:rPr>
          <w:rFonts w:ascii="宋体" w:hAnsi="宋体"/>
          <w:szCs w:val="21"/>
          <w:highlight w:val="none"/>
        </w:rPr>
      </w:pPr>
      <w:r>
        <w:rPr>
          <w:rFonts w:hint="eastAsia" w:ascii="宋体" w:hAnsi="宋体"/>
          <w:szCs w:val="21"/>
          <w:highlight w:val="none"/>
        </w:rPr>
        <w:t>10.11本合同签订后，乙方无法定或约定理由提出解除合同，或以自己的行为表明解除合同的，乙方按合同总额的10%向甲方支付违约金。</w:t>
      </w:r>
    </w:p>
    <w:p>
      <w:pPr>
        <w:pStyle w:val="337"/>
        <w:spacing w:line="360" w:lineRule="auto"/>
        <w:ind w:firstLine="420" w:firstLineChars="200"/>
        <w:jc w:val="left"/>
        <w:rPr>
          <w:rFonts w:ascii="宋体" w:hAnsi="宋体"/>
          <w:szCs w:val="21"/>
          <w:highlight w:val="none"/>
        </w:rPr>
      </w:pPr>
      <w:r>
        <w:rPr>
          <w:rFonts w:hint="eastAsia" w:ascii="宋体" w:hAnsi="宋体"/>
          <w:szCs w:val="21"/>
          <w:highlight w:val="none"/>
        </w:rPr>
        <w:t>10.12乙方未履行本合同项下的其他义务或违反其在投标文件中的相关承诺的，应按合同总价款的10%向甲方承担违约责任。</w:t>
      </w:r>
    </w:p>
    <w:p>
      <w:pPr>
        <w:spacing w:line="360" w:lineRule="auto"/>
        <w:ind w:firstLine="420" w:firstLineChars="200"/>
        <w:jc w:val="left"/>
        <w:rPr>
          <w:rFonts w:ascii="宋体" w:hAnsi="宋体" w:cs="宋体"/>
          <w:szCs w:val="21"/>
          <w:highlight w:val="none"/>
        </w:rPr>
      </w:pPr>
      <w:r>
        <w:rPr>
          <w:rFonts w:hint="eastAsia" w:ascii="宋体" w:hAnsi="宋体"/>
          <w:szCs w:val="21"/>
          <w:highlight w:val="none"/>
        </w:rPr>
        <w:t>10.13乙方在承担上述一项或多项违约责任后，仍应继续履行合同规定的义务（甲方解除合同的除外）。甲方未能及时追究乙方的任何一项违约责任并不表明甲方放弃追究乙方该项或其他违约责任</w:t>
      </w:r>
      <w:r>
        <w:rPr>
          <w:rFonts w:hint="eastAsia" w:ascii="宋体" w:hAnsi="宋体" w:cs="宋体"/>
          <w:szCs w:val="21"/>
          <w:highlight w:val="none"/>
        </w:rPr>
        <w:t>。</w:t>
      </w:r>
    </w:p>
    <w:p>
      <w:pPr>
        <w:spacing w:line="360" w:lineRule="auto"/>
        <w:ind w:firstLine="482" w:firstLineChars="200"/>
        <w:outlineLvl w:val="0"/>
        <w:rPr>
          <w:rFonts w:ascii="宋体" w:hAnsi="宋体" w:cs="宋体"/>
          <w:b/>
          <w:sz w:val="24"/>
          <w:szCs w:val="24"/>
          <w:highlight w:val="none"/>
        </w:rPr>
      </w:pPr>
      <w:r>
        <w:rPr>
          <w:rFonts w:hint="eastAsia" w:ascii="宋体" w:hAnsi="宋体" w:cs="宋体"/>
          <w:b/>
          <w:sz w:val="24"/>
          <w:szCs w:val="24"/>
          <w:highlight w:val="none"/>
        </w:rPr>
        <w:t>第十一条 甲方责任</w:t>
      </w:r>
    </w:p>
    <w:p>
      <w:pPr>
        <w:pStyle w:val="337"/>
        <w:spacing w:line="360" w:lineRule="auto"/>
        <w:ind w:firstLine="420" w:firstLineChars="200"/>
        <w:jc w:val="left"/>
        <w:rPr>
          <w:rFonts w:ascii="宋体" w:hAnsi="宋体"/>
          <w:szCs w:val="21"/>
          <w:highlight w:val="none"/>
        </w:rPr>
      </w:pPr>
      <w:r>
        <w:rPr>
          <w:rFonts w:ascii="宋体" w:hAnsi="宋体"/>
          <w:szCs w:val="21"/>
          <w:highlight w:val="none"/>
        </w:rPr>
        <w:t>1</w:t>
      </w:r>
      <w:r>
        <w:rPr>
          <w:rFonts w:hint="eastAsia" w:ascii="宋体" w:hAnsi="宋体"/>
          <w:szCs w:val="21"/>
          <w:highlight w:val="none"/>
        </w:rPr>
        <w:t>1</w:t>
      </w:r>
      <w:r>
        <w:rPr>
          <w:rFonts w:ascii="宋体" w:hAnsi="宋体"/>
          <w:szCs w:val="21"/>
          <w:highlight w:val="none"/>
        </w:rPr>
        <w:t xml:space="preserve">.1 </w:t>
      </w:r>
      <w:r>
        <w:rPr>
          <w:rFonts w:hint="eastAsia" w:ascii="宋体" w:hAnsi="宋体"/>
          <w:szCs w:val="21"/>
          <w:highlight w:val="none"/>
        </w:rPr>
        <w:t>负责协调相关单位提供项目建设所需的设计文件资料，协调相关单位办理本项目开工、验收等所需的相关手续。</w:t>
      </w:r>
    </w:p>
    <w:p>
      <w:pPr>
        <w:pStyle w:val="337"/>
        <w:spacing w:line="360" w:lineRule="auto"/>
        <w:ind w:firstLine="420" w:firstLineChars="200"/>
        <w:jc w:val="left"/>
        <w:rPr>
          <w:rFonts w:ascii="宋体" w:hAnsi="宋体"/>
          <w:szCs w:val="21"/>
          <w:highlight w:val="none"/>
        </w:rPr>
      </w:pPr>
      <w:r>
        <w:rPr>
          <w:rFonts w:ascii="宋体" w:hAnsi="宋体"/>
          <w:szCs w:val="21"/>
          <w:highlight w:val="none"/>
        </w:rPr>
        <w:t>1</w:t>
      </w:r>
      <w:r>
        <w:rPr>
          <w:rFonts w:hint="eastAsia" w:ascii="宋体" w:hAnsi="宋体"/>
          <w:szCs w:val="21"/>
          <w:highlight w:val="none"/>
        </w:rPr>
        <w:t>1</w:t>
      </w:r>
      <w:r>
        <w:rPr>
          <w:rFonts w:ascii="宋体" w:hAnsi="宋体"/>
          <w:szCs w:val="21"/>
          <w:highlight w:val="none"/>
        </w:rPr>
        <w:t xml:space="preserve">.2 </w:t>
      </w:r>
      <w:r>
        <w:rPr>
          <w:rFonts w:hint="eastAsia" w:ascii="宋体" w:hAnsi="宋体"/>
          <w:szCs w:val="21"/>
          <w:highlight w:val="none"/>
        </w:rPr>
        <w:t>负责安装调试期间的水费、电费。</w:t>
      </w:r>
    </w:p>
    <w:p>
      <w:pPr>
        <w:pStyle w:val="337"/>
        <w:spacing w:line="360" w:lineRule="auto"/>
        <w:ind w:firstLine="420" w:firstLineChars="200"/>
        <w:jc w:val="left"/>
        <w:rPr>
          <w:highlight w:val="none"/>
        </w:rPr>
      </w:pPr>
      <w:r>
        <w:rPr>
          <w:rFonts w:ascii="宋体" w:hAnsi="宋体"/>
          <w:szCs w:val="21"/>
          <w:highlight w:val="none"/>
        </w:rPr>
        <w:t>1</w:t>
      </w:r>
      <w:r>
        <w:rPr>
          <w:rFonts w:hint="eastAsia" w:ascii="宋体" w:hAnsi="宋体"/>
          <w:szCs w:val="21"/>
          <w:highlight w:val="none"/>
        </w:rPr>
        <w:t>1.3 按约按时足额支付合同款。</w:t>
      </w:r>
    </w:p>
    <w:p>
      <w:pPr>
        <w:pStyle w:val="337"/>
        <w:spacing w:line="360" w:lineRule="auto"/>
        <w:ind w:firstLine="420" w:firstLineChars="200"/>
        <w:jc w:val="left"/>
        <w:rPr>
          <w:rFonts w:ascii="宋体" w:hAnsi="宋体"/>
          <w:szCs w:val="21"/>
          <w:highlight w:val="none"/>
        </w:rPr>
      </w:pPr>
      <w:r>
        <w:rPr>
          <w:rFonts w:ascii="宋体" w:hAnsi="宋体"/>
          <w:szCs w:val="21"/>
          <w:highlight w:val="none"/>
        </w:rPr>
        <w:t>1</w:t>
      </w:r>
      <w:r>
        <w:rPr>
          <w:rFonts w:hint="eastAsia" w:ascii="宋体" w:hAnsi="宋体"/>
          <w:szCs w:val="21"/>
          <w:highlight w:val="none"/>
        </w:rPr>
        <w:t>1.4</w:t>
      </w:r>
      <w:r>
        <w:rPr>
          <w:rFonts w:ascii="宋体" w:hAnsi="宋体"/>
          <w:szCs w:val="21"/>
          <w:highlight w:val="none"/>
        </w:rPr>
        <w:t xml:space="preserve"> </w:t>
      </w:r>
      <w:r>
        <w:rPr>
          <w:rFonts w:hint="eastAsia" w:ascii="宋体" w:hAnsi="宋体"/>
          <w:szCs w:val="21"/>
          <w:highlight w:val="none"/>
        </w:rPr>
        <w:t>合同签订后，甲方对乙方进行合同履约交底。</w:t>
      </w:r>
    </w:p>
    <w:p>
      <w:pPr>
        <w:spacing w:line="360" w:lineRule="auto"/>
        <w:ind w:firstLine="420" w:firstLineChars="200"/>
        <w:jc w:val="left"/>
        <w:rPr>
          <w:rFonts w:ascii="宋体" w:hAnsi="宋体" w:cs="宋体"/>
          <w:szCs w:val="21"/>
          <w:highlight w:val="none"/>
        </w:rPr>
      </w:pPr>
      <w:r>
        <w:rPr>
          <w:rFonts w:hint="eastAsia" w:ascii="宋体" w:hAnsi="宋体"/>
          <w:szCs w:val="21"/>
          <w:highlight w:val="none"/>
        </w:rPr>
        <w:t>11.5合同约定的其他责任</w:t>
      </w:r>
      <w:r>
        <w:rPr>
          <w:rFonts w:hint="eastAsia" w:ascii="宋体" w:hAnsi="宋体" w:cs="宋体"/>
          <w:szCs w:val="21"/>
          <w:highlight w:val="none"/>
        </w:rPr>
        <w:t>。</w:t>
      </w:r>
    </w:p>
    <w:p>
      <w:pPr>
        <w:spacing w:line="360" w:lineRule="auto"/>
        <w:ind w:firstLine="482" w:firstLineChars="200"/>
        <w:outlineLvl w:val="0"/>
        <w:rPr>
          <w:rFonts w:ascii="宋体" w:hAnsi="宋体" w:cs="宋体"/>
          <w:b/>
          <w:sz w:val="24"/>
          <w:szCs w:val="24"/>
          <w:highlight w:val="none"/>
        </w:rPr>
      </w:pPr>
      <w:r>
        <w:rPr>
          <w:rFonts w:hint="eastAsia" w:ascii="宋体" w:hAnsi="宋体" w:cs="宋体"/>
          <w:b/>
          <w:sz w:val="24"/>
          <w:szCs w:val="24"/>
          <w:highlight w:val="none"/>
        </w:rPr>
        <w:t>第十二条 乙方责任</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12.1 负责按时提供供货范围内的设备设施并指导安装。</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12.2 负责提供设备用户手册。</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12.3 </w:t>
      </w:r>
      <w:r>
        <w:rPr>
          <w:rFonts w:hint="eastAsia" w:ascii="宋体" w:hAnsi="宋体"/>
          <w:szCs w:val="21"/>
          <w:highlight w:val="none"/>
        </w:rPr>
        <w:t>合同或招标文件约定的其他责任</w:t>
      </w:r>
      <w:r>
        <w:rPr>
          <w:rFonts w:hint="eastAsia" w:ascii="宋体" w:hAnsi="宋体" w:cs="宋体"/>
          <w:szCs w:val="21"/>
          <w:highlight w:val="none"/>
        </w:rPr>
        <w:t>。</w:t>
      </w:r>
    </w:p>
    <w:p>
      <w:pPr>
        <w:spacing w:line="360" w:lineRule="auto"/>
        <w:ind w:firstLine="482" w:firstLineChars="200"/>
        <w:outlineLvl w:val="0"/>
        <w:rPr>
          <w:rFonts w:ascii="宋体" w:hAnsi="宋体" w:cs="宋体"/>
          <w:b/>
          <w:sz w:val="24"/>
          <w:szCs w:val="24"/>
          <w:highlight w:val="none"/>
        </w:rPr>
      </w:pPr>
      <w:r>
        <w:rPr>
          <w:rFonts w:hint="eastAsia" w:ascii="宋体" w:hAnsi="宋体" w:cs="宋体"/>
          <w:b/>
          <w:sz w:val="24"/>
          <w:szCs w:val="24"/>
          <w:highlight w:val="none"/>
        </w:rPr>
        <w:t>第十三条 知识产权的保护</w:t>
      </w:r>
    </w:p>
    <w:p>
      <w:pPr>
        <w:pStyle w:val="337"/>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13.1乙方所售设备为集成装置，设备的注册商标，设备及采用的技术依法拥有多项自主的知识产权，包括但不限于商标权、专利权、著作权、商业秘密等。乙方应保证，甲方在中华人民共和国使用该货物或货物的任何一部分，免受第三方提出的侵犯其专利权、商标权、工业设计权、著作权或其它知识产权的起诉或索赔。如果任何第三方对此提出起诉或索赔，乙方应负责与之交涉并承担由此引起的一切法律及经济损失。如乙方怠于解决，甲方可自行处理后向乙方追偿因此遭受的损失。</w:t>
      </w:r>
    </w:p>
    <w:p>
      <w:pPr>
        <w:pStyle w:val="337"/>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13.2 除了乙方为执行合同所雇人员外，在未经甲方书面同意的情况下，乙方不得将合同或任何与合同有关的资料透露给与履行本合同的无关任何人，如有违反，甲方有权单方解除本合同，并要求赔偿由此给甲方造成的全部损失。</w:t>
      </w:r>
    </w:p>
    <w:p>
      <w:pPr>
        <w:spacing w:line="360" w:lineRule="auto"/>
        <w:ind w:firstLine="482" w:firstLineChars="200"/>
        <w:outlineLvl w:val="0"/>
        <w:rPr>
          <w:rFonts w:ascii="宋体" w:hAnsi="宋体" w:cs="宋体"/>
          <w:b/>
          <w:sz w:val="24"/>
          <w:szCs w:val="24"/>
          <w:highlight w:val="none"/>
        </w:rPr>
      </w:pPr>
      <w:r>
        <w:rPr>
          <w:rFonts w:hint="eastAsia" w:ascii="宋体" w:hAnsi="宋体" w:cs="宋体"/>
          <w:b/>
          <w:sz w:val="24"/>
          <w:szCs w:val="24"/>
          <w:highlight w:val="none"/>
        </w:rPr>
        <w:t>第十四条 索赔</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14.1 对于合同设备在装运、检验、指导安装、调试、验收、质保期等任何一阶段，由于乙方原因，导致设备出现任何质保问题，甲方有权提出索赔。乙方应根据甲方要求，承担维修、增补、更换设备所需的一切费用，包括利息、银行费用、运费、保险费、检验费、仓储费、保管费、装卸费等。</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14.2 如果甲方提出索赔通知后7天内乙方未能予以答复，则视为乙方已接受该索赔。</w:t>
      </w:r>
    </w:p>
    <w:p>
      <w:pPr>
        <w:spacing w:line="360" w:lineRule="auto"/>
        <w:ind w:firstLine="482" w:firstLineChars="200"/>
        <w:outlineLvl w:val="0"/>
        <w:rPr>
          <w:rFonts w:ascii="宋体" w:hAnsi="宋体" w:cs="宋体"/>
          <w:b/>
          <w:sz w:val="24"/>
          <w:szCs w:val="24"/>
          <w:highlight w:val="none"/>
        </w:rPr>
      </w:pPr>
      <w:r>
        <w:rPr>
          <w:rFonts w:hint="eastAsia" w:ascii="宋体" w:hAnsi="宋体" w:cs="宋体"/>
          <w:b/>
          <w:sz w:val="24"/>
          <w:szCs w:val="24"/>
          <w:highlight w:val="none"/>
        </w:rPr>
        <w:t>第十五条 违约责任</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15.1 如果乙方未能按合同规定的时间交货，每逾期一周，甲方将扣除合同金额的0.5%作为违约金，违约金的最高限额不超过合同金额的5%。乙方支付违约金后，并不解除其按照合同继续交货的义务，一旦违约金超过最高限额，</w:t>
      </w:r>
      <w:r>
        <w:rPr>
          <w:rFonts w:hint="eastAsia" w:ascii="宋体" w:hAnsi="宋体" w:cs="宋体"/>
          <w:szCs w:val="21"/>
          <w:highlight w:val="none"/>
          <w:lang w:val="en-US" w:eastAsia="zh-CN"/>
        </w:rPr>
        <w:t>甲</w:t>
      </w:r>
      <w:r>
        <w:rPr>
          <w:rFonts w:hint="eastAsia" w:ascii="宋体" w:hAnsi="宋体" w:cs="宋体"/>
          <w:szCs w:val="21"/>
          <w:highlight w:val="none"/>
        </w:rPr>
        <w:t>方有权</w:t>
      </w:r>
      <w:r>
        <w:rPr>
          <w:rFonts w:hint="eastAsia" w:ascii="宋体" w:hAnsi="宋体" w:cs="宋体"/>
          <w:szCs w:val="21"/>
          <w:highlight w:val="none"/>
          <w:lang w:val="en-US" w:eastAsia="zh-CN"/>
        </w:rPr>
        <w:t>解除</w:t>
      </w:r>
      <w:r>
        <w:rPr>
          <w:rFonts w:hint="eastAsia" w:ascii="宋体" w:hAnsi="宋体" w:cs="宋体"/>
          <w:szCs w:val="21"/>
          <w:highlight w:val="none"/>
        </w:rPr>
        <w:t>合同，但不影响乙方上述违约金的支付。</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15.2乙方提供的设备有以下情形的，甲方有权退货，且乙方应向甲方支付合同</w:t>
      </w:r>
      <w:r>
        <w:rPr>
          <w:rFonts w:hint="eastAsia" w:ascii="宋体" w:hAnsi="宋体" w:cs="宋体"/>
          <w:szCs w:val="21"/>
          <w:highlight w:val="none"/>
          <w:lang w:val="en-US" w:eastAsia="zh-CN"/>
        </w:rPr>
        <w:t>总</w:t>
      </w:r>
      <w:r>
        <w:rPr>
          <w:rFonts w:hint="eastAsia" w:ascii="宋体" w:hAnsi="宋体" w:cs="宋体"/>
          <w:szCs w:val="21"/>
          <w:highlight w:val="none"/>
        </w:rPr>
        <w:t>额50%的违约金：</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（1）设备及零部件不是全新；</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（2）设备侵犯第三人知识产权；</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（3）设备无合法来源的（合法来源是指能提供有效票据，证明文件等资料）。</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15.3乙方提供的设备存在质量、性能问题，并经其更换或维修后，自安装到位之日起三个月内仍达不到合同约定的质量要求，无法通过验收的，甲方有权就以下权利择一行使：</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（1）甲方退还全部设备，乙方退还甲方已支付的设备款，并就甲方购买新设备的金额予以赔偿。</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（2）甲方不退还设备，乙方支付全部设备金额的50%的违约金。</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15.4 双方应善意履行合同。任何一方未履行合同义务，包括但不限于协助义务、附随义务，经书面催告后在合理期限内仍未履行的，守约方有权中止合同的履行。</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15.5 本合同项下双方相互提供的技术文件和资料，双方除为履行合同的目的外，均不得提供给与合同设备和相关工程无关的第三方。双方对执行本合同而获知的商业秘密，都有保密的义务。如有违反，违约方应向守约方赔偿因此造成的一切损失。</w:t>
      </w:r>
    </w:p>
    <w:p>
      <w:pPr>
        <w:spacing w:line="360" w:lineRule="auto"/>
        <w:ind w:firstLine="482" w:firstLineChars="200"/>
        <w:outlineLvl w:val="0"/>
        <w:rPr>
          <w:rFonts w:ascii="宋体" w:hAnsi="宋体" w:cs="宋体"/>
          <w:b/>
          <w:sz w:val="24"/>
          <w:szCs w:val="24"/>
          <w:highlight w:val="none"/>
        </w:rPr>
      </w:pPr>
      <w:r>
        <w:rPr>
          <w:rFonts w:hint="eastAsia" w:ascii="宋体" w:hAnsi="宋体" w:cs="宋体"/>
          <w:b/>
          <w:sz w:val="24"/>
          <w:szCs w:val="24"/>
          <w:highlight w:val="none"/>
        </w:rPr>
        <w:t>第十六条 其它说明</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16.1甲、乙双方依照法律规定各自承担本协议订立和履行过程中发生的税费。</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16.2 在本合同履行过程中，如发生国家法律法规所规定的不可抗力，导致本合同不能全部或部分履行时，由双方协商解除本合同。</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16.3履约担保 </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本合同履约担保应采用</w:t>
      </w:r>
      <w:r>
        <w:rPr>
          <w:rFonts w:hint="eastAsia" w:ascii="宋体" w:hAnsi="宋体" w:cs="宋体"/>
          <w:b/>
          <w:szCs w:val="21"/>
          <w:highlight w:val="none"/>
          <w:u w:val="single"/>
        </w:rPr>
        <w:t>银行保函</w:t>
      </w:r>
      <w:r>
        <w:rPr>
          <w:rFonts w:hint="eastAsia" w:ascii="宋体" w:hAnsi="宋体" w:cs="宋体"/>
          <w:szCs w:val="21"/>
          <w:highlight w:val="none"/>
        </w:rPr>
        <w:t>的形式，金额为：</w:t>
      </w:r>
      <w:r>
        <w:rPr>
          <w:rFonts w:hint="eastAsia" w:ascii="宋体" w:hAnsi="宋体" w:cs="宋体"/>
          <w:b/>
          <w:szCs w:val="21"/>
          <w:highlight w:val="none"/>
          <w:u w:val="single"/>
        </w:rPr>
        <w:t>中标价的10%</w:t>
      </w:r>
      <w:r>
        <w:rPr>
          <w:rFonts w:hint="eastAsia" w:ascii="宋体" w:hAnsi="宋体" w:cs="宋体"/>
          <w:szCs w:val="21"/>
          <w:highlight w:val="none"/>
        </w:rPr>
        <w:t>。</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担保方式和其他担保事项约定：（1）本工程采用履约保函的担保方式，履约担保采用不可撤销保函形式，保函应采用甲方事先同意的格式，由银行开具，并保证其有效。保函的正本由甲方保存，履约担保手续费由乙方自行承担，甲方不另行支付费用。乙方应在签订采购合同时出具保函原件。（2）履约担保的有效期为</w:t>
      </w:r>
      <w:r>
        <w:rPr>
          <w:rFonts w:hint="eastAsia" w:ascii="宋体" w:hAnsi="宋体" w:cs="宋体"/>
          <w:szCs w:val="21"/>
          <w:highlight w:val="none"/>
          <w:lang w:val="en-US" w:eastAsia="zh-CN"/>
        </w:rPr>
        <w:t>合同生效之日起至</w:t>
      </w:r>
      <w:r>
        <w:rPr>
          <w:rFonts w:hint="eastAsia" w:ascii="宋体" w:hAnsi="宋体" w:cs="宋体"/>
          <w:szCs w:val="21"/>
          <w:highlight w:val="none"/>
        </w:rPr>
        <w:t>竣工验收合格之日后3个月。</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16.4因本合同引起的或与本合同有关的一切争议，甲、乙双方友好协商解决；协商不成，双方约定向甲方住所地的人民法院提起诉讼。发生争议期间，除非法院等有权机构要求停止合同履行，双方都应继续履行合同。</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16.5 双方同意，以各自营业执照注册地址用于与本合同相关事宜的所有通知（如催款函、对账单、法院送达诉讼文书）的送达地址。任何一方合同当事人指定的送达地址发生变动的，应在变更后3天内以书面形式通知对方。因上述地址有误或未及时告知变更后的地址，导致相关文书及诉讼文书未能实际被接收的、邮寄送达的，相关文书及诉讼文书退回之日即视为送达之日。</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16.6在未得到甲方书面同意的情况下，乙方不得部分或全部转让其在本合同的义务，不得进行转包或对合同的任何一部分分包。</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16.7本合同一式</w:t>
      </w:r>
      <w:r>
        <w:rPr>
          <w:rFonts w:hint="eastAsia" w:ascii="宋体" w:hAnsi="宋体" w:cs="宋体"/>
          <w:szCs w:val="21"/>
          <w:highlight w:val="none"/>
          <w:lang w:val="en-US" w:eastAsia="zh-CN"/>
        </w:rPr>
        <w:t>肆</w:t>
      </w:r>
      <w:r>
        <w:rPr>
          <w:rFonts w:hint="eastAsia" w:ascii="宋体" w:hAnsi="宋体" w:cs="宋体"/>
          <w:szCs w:val="21"/>
          <w:highlight w:val="none"/>
        </w:rPr>
        <w:t>份，甲、乙双方各持</w:t>
      </w:r>
      <w:r>
        <w:rPr>
          <w:rFonts w:hint="eastAsia" w:ascii="宋体" w:hAnsi="宋体" w:cs="宋体"/>
          <w:szCs w:val="21"/>
          <w:highlight w:val="none"/>
          <w:lang w:val="en-US" w:eastAsia="zh-CN"/>
        </w:rPr>
        <w:t>贰</w:t>
      </w:r>
      <w:r>
        <w:rPr>
          <w:rFonts w:hint="eastAsia" w:ascii="宋体" w:hAnsi="宋体" w:cs="宋体"/>
          <w:szCs w:val="21"/>
          <w:highlight w:val="none"/>
        </w:rPr>
        <w:t>份，自甲、乙双方签字并盖章之日起生效。</w:t>
      </w:r>
    </w:p>
    <w:p>
      <w:pPr>
        <w:rPr>
          <w:rFonts w:hint="eastAsia" w:ascii="宋体" w:hAnsi="宋体" w:cs="宋体"/>
          <w:szCs w:val="21"/>
          <w:highlight w:val="none"/>
        </w:rPr>
      </w:pPr>
      <w:r>
        <w:rPr>
          <w:rFonts w:hint="eastAsia" w:ascii="宋体" w:hAnsi="宋体" w:cs="宋体"/>
          <w:szCs w:val="21"/>
          <w:highlight w:val="none"/>
        </w:rPr>
        <w:br w:type="page"/>
      </w:r>
    </w:p>
    <w:p>
      <w:pPr>
        <w:pStyle w:val="2"/>
        <w:rPr>
          <w:rFonts w:hint="eastAsia" w:eastAsia="宋体"/>
          <w:highlight w:val="none"/>
          <w:lang w:eastAsia="zh-CN"/>
        </w:rPr>
      </w:pPr>
      <w:r>
        <w:rPr>
          <w:rFonts w:hint="eastAsia"/>
          <w:highlight w:val="none"/>
          <w:lang w:eastAsia="zh-CN"/>
        </w:rPr>
        <w:t>（</w:t>
      </w:r>
      <w:r>
        <w:rPr>
          <w:rFonts w:hint="eastAsia"/>
          <w:highlight w:val="none"/>
          <w:lang w:val="en-US" w:eastAsia="zh-CN"/>
        </w:rPr>
        <w:t>盖章页</w:t>
      </w:r>
      <w:r>
        <w:rPr>
          <w:rFonts w:hint="eastAsia"/>
          <w:highlight w:val="none"/>
          <w:lang w:eastAsia="zh-CN"/>
        </w:rPr>
        <w:t>）</w:t>
      </w:r>
    </w:p>
    <w:tbl>
      <w:tblPr>
        <w:tblStyle w:val="5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4"/>
        <w:gridCol w:w="284"/>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r>
              <w:rPr>
                <w:rFonts w:hint="eastAsia" w:ascii="宋体" w:hAnsi="宋体" w:cs="宋体"/>
                <w:szCs w:val="21"/>
                <w:highlight w:val="none"/>
              </w:rPr>
              <w:t>甲方：（盖章）</w:t>
            </w:r>
          </w:p>
        </w:tc>
        <w:tc>
          <w:tcPr>
            <w:tcW w:w="28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r>
              <w:rPr>
                <w:rFonts w:hint="eastAsia" w:ascii="宋体" w:hAnsi="宋体" w:cs="宋体"/>
                <w:szCs w:val="21"/>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c>
          <w:tcPr>
            <w:tcW w:w="2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r>
              <w:rPr>
                <w:rFonts w:hint="eastAsia" w:ascii="宋体" w:hAnsi="宋体" w:cs="宋体"/>
                <w:szCs w:val="21"/>
                <w:highlight w:val="none"/>
              </w:rPr>
              <w:t>法定代表人或其委托代理人：（签字）</w:t>
            </w:r>
          </w:p>
        </w:tc>
        <w:tc>
          <w:tcPr>
            <w:tcW w:w="2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r>
              <w:rPr>
                <w:rFonts w:hint="eastAsia" w:ascii="宋体" w:hAnsi="宋体" w:cs="宋体"/>
                <w:szCs w:val="21"/>
                <w:highlight w:val="none"/>
              </w:rPr>
              <w:t>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p>
        </w:tc>
        <w:tc>
          <w:tcPr>
            <w:tcW w:w="2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Cs w:val="21"/>
                <w:highlight w:val="none"/>
                <w:lang w:eastAsia="zh-CN"/>
              </w:rPr>
            </w:pPr>
            <w:r>
              <w:rPr>
                <w:rFonts w:hint="eastAsia" w:ascii="宋体" w:hAnsi="宋体" w:cs="宋体"/>
                <w:szCs w:val="21"/>
                <w:highlight w:val="none"/>
              </w:rPr>
              <w:t>统一社会信用代码：</w:t>
            </w:r>
            <w:r>
              <w:rPr>
                <w:rFonts w:hint="eastAsia" w:ascii="宋体" w:hAnsi="宋体" w:cs="宋体"/>
                <w:szCs w:val="21"/>
                <w:highlight w:val="none"/>
                <w:lang w:val="en-US" w:eastAsia="zh-CN"/>
              </w:rPr>
              <w:t xml:space="preserve"> </w:t>
            </w:r>
          </w:p>
        </w:tc>
        <w:tc>
          <w:tcPr>
            <w:tcW w:w="2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Cs w:val="21"/>
                <w:highlight w:val="none"/>
                <w:lang w:eastAsia="zh-CN"/>
              </w:rPr>
            </w:pPr>
            <w:r>
              <w:rPr>
                <w:rFonts w:hint="eastAsia" w:ascii="宋体" w:hAnsi="宋体" w:cs="宋体"/>
                <w:szCs w:val="21"/>
                <w:highlight w:val="none"/>
              </w:rPr>
              <w:t>统一社会信用代码：</w:t>
            </w:r>
            <w:r>
              <w:rPr>
                <w:rFonts w:hint="eastAsia" w:ascii="宋体" w:hAnsi="宋体" w:cs="宋体"/>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val="en-US" w:eastAsia="zh-CN"/>
              </w:rPr>
              <w:t xml:space="preserve"> </w:t>
            </w:r>
          </w:p>
        </w:tc>
        <w:tc>
          <w:tcPr>
            <w:tcW w:w="2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r>
              <w:rPr>
                <w:rFonts w:hint="eastAsia" w:ascii="宋体" w:hAnsi="宋体" w:cs="宋体"/>
                <w:szCs w:val="21"/>
                <w:highlight w:val="none"/>
              </w:rPr>
              <w:t>电话：</w:t>
            </w:r>
          </w:p>
        </w:tc>
        <w:tc>
          <w:tcPr>
            <w:tcW w:w="2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Cs w:val="21"/>
                <w:highlight w:val="none"/>
                <w:lang w:eastAsia="zh-CN"/>
              </w:rPr>
            </w:pPr>
            <w:r>
              <w:rPr>
                <w:rFonts w:hint="eastAsia" w:ascii="宋体" w:hAnsi="宋体" w:cs="宋体"/>
                <w:szCs w:val="21"/>
                <w:highlight w:val="none"/>
              </w:rPr>
              <w:t>电话：</w:t>
            </w:r>
            <w:r>
              <w:rPr>
                <w:rFonts w:hint="eastAsia" w:ascii="宋体" w:hAnsi="宋体" w:cs="宋体"/>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r>
              <w:rPr>
                <w:rFonts w:hint="eastAsia" w:ascii="宋体" w:hAnsi="宋体" w:cs="宋体"/>
                <w:szCs w:val="21"/>
                <w:highlight w:val="none"/>
              </w:rPr>
              <w:t>传真：</w:t>
            </w:r>
          </w:p>
        </w:tc>
        <w:tc>
          <w:tcPr>
            <w:tcW w:w="2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Cs w:val="21"/>
                <w:highlight w:val="none"/>
                <w:lang w:val="en-US" w:eastAsia="zh-CN"/>
              </w:rPr>
            </w:pPr>
            <w:r>
              <w:rPr>
                <w:rFonts w:hint="eastAsia" w:ascii="宋体" w:hAnsi="宋体" w:cs="宋体"/>
                <w:szCs w:val="21"/>
                <w:highlight w:val="none"/>
              </w:rPr>
              <w:t>传真：</w:t>
            </w:r>
            <w:r>
              <w:rPr>
                <w:rFonts w:hint="eastAsia" w:ascii="宋体" w:hAnsi="宋体" w:cs="宋体"/>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Cs w:val="21"/>
                <w:highlight w:val="none"/>
                <w:lang w:eastAsia="zh-CN"/>
              </w:rPr>
            </w:pPr>
            <w:r>
              <w:rPr>
                <w:rFonts w:hint="eastAsia" w:ascii="宋体" w:hAnsi="宋体" w:cs="宋体"/>
                <w:szCs w:val="21"/>
                <w:highlight w:val="none"/>
              </w:rPr>
              <w:t>开户银行：</w:t>
            </w:r>
            <w:r>
              <w:rPr>
                <w:rFonts w:hint="eastAsia" w:ascii="宋体" w:hAnsi="宋体" w:cs="宋体"/>
                <w:szCs w:val="21"/>
                <w:highlight w:val="none"/>
                <w:lang w:val="en-US" w:eastAsia="zh-CN"/>
              </w:rPr>
              <w:t xml:space="preserve"> </w:t>
            </w:r>
          </w:p>
        </w:tc>
        <w:tc>
          <w:tcPr>
            <w:tcW w:w="2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Cs w:val="21"/>
                <w:highlight w:val="none"/>
                <w:lang w:eastAsia="zh-CN"/>
              </w:rPr>
            </w:pPr>
            <w:r>
              <w:rPr>
                <w:rFonts w:hint="eastAsia" w:ascii="宋体" w:hAnsi="宋体" w:cs="宋体"/>
                <w:szCs w:val="21"/>
                <w:highlight w:val="none"/>
              </w:rPr>
              <w:t>开户银行：</w:t>
            </w:r>
            <w:r>
              <w:rPr>
                <w:rFonts w:hint="eastAsia" w:ascii="宋体" w:hAnsi="宋体" w:cs="宋体"/>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Cs w:val="21"/>
                <w:highlight w:val="none"/>
                <w:lang w:eastAsia="zh-CN"/>
              </w:rPr>
            </w:pPr>
            <w:r>
              <w:rPr>
                <w:rFonts w:hint="eastAsia" w:ascii="宋体" w:hAnsi="宋体" w:cs="宋体"/>
                <w:szCs w:val="21"/>
                <w:highlight w:val="none"/>
              </w:rPr>
              <w:t>账号：</w:t>
            </w:r>
            <w:r>
              <w:rPr>
                <w:rFonts w:hint="eastAsia" w:ascii="宋体" w:hAnsi="宋体" w:cs="宋体"/>
                <w:szCs w:val="21"/>
                <w:highlight w:val="none"/>
                <w:lang w:val="en-US" w:eastAsia="zh-CN"/>
              </w:rPr>
              <w:t xml:space="preserve"> </w:t>
            </w:r>
          </w:p>
        </w:tc>
        <w:tc>
          <w:tcPr>
            <w:tcW w:w="2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Cs w:val="21"/>
                <w:highlight w:val="none"/>
                <w:lang w:eastAsia="zh-CN"/>
              </w:rPr>
            </w:pPr>
            <w:r>
              <w:rPr>
                <w:rFonts w:hint="eastAsia" w:ascii="宋体" w:hAnsi="宋体" w:cs="宋体"/>
                <w:szCs w:val="21"/>
                <w:highlight w:val="none"/>
              </w:rPr>
              <w:t>账号：</w:t>
            </w:r>
            <w:r>
              <w:rPr>
                <w:rFonts w:hint="eastAsia" w:ascii="宋体" w:hAnsi="宋体" w:cs="宋体"/>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r>
              <w:rPr>
                <w:rFonts w:hint="eastAsia" w:ascii="宋体" w:hAnsi="宋体" w:cs="宋体"/>
                <w:szCs w:val="21"/>
                <w:highlight w:val="none"/>
              </w:rPr>
              <w:t>时间：        年    月    日</w:t>
            </w:r>
          </w:p>
        </w:tc>
        <w:tc>
          <w:tcPr>
            <w:tcW w:w="28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p>
        </w:tc>
        <w:tc>
          <w:tcPr>
            <w:tcW w:w="40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cs="宋体"/>
                <w:szCs w:val="21"/>
                <w:highlight w:val="none"/>
              </w:rPr>
            </w:pPr>
            <w:r>
              <w:rPr>
                <w:rFonts w:hint="eastAsia" w:ascii="宋体" w:hAnsi="宋体" w:cs="宋体"/>
                <w:szCs w:val="21"/>
                <w:highlight w:val="none"/>
              </w:rPr>
              <w:t>时间：        年    月    日</w:t>
            </w:r>
          </w:p>
        </w:tc>
      </w:tr>
    </w:tbl>
    <w:p>
      <w:pPr>
        <w:topLinePunct/>
        <w:adjustRightInd w:val="0"/>
        <w:snapToGrid w:val="0"/>
        <w:spacing w:line="360" w:lineRule="auto"/>
        <w:jc w:val="left"/>
        <w:rPr>
          <w:rFonts w:ascii="宋体" w:hAnsi="宋体" w:cs="宋体"/>
          <w:kern w:val="0"/>
          <w:szCs w:val="21"/>
          <w:highlight w:val="none"/>
        </w:rPr>
      </w:pPr>
      <w:r>
        <w:rPr>
          <w:rFonts w:hint="eastAsia" w:ascii="宋体" w:hAnsi="宋体" w:cs="宋体"/>
          <w:szCs w:val="22"/>
          <w:highlight w:val="none"/>
        </w:rPr>
        <w:fldChar w:fldCharType="begin"/>
      </w:r>
      <w:r>
        <w:rPr>
          <w:rFonts w:hint="eastAsia" w:ascii="宋体" w:hAnsi="宋体" w:cs="宋体"/>
          <w:szCs w:val="22"/>
          <w:highlight w:val="none"/>
        </w:rPr>
        <w:instrText xml:space="preserve">AUTOTEXT  合同条款及格式 \* MERGEFORMAT</w:instrText>
      </w:r>
      <w:r>
        <w:rPr>
          <w:rFonts w:hint="eastAsia" w:ascii="宋体" w:hAnsi="宋体" w:cs="宋体"/>
          <w:szCs w:val="22"/>
          <w:highlight w:val="none"/>
        </w:rPr>
        <w:fldChar w:fldCharType="end"/>
      </w:r>
      <w:r>
        <w:rPr>
          <w:rFonts w:hint="eastAsia" w:ascii="宋体" w:hAnsi="宋体" w:cs="宋体"/>
          <w:szCs w:val="22"/>
          <w:highlight w:val="none"/>
        </w:rPr>
        <w:br w:type="page"/>
      </w:r>
    </w:p>
    <w:p>
      <w:pPr>
        <w:pStyle w:val="26"/>
        <w:jc w:val="left"/>
        <w:rPr>
          <w:rFonts w:hint="eastAsia" w:ascii="宋体" w:hAnsi="宋体" w:eastAsia="宋体"/>
          <w:szCs w:val="21"/>
          <w:highlight w:val="none"/>
        </w:rPr>
      </w:pPr>
      <w:r>
        <w:rPr>
          <w:rFonts w:hint="eastAsia" w:ascii="宋体" w:hAnsi="宋体" w:eastAsia="宋体"/>
          <w:szCs w:val="21"/>
          <w:highlight w:val="none"/>
        </w:rPr>
        <w:t>附件1：</w:t>
      </w:r>
    </w:p>
    <w:p>
      <w:pPr>
        <w:autoSpaceDE w:val="0"/>
        <w:autoSpaceDN w:val="0"/>
        <w:adjustRightInd w:val="0"/>
        <w:spacing w:line="360" w:lineRule="auto"/>
        <w:ind w:firstLine="482" w:firstLineChars="200"/>
        <w:jc w:val="center"/>
        <w:outlineLvl w:val="9"/>
        <w:rPr>
          <w:rFonts w:ascii="宋体" w:hAnsi="宋体"/>
          <w:b/>
          <w:bCs/>
          <w:sz w:val="24"/>
          <w:szCs w:val="24"/>
          <w:highlight w:val="none"/>
        </w:rPr>
      </w:pPr>
      <w:bookmarkStart w:id="295" w:name="_Toc13546"/>
      <w:r>
        <w:rPr>
          <w:rFonts w:hint="eastAsia" w:ascii="宋体" w:hAnsi="宋体"/>
          <w:b/>
          <w:bCs/>
          <w:sz w:val="24"/>
          <w:szCs w:val="24"/>
          <w:highlight w:val="none"/>
        </w:rPr>
        <w:t>施工安全协议书</w:t>
      </w:r>
      <w:bookmarkEnd w:id="295"/>
    </w:p>
    <w:p>
      <w:pPr>
        <w:autoSpaceDE w:val="0"/>
        <w:autoSpaceDN w:val="0"/>
        <w:adjustRightInd w:val="0"/>
        <w:spacing w:line="360" w:lineRule="auto"/>
        <w:ind w:firstLine="420" w:firstLineChars="200"/>
        <w:rPr>
          <w:rFonts w:hint="eastAsia" w:ascii="宋体" w:hAnsi="宋体" w:cs="宋体"/>
          <w:szCs w:val="21"/>
          <w:highlight w:val="none"/>
          <w:u w:val="single"/>
          <w:lang w:val="en-US" w:eastAsia="zh-CN"/>
        </w:rPr>
      </w:pPr>
      <w:r>
        <w:rPr>
          <w:rFonts w:hint="eastAsia" w:ascii="宋体" w:hAnsi="宋体"/>
          <w:szCs w:val="21"/>
          <w:highlight w:val="none"/>
        </w:rPr>
        <w:t>发包人（全称）：</w:t>
      </w:r>
      <w:r>
        <w:rPr>
          <w:rFonts w:hint="eastAsia" w:ascii="宋体" w:hAnsi="宋体" w:cs="宋体"/>
          <w:szCs w:val="21"/>
          <w:highlight w:val="none"/>
          <w:u w:val="single"/>
          <w:lang w:val="en-US" w:eastAsia="zh-CN"/>
        </w:rPr>
        <w:t xml:space="preserve"> </w:t>
      </w:r>
    </w:p>
    <w:p>
      <w:pPr>
        <w:autoSpaceDE w:val="0"/>
        <w:autoSpaceDN w:val="0"/>
        <w:adjustRightInd w:val="0"/>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承包人（全称）：</w:t>
      </w:r>
      <w:r>
        <w:rPr>
          <w:rFonts w:hint="eastAsia" w:ascii="宋体" w:hAnsi="宋体" w:cs="宋体"/>
          <w:szCs w:val="21"/>
          <w:highlight w:val="none"/>
          <w:u w:val="single"/>
          <w:lang w:val="en-US" w:eastAsia="zh-CN"/>
        </w:rPr>
        <w:t xml:space="preserve"> </w:t>
      </w:r>
    </w:p>
    <w:p>
      <w:pPr>
        <w:autoSpaceDE w:val="0"/>
        <w:autoSpaceDN w:val="0"/>
        <w:adjustRightInd w:val="0"/>
        <w:spacing w:line="360" w:lineRule="auto"/>
        <w:ind w:firstLine="420" w:firstLineChars="200"/>
        <w:rPr>
          <w:rFonts w:hint="eastAsia" w:ascii="宋体" w:hAnsi="宋体"/>
          <w:szCs w:val="21"/>
          <w:highlight w:val="none"/>
        </w:rPr>
      </w:pP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根据《中华人民共和国建筑法》、《中华人民共和国安全生产法》以及广东省、深圳市有关法规的要求，为明确发包人、承包人在施工安全管理方面的责任、权力和义务，特签订本协议书。</w:t>
      </w:r>
    </w:p>
    <w:p>
      <w:pPr>
        <w:autoSpaceDE w:val="0"/>
        <w:autoSpaceDN w:val="0"/>
        <w:adjustRightIn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公司</w:t>
      </w:r>
      <w:r>
        <w:rPr>
          <w:rFonts w:hint="eastAsia" w:ascii="宋体" w:hAnsi="宋体"/>
          <w:szCs w:val="21"/>
          <w:highlight w:val="none"/>
        </w:rPr>
        <w:t>作为《</w:t>
      </w:r>
      <w:r>
        <w:rPr>
          <w:rFonts w:hint="eastAsia" w:ascii="宋体" w:hAnsi="宋体"/>
          <w:szCs w:val="21"/>
          <w:highlight w:val="none"/>
          <w:lang w:val="en-US" w:eastAsia="zh-CN"/>
        </w:rPr>
        <w:t xml:space="preserve">   </w:t>
      </w:r>
      <w:r>
        <w:rPr>
          <w:rFonts w:hint="eastAsia" w:ascii="宋体" w:hAnsi="宋体"/>
          <w:szCs w:val="21"/>
          <w:highlight w:val="none"/>
        </w:rPr>
        <w:t>》的发包人，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公司</w:t>
      </w:r>
      <w:r>
        <w:rPr>
          <w:rFonts w:hint="eastAsia" w:ascii="宋体" w:hAnsi="宋体"/>
          <w:szCs w:val="21"/>
          <w:highlight w:val="none"/>
        </w:rPr>
        <w:t>作为《</w:t>
      </w:r>
      <w:r>
        <w:rPr>
          <w:rFonts w:hint="eastAsia" w:ascii="宋体" w:hAnsi="宋体"/>
          <w:szCs w:val="21"/>
          <w:highlight w:val="none"/>
          <w:lang w:val="en-US" w:eastAsia="zh-CN"/>
        </w:rPr>
        <w:t xml:space="preserve">    </w:t>
      </w:r>
      <w:r>
        <w:rPr>
          <w:rFonts w:hint="eastAsia" w:ascii="宋体" w:hAnsi="宋体"/>
          <w:sz w:val="21"/>
          <w:szCs w:val="21"/>
          <w:highlight w:val="none"/>
        </w:rPr>
        <w:t>》的承包人，于</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年</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月</w:t>
      </w:r>
      <w:r>
        <w:rPr>
          <w:rFonts w:hint="eastAsia" w:ascii="宋体" w:hAnsi="宋体"/>
          <w:sz w:val="21"/>
          <w:szCs w:val="21"/>
          <w:highlight w:val="none"/>
          <w:lang w:val="en-US" w:eastAsia="zh-CN"/>
        </w:rPr>
        <w:t xml:space="preserve">   </w:t>
      </w:r>
      <w:r>
        <w:rPr>
          <w:rFonts w:hint="eastAsia" w:ascii="宋体" w:hAnsi="宋体"/>
          <w:sz w:val="21"/>
          <w:szCs w:val="21"/>
          <w:highlight w:val="none"/>
        </w:rPr>
        <w:t xml:space="preserve">  日共同签署了《</w:t>
      </w:r>
      <w:r>
        <w:rPr>
          <w:rFonts w:hint="eastAsia" w:ascii="宋体" w:hAnsi="宋体"/>
          <w:sz w:val="21"/>
          <w:szCs w:val="21"/>
          <w:highlight w:val="none"/>
          <w:lang w:val="en-US" w:eastAsia="zh-CN"/>
        </w:rPr>
        <w:t xml:space="preserve">   </w:t>
      </w:r>
      <w:r>
        <w:rPr>
          <w:rFonts w:hint="eastAsia" w:ascii="宋体" w:hAnsi="宋体"/>
          <w:sz w:val="21"/>
          <w:szCs w:val="21"/>
          <w:highlight w:val="none"/>
        </w:rPr>
        <w:t>》（以下简称“主合同”），现各方经友好协商签署《施工安全协议书》，对主</w:t>
      </w:r>
      <w:r>
        <w:rPr>
          <w:rFonts w:hint="eastAsia" w:asciiTheme="minorEastAsia" w:hAnsiTheme="minorEastAsia" w:eastAsiaTheme="minorEastAsia" w:cstheme="minorEastAsia"/>
          <w:sz w:val="21"/>
          <w:szCs w:val="21"/>
          <w:highlight w:val="none"/>
        </w:rPr>
        <w:t>合同作出补充约定，以兹各方遵守。</w:t>
      </w:r>
    </w:p>
    <w:p>
      <w:pPr>
        <w:autoSpaceDE w:val="0"/>
        <w:autoSpaceDN w:val="0"/>
        <w:adjustRightIn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 xml:space="preserve">第一条  </w:t>
      </w:r>
      <w:r>
        <w:rPr>
          <w:rFonts w:hint="eastAsia" w:asciiTheme="minorEastAsia" w:hAnsiTheme="minorEastAsia" w:eastAsiaTheme="minorEastAsia" w:cstheme="minorEastAsia"/>
          <w:sz w:val="21"/>
          <w:szCs w:val="21"/>
          <w:highlight w:val="none"/>
        </w:rPr>
        <w:t>本工程安全</w:t>
      </w:r>
      <w:r>
        <w:rPr>
          <w:rFonts w:hint="eastAsia" w:asciiTheme="minorEastAsia" w:hAnsiTheme="minorEastAsia" w:eastAsiaTheme="minorEastAsia" w:cstheme="minorEastAsia"/>
          <w:sz w:val="21"/>
          <w:szCs w:val="21"/>
          <w:highlight w:val="none"/>
          <w:lang w:val="en-US" w:eastAsia="zh-CN"/>
        </w:rPr>
        <w:t>管理指标</w:t>
      </w:r>
    </w:p>
    <w:p>
      <w:pPr>
        <w:autoSpaceDE w:val="0"/>
        <w:autoSpaceDN w:val="0"/>
        <w:adjustRightInd w:val="0"/>
        <w:spacing w:line="360" w:lineRule="auto"/>
        <w:ind w:firstLine="420" w:firstLineChars="200"/>
        <w:rPr>
          <w:rFonts w:hint="eastAsia" w:asciiTheme="minorEastAsia" w:hAnsiTheme="minorEastAsia" w:eastAsiaTheme="minorEastAsia" w:cstheme="minorEastAsia"/>
          <w:sz w:val="21"/>
          <w:szCs w:val="21"/>
          <w:highlight w:val="none"/>
        </w:rPr>
      </w:pPr>
      <w:bookmarkStart w:id="296" w:name="_Toc5412"/>
      <w:bookmarkStart w:id="297" w:name="_Toc22986"/>
      <w:bookmarkStart w:id="298" w:name="_Toc18737"/>
      <w:bookmarkStart w:id="299" w:name="_Toc23165"/>
      <w:bookmarkStart w:id="300" w:name="_Toc32277"/>
      <w:bookmarkStart w:id="301" w:name="_Toc6731"/>
      <w:bookmarkStart w:id="302" w:name="_Toc29248"/>
      <w:bookmarkStart w:id="303" w:name="_Toc31562"/>
      <w:bookmarkStart w:id="304" w:name="_Toc18242"/>
      <w:bookmarkStart w:id="305" w:name="_Toc19137"/>
      <w:bookmarkStart w:id="306" w:name="_Toc19072"/>
      <w:bookmarkStart w:id="307" w:name="_Toc13365"/>
      <w:bookmarkStart w:id="308" w:name="_Toc3662"/>
      <w:bookmarkStart w:id="309" w:name="_Toc12933"/>
      <w:bookmarkStart w:id="310" w:name="_Toc27949"/>
      <w:bookmarkStart w:id="311" w:name="_Toc7393"/>
      <w:bookmarkStart w:id="312" w:name="_Toc405"/>
      <w:r>
        <w:rPr>
          <w:rFonts w:hint="eastAsia" w:asciiTheme="minorEastAsia" w:hAnsiTheme="minorEastAsia" w:eastAsiaTheme="minorEastAsia" w:cstheme="minorEastAsia"/>
          <w:sz w:val="21"/>
          <w:szCs w:val="21"/>
          <w:highlight w:val="none"/>
        </w:rPr>
        <w:t>乙方自入场至工程经甲方验收合格且人员、设备全部退场止，安全管理同时满足下列指标：</w:t>
      </w:r>
      <w:bookmarkEnd w:id="296"/>
      <w:bookmarkEnd w:id="297"/>
      <w:bookmarkEnd w:id="298"/>
      <w:bookmarkEnd w:id="299"/>
      <w:bookmarkEnd w:id="300"/>
      <w:bookmarkEnd w:id="301"/>
      <w:bookmarkEnd w:id="302"/>
      <w:bookmarkEnd w:id="303"/>
    </w:p>
    <w:p>
      <w:pPr>
        <w:autoSpaceDE w:val="0"/>
        <w:autoSpaceDN w:val="0"/>
        <w:adjustRightIn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A.安全生产的“六个为零”：</w:t>
      </w:r>
      <w:r>
        <w:rPr>
          <w:rFonts w:hint="eastAsia" w:asciiTheme="minorEastAsia" w:hAnsiTheme="minorEastAsia" w:eastAsiaTheme="minorEastAsia" w:cstheme="minorEastAsia"/>
          <w:sz w:val="21"/>
          <w:szCs w:val="21"/>
          <w:highlight w:val="none"/>
          <w:lang w:val="en-US" w:eastAsia="zh-CN"/>
        </w:rPr>
        <w:t>轻伤及以上事故</w:t>
      </w:r>
      <w:r>
        <w:rPr>
          <w:rFonts w:hint="eastAsia" w:asciiTheme="minorEastAsia" w:hAnsiTheme="minorEastAsia" w:eastAsiaTheme="minorEastAsia" w:cstheme="minorEastAsia"/>
          <w:sz w:val="21"/>
          <w:szCs w:val="21"/>
          <w:highlight w:val="none"/>
        </w:rPr>
        <w:t>为零、重大设备事故为零、重大火灾事故为零、重大污染事故为零、重大责任事故为零、负同等责任的重大交通事故为</w:t>
      </w:r>
      <w:r>
        <w:rPr>
          <w:rFonts w:hint="eastAsia" w:asciiTheme="minorEastAsia" w:hAnsiTheme="minorEastAsia" w:eastAsiaTheme="minorEastAsia" w:cstheme="minorEastAsia"/>
          <w:sz w:val="21"/>
          <w:szCs w:val="21"/>
          <w:highlight w:val="none"/>
          <w:u w:val="single"/>
        </w:rPr>
        <w:t>零</w:t>
      </w:r>
      <w:r>
        <w:rPr>
          <w:rFonts w:hint="eastAsia" w:asciiTheme="minorEastAsia" w:hAnsiTheme="minorEastAsia" w:eastAsiaTheme="minorEastAsia" w:cstheme="minorEastAsia"/>
          <w:sz w:val="21"/>
          <w:szCs w:val="21"/>
          <w:highlight w:val="none"/>
        </w:rPr>
        <w:t>。</w:t>
      </w:r>
      <w:bookmarkEnd w:id="304"/>
      <w:bookmarkEnd w:id="305"/>
      <w:bookmarkEnd w:id="306"/>
      <w:bookmarkEnd w:id="307"/>
      <w:bookmarkEnd w:id="308"/>
      <w:bookmarkEnd w:id="309"/>
      <w:bookmarkEnd w:id="310"/>
      <w:bookmarkEnd w:id="311"/>
      <w:bookmarkEnd w:id="312"/>
    </w:p>
    <w:p>
      <w:pPr>
        <w:autoSpaceDE w:val="0"/>
        <w:autoSpaceDN w:val="0"/>
        <w:adjustRightInd w:val="0"/>
        <w:spacing w:line="360" w:lineRule="auto"/>
        <w:ind w:firstLine="420" w:firstLineChars="200"/>
        <w:rPr>
          <w:rFonts w:hint="eastAsia" w:asciiTheme="minorEastAsia" w:hAnsiTheme="minorEastAsia" w:eastAsiaTheme="minorEastAsia" w:cstheme="minorEastAsia"/>
          <w:sz w:val="21"/>
          <w:szCs w:val="21"/>
          <w:highlight w:val="none"/>
        </w:rPr>
      </w:pPr>
      <w:bookmarkStart w:id="313" w:name="_Toc8410"/>
      <w:bookmarkStart w:id="314" w:name="_Toc21219"/>
      <w:bookmarkStart w:id="315" w:name="_Toc993"/>
      <w:bookmarkStart w:id="316" w:name="_Toc6798"/>
      <w:bookmarkStart w:id="317" w:name="_Toc23428"/>
      <w:bookmarkStart w:id="318" w:name="_Toc11866"/>
      <w:bookmarkStart w:id="319" w:name="_Toc25204"/>
      <w:bookmarkStart w:id="320" w:name="_Toc31258"/>
      <w:bookmarkStart w:id="321" w:name="_Toc16243"/>
      <w:r>
        <w:rPr>
          <w:rFonts w:hint="eastAsia" w:asciiTheme="minorEastAsia" w:hAnsiTheme="minorEastAsia" w:eastAsiaTheme="minorEastAsia" w:cstheme="minorEastAsia"/>
          <w:sz w:val="21"/>
          <w:szCs w:val="21"/>
          <w:highlight w:val="none"/>
        </w:rPr>
        <w:t>B.因工负伤率：</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w:t>
      </w:r>
      <w:bookmarkEnd w:id="313"/>
      <w:bookmarkEnd w:id="314"/>
      <w:bookmarkEnd w:id="315"/>
      <w:bookmarkEnd w:id="316"/>
      <w:bookmarkEnd w:id="317"/>
      <w:bookmarkEnd w:id="318"/>
      <w:bookmarkEnd w:id="319"/>
      <w:bookmarkEnd w:id="320"/>
      <w:bookmarkEnd w:id="321"/>
    </w:p>
    <w:p>
      <w:pPr>
        <w:autoSpaceDE w:val="0"/>
        <w:autoSpaceDN w:val="0"/>
        <w:adjustRightInd w:val="0"/>
        <w:spacing w:line="360" w:lineRule="auto"/>
        <w:ind w:firstLine="420" w:firstLineChars="200"/>
        <w:rPr>
          <w:rFonts w:hint="eastAsia" w:asciiTheme="minorEastAsia" w:hAnsiTheme="minorEastAsia" w:eastAsiaTheme="minorEastAsia" w:cstheme="minorEastAsia"/>
          <w:sz w:val="21"/>
          <w:szCs w:val="21"/>
          <w:highlight w:val="none"/>
        </w:rPr>
      </w:pPr>
      <w:bookmarkStart w:id="322" w:name="_Toc29219"/>
      <w:bookmarkStart w:id="323" w:name="_Toc2790"/>
      <w:bookmarkStart w:id="324" w:name="_Toc13310"/>
      <w:bookmarkStart w:id="325" w:name="_Toc18026"/>
      <w:bookmarkStart w:id="326" w:name="_Toc29253"/>
      <w:bookmarkStart w:id="327" w:name="_Toc16740"/>
      <w:bookmarkStart w:id="328" w:name="_Toc6953"/>
      <w:bookmarkStart w:id="329" w:name="_Toc2748"/>
      <w:bookmarkStart w:id="330" w:name="_Toc20389"/>
      <w:r>
        <w:rPr>
          <w:rFonts w:hint="eastAsia" w:asciiTheme="minorEastAsia" w:hAnsiTheme="minorEastAsia" w:eastAsiaTheme="minorEastAsia" w:cstheme="minorEastAsia"/>
          <w:sz w:val="21"/>
          <w:szCs w:val="21"/>
          <w:highlight w:val="none"/>
        </w:rPr>
        <w:t>C.食物、煤气中毒及卫生防疫事故：</w:t>
      </w:r>
      <w:r>
        <w:rPr>
          <w:rFonts w:hint="eastAsia" w:asciiTheme="minorEastAsia" w:hAnsiTheme="minorEastAsia" w:eastAsiaTheme="minorEastAsia" w:cstheme="minorEastAsia"/>
          <w:sz w:val="21"/>
          <w:szCs w:val="21"/>
          <w:highlight w:val="none"/>
          <w:u w:val="single"/>
        </w:rPr>
        <w:t xml:space="preserve">  0 </w:t>
      </w:r>
      <w:r>
        <w:rPr>
          <w:rFonts w:hint="eastAsia" w:asciiTheme="minorEastAsia" w:hAnsiTheme="minorEastAsia" w:eastAsiaTheme="minorEastAsia" w:cstheme="minorEastAsia"/>
          <w:sz w:val="21"/>
          <w:szCs w:val="21"/>
          <w:highlight w:val="none"/>
        </w:rPr>
        <w:t xml:space="preserve"> ；</w:t>
      </w:r>
      <w:bookmarkEnd w:id="322"/>
      <w:bookmarkEnd w:id="323"/>
      <w:bookmarkEnd w:id="324"/>
      <w:bookmarkEnd w:id="325"/>
      <w:bookmarkEnd w:id="326"/>
      <w:bookmarkEnd w:id="327"/>
      <w:bookmarkEnd w:id="328"/>
      <w:bookmarkEnd w:id="329"/>
      <w:bookmarkEnd w:id="330"/>
    </w:p>
    <w:p>
      <w:pPr>
        <w:autoSpaceDE w:val="0"/>
        <w:autoSpaceDN w:val="0"/>
        <w:adjustRightInd w:val="0"/>
        <w:spacing w:line="360" w:lineRule="auto"/>
        <w:ind w:firstLine="420" w:firstLineChars="200"/>
        <w:rPr>
          <w:rFonts w:hint="eastAsia" w:asciiTheme="minorEastAsia" w:hAnsiTheme="minorEastAsia" w:eastAsiaTheme="minorEastAsia" w:cstheme="minorEastAsia"/>
          <w:sz w:val="21"/>
          <w:szCs w:val="21"/>
          <w:highlight w:val="none"/>
        </w:rPr>
      </w:pPr>
      <w:bookmarkStart w:id="331" w:name="_Toc31080"/>
      <w:bookmarkStart w:id="332" w:name="_Toc24562"/>
      <w:bookmarkStart w:id="333" w:name="_Toc11312"/>
      <w:bookmarkStart w:id="334" w:name="_Toc24671"/>
      <w:bookmarkStart w:id="335" w:name="_Toc26314"/>
      <w:bookmarkStart w:id="336" w:name="_Toc12557"/>
      <w:bookmarkStart w:id="337" w:name="_Toc5264"/>
      <w:bookmarkStart w:id="338" w:name="_Toc17395"/>
      <w:bookmarkStart w:id="339" w:name="_Toc24506"/>
      <w:r>
        <w:rPr>
          <w:rFonts w:hint="eastAsia" w:asciiTheme="minorEastAsia" w:hAnsiTheme="minorEastAsia" w:eastAsiaTheme="minorEastAsia" w:cstheme="minorEastAsia"/>
          <w:sz w:val="21"/>
          <w:szCs w:val="21"/>
          <w:highlight w:val="none"/>
        </w:rPr>
        <w:t>D.被社会媒体负面曝光：</w:t>
      </w:r>
      <w:r>
        <w:rPr>
          <w:rFonts w:hint="eastAsia" w:asciiTheme="minorEastAsia" w:hAnsiTheme="minorEastAsia" w:eastAsiaTheme="minorEastAsia" w:cstheme="minorEastAsia"/>
          <w:sz w:val="21"/>
          <w:szCs w:val="21"/>
          <w:highlight w:val="none"/>
          <w:u w:val="single"/>
        </w:rPr>
        <w:t xml:space="preserve">  0 </w:t>
      </w:r>
      <w:r>
        <w:rPr>
          <w:rFonts w:hint="eastAsia" w:asciiTheme="minorEastAsia" w:hAnsiTheme="minorEastAsia" w:eastAsiaTheme="minorEastAsia" w:cstheme="minorEastAsia"/>
          <w:sz w:val="21"/>
          <w:szCs w:val="21"/>
          <w:highlight w:val="none"/>
        </w:rPr>
        <w:t xml:space="preserve"> ；</w:t>
      </w:r>
      <w:bookmarkEnd w:id="331"/>
      <w:bookmarkEnd w:id="332"/>
      <w:bookmarkEnd w:id="333"/>
      <w:bookmarkEnd w:id="334"/>
      <w:bookmarkEnd w:id="335"/>
      <w:bookmarkEnd w:id="336"/>
      <w:bookmarkEnd w:id="337"/>
      <w:bookmarkEnd w:id="338"/>
      <w:bookmarkEnd w:id="339"/>
    </w:p>
    <w:p>
      <w:pPr>
        <w:autoSpaceDE w:val="0"/>
        <w:autoSpaceDN w:val="0"/>
        <w:adjustRightInd w:val="0"/>
        <w:spacing w:line="360" w:lineRule="auto"/>
        <w:ind w:firstLine="420" w:firstLineChars="200"/>
        <w:rPr>
          <w:rFonts w:hint="eastAsia" w:asciiTheme="minorEastAsia" w:hAnsiTheme="minorEastAsia" w:eastAsiaTheme="minorEastAsia" w:cstheme="minorEastAsia"/>
          <w:sz w:val="21"/>
          <w:szCs w:val="21"/>
          <w:highlight w:val="none"/>
        </w:rPr>
      </w:pPr>
      <w:bookmarkStart w:id="340" w:name="_Toc28026"/>
      <w:bookmarkStart w:id="341" w:name="_Toc22145"/>
      <w:bookmarkStart w:id="342" w:name="_Toc455"/>
      <w:bookmarkStart w:id="343" w:name="_Toc31104"/>
      <w:bookmarkStart w:id="344" w:name="_Toc22447"/>
      <w:bookmarkStart w:id="345" w:name="_Toc810"/>
      <w:bookmarkStart w:id="346" w:name="_Toc15001"/>
      <w:bookmarkStart w:id="347" w:name="_Toc16979"/>
      <w:bookmarkStart w:id="348" w:name="_Toc368"/>
      <w:r>
        <w:rPr>
          <w:rFonts w:hint="eastAsia" w:asciiTheme="minorEastAsia" w:hAnsiTheme="minorEastAsia" w:eastAsiaTheme="minorEastAsia" w:cstheme="minorEastAsia"/>
          <w:sz w:val="21"/>
          <w:szCs w:val="21"/>
          <w:highlight w:val="none"/>
        </w:rPr>
        <w:t>E.被政府行政机关处罚：</w:t>
      </w:r>
      <w:r>
        <w:rPr>
          <w:rFonts w:hint="eastAsia" w:asciiTheme="minorEastAsia" w:hAnsiTheme="minorEastAsia" w:eastAsiaTheme="minorEastAsia" w:cstheme="minorEastAsia"/>
          <w:sz w:val="21"/>
          <w:szCs w:val="21"/>
          <w:highlight w:val="none"/>
          <w:u w:val="single"/>
        </w:rPr>
        <w:t xml:space="preserve">  0 </w:t>
      </w:r>
      <w:r>
        <w:rPr>
          <w:rFonts w:hint="eastAsia" w:asciiTheme="minorEastAsia" w:hAnsiTheme="minorEastAsia" w:eastAsiaTheme="minorEastAsia" w:cstheme="minorEastAsia"/>
          <w:sz w:val="21"/>
          <w:szCs w:val="21"/>
          <w:highlight w:val="none"/>
        </w:rPr>
        <w:t xml:space="preserve"> ；</w:t>
      </w:r>
      <w:bookmarkEnd w:id="340"/>
      <w:bookmarkEnd w:id="341"/>
      <w:bookmarkEnd w:id="342"/>
      <w:bookmarkEnd w:id="343"/>
      <w:bookmarkEnd w:id="344"/>
      <w:bookmarkEnd w:id="345"/>
      <w:bookmarkEnd w:id="346"/>
      <w:bookmarkEnd w:id="347"/>
      <w:bookmarkEnd w:id="348"/>
    </w:p>
    <w:p>
      <w:pPr>
        <w:autoSpaceDE w:val="0"/>
        <w:autoSpaceDN w:val="0"/>
        <w:adjustRightInd w:val="0"/>
        <w:spacing w:line="360" w:lineRule="auto"/>
        <w:ind w:firstLine="420" w:firstLineChars="200"/>
        <w:rPr>
          <w:rFonts w:hint="eastAsia" w:asciiTheme="minorEastAsia" w:hAnsiTheme="minorEastAsia" w:eastAsiaTheme="minorEastAsia" w:cstheme="minorEastAsia"/>
          <w:sz w:val="21"/>
          <w:szCs w:val="21"/>
          <w:highlight w:val="none"/>
        </w:rPr>
      </w:pPr>
      <w:bookmarkStart w:id="349" w:name="_Toc19986"/>
      <w:bookmarkStart w:id="350" w:name="_Toc19204"/>
      <w:bookmarkStart w:id="351" w:name="_Toc21806"/>
      <w:bookmarkStart w:id="352" w:name="_Toc3220"/>
      <w:bookmarkStart w:id="353" w:name="_Toc23983"/>
      <w:bookmarkStart w:id="354" w:name="_Toc31076"/>
      <w:bookmarkStart w:id="355" w:name="_Toc22786"/>
      <w:bookmarkStart w:id="356" w:name="_Toc22390"/>
      <w:bookmarkStart w:id="357" w:name="_Toc12817"/>
      <w:r>
        <w:rPr>
          <w:rFonts w:hint="eastAsia" w:asciiTheme="minorEastAsia" w:hAnsiTheme="minorEastAsia" w:eastAsiaTheme="minorEastAsia" w:cstheme="minorEastAsia"/>
          <w:sz w:val="21"/>
          <w:szCs w:val="21"/>
          <w:highlight w:val="none"/>
        </w:rPr>
        <w:t>F.盗窃、赌博、嫖娼、打架等治安事件、10人以上的群体性事件、刑事案件：</w:t>
      </w:r>
      <w:r>
        <w:rPr>
          <w:rFonts w:hint="eastAsia" w:asciiTheme="minorEastAsia" w:hAnsiTheme="minorEastAsia" w:eastAsiaTheme="minorEastAsia" w:cstheme="minorEastAsia"/>
          <w:sz w:val="21"/>
          <w:szCs w:val="21"/>
          <w:highlight w:val="none"/>
          <w:u w:val="single"/>
        </w:rPr>
        <w:t xml:space="preserve">  0  </w:t>
      </w:r>
      <w:r>
        <w:rPr>
          <w:rFonts w:hint="eastAsia" w:asciiTheme="minorEastAsia" w:hAnsiTheme="minorEastAsia" w:eastAsiaTheme="minorEastAsia" w:cstheme="minorEastAsia"/>
          <w:sz w:val="21"/>
          <w:szCs w:val="21"/>
          <w:highlight w:val="none"/>
        </w:rPr>
        <w:t>；</w:t>
      </w:r>
      <w:bookmarkEnd w:id="349"/>
      <w:bookmarkEnd w:id="350"/>
      <w:bookmarkEnd w:id="351"/>
      <w:bookmarkEnd w:id="352"/>
      <w:bookmarkEnd w:id="353"/>
      <w:bookmarkEnd w:id="354"/>
      <w:bookmarkEnd w:id="355"/>
      <w:bookmarkEnd w:id="356"/>
      <w:bookmarkEnd w:id="357"/>
    </w:p>
    <w:p>
      <w:pPr>
        <w:autoSpaceDE w:val="0"/>
        <w:autoSpaceDN w:val="0"/>
        <w:adjustRightInd w:val="0"/>
        <w:spacing w:line="360" w:lineRule="auto"/>
        <w:ind w:firstLine="420" w:firstLineChars="200"/>
        <w:rPr>
          <w:rFonts w:hint="eastAsia" w:asciiTheme="minorEastAsia" w:hAnsiTheme="minorEastAsia" w:eastAsiaTheme="minorEastAsia" w:cstheme="minorEastAsia"/>
          <w:sz w:val="21"/>
          <w:szCs w:val="21"/>
          <w:highlight w:val="none"/>
        </w:rPr>
      </w:pPr>
      <w:bookmarkStart w:id="358" w:name="_Toc32727"/>
      <w:bookmarkStart w:id="359" w:name="_Toc10632"/>
      <w:bookmarkStart w:id="360" w:name="_Toc2708"/>
      <w:bookmarkStart w:id="361" w:name="_Toc3193"/>
      <w:bookmarkStart w:id="362" w:name="_Toc15082"/>
      <w:bookmarkStart w:id="363" w:name="_Toc14265"/>
      <w:bookmarkStart w:id="364" w:name="_Toc10954"/>
      <w:bookmarkStart w:id="365" w:name="_Toc14441"/>
      <w:bookmarkStart w:id="366" w:name="_Toc12899"/>
      <w:r>
        <w:rPr>
          <w:rFonts w:hint="eastAsia" w:asciiTheme="minorEastAsia" w:hAnsiTheme="minorEastAsia" w:eastAsiaTheme="minorEastAsia" w:cstheme="minorEastAsia"/>
          <w:sz w:val="21"/>
          <w:szCs w:val="21"/>
          <w:highlight w:val="none"/>
        </w:rPr>
        <w:t>G.甲方</w:t>
      </w:r>
      <w:r>
        <w:rPr>
          <w:rFonts w:hint="eastAsia" w:asciiTheme="minorEastAsia" w:hAnsiTheme="minorEastAsia" w:eastAsiaTheme="minorEastAsia" w:cstheme="minorEastAsia"/>
          <w:sz w:val="21"/>
          <w:szCs w:val="21"/>
          <w:highlight w:val="none"/>
          <w:lang w:val="en-US" w:eastAsia="zh-CN"/>
        </w:rPr>
        <w:t>安全部门</w:t>
      </w:r>
      <w:r>
        <w:rPr>
          <w:rFonts w:hint="eastAsia" w:asciiTheme="minorEastAsia" w:hAnsiTheme="minorEastAsia" w:eastAsiaTheme="minorEastAsia" w:cstheme="minorEastAsia"/>
          <w:sz w:val="21"/>
          <w:szCs w:val="21"/>
          <w:highlight w:val="none"/>
        </w:rPr>
        <w:t>定期检查</w:t>
      </w:r>
      <w:r>
        <w:rPr>
          <w:rFonts w:hint="eastAsia" w:asciiTheme="minorEastAsia" w:hAnsiTheme="minorEastAsia" w:eastAsiaTheme="minorEastAsia" w:cstheme="minorEastAsia"/>
          <w:sz w:val="21"/>
          <w:szCs w:val="21"/>
          <w:highlight w:val="none"/>
          <w:lang w:val="en-US" w:eastAsia="zh-CN"/>
        </w:rPr>
        <w:t xml:space="preserve">合格率 </w:t>
      </w:r>
      <w:r>
        <w:rPr>
          <w:rFonts w:hint="eastAsia" w:asciiTheme="minorEastAsia" w:hAnsiTheme="minorEastAsia" w:eastAsiaTheme="minorEastAsia" w:cstheme="minorEastAsia"/>
          <w:sz w:val="21"/>
          <w:szCs w:val="21"/>
          <w:highlight w:val="none"/>
          <w:u w:val="single"/>
          <w:lang w:val="en-US" w:eastAsia="zh-CN"/>
        </w:rPr>
        <w:t>100%</w:t>
      </w:r>
      <w:r>
        <w:rPr>
          <w:rFonts w:hint="eastAsia" w:asciiTheme="minorEastAsia" w:hAnsiTheme="minorEastAsia" w:eastAsiaTheme="minorEastAsia" w:cstheme="minorEastAsia"/>
          <w:sz w:val="21"/>
          <w:szCs w:val="21"/>
          <w:highlight w:val="none"/>
          <w:lang w:val="en-US" w:eastAsia="zh-CN"/>
        </w:rPr>
        <w:t xml:space="preserve"> 良好率</w:t>
      </w:r>
      <w:r>
        <w:rPr>
          <w:rFonts w:hint="eastAsia" w:asciiTheme="minorEastAsia" w:hAnsiTheme="minorEastAsia" w:eastAsiaTheme="minorEastAsia" w:cstheme="minorEastAsia"/>
          <w:sz w:val="21"/>
          <w:szCs w:val="21"/>
          <w:highlight w:val="none"/>
        </w:rPr>
        <w:t>在</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90%</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以上；</w:t>
      </w:r>
      <w:bookmarkEnd w:id="358"/>
      <w:bookmarkEnd w:id="359"/>
      <w:bookmarkEnd w:id="360"/>
      <w:bookmarkEnd w:id="361"/>
      <w:bookmarkEnd w:id="362"/>
      <w:bookmarkEnd w:id="363"/>
      <w:bookmarkEnd w:id="364"/>
      <w:bookmarkEnd w:id="365"/>
      <w:bookmarkEnd w:id="366"/>
    </w:p>
    <w:p>
      <w:pPr>
        <w:autoSpaceDE w:val="0"/>
        <w:autoSpaceDN w:val="0"/>
        <w:adjustRightInd w:val="0"/>
        <w:spacing w:line="360" w:lineRule="auto"/>
        <w:ind w:firstLine="420" w:firstLineChars="200"/>
        <w:rPr>
          <w:rFonts w:hint="eastAsia" w:asciiTheme="minorEastAsia" w:hAnsiTheme="minorEastAsia" w:eastAsiaTheme="minorEastAsia" w:cstheme="minorEastAsia"/>
          <w:sz w:val="21"/>
          <w:szCs w:val="21"/>
          <w:highlight w:val="none"/>
        </w:rPr>
      </w:pPr>
      <w:bookmarkStart w:id="367" w:name="_Toc7470"/>
      <w:bookmarkStart w:id="368" w:name="_Toc7593"/>
      <w:bookmarkStart w:id="369" w:name="_Toc16543"/>
      <w:bookmarkStart w:id="370" w:name="_Toc6345"/>
      <w:bookmarkStart w:id="371" w:name="_Toc9163"/>
      <w:bookmarkStart w:id="372" w:name="_Toc23970"/>
      <w:bookmarkStart w:id="373" w:name="_Toc3"/>
      <w:bookmarkStart w:id="374" w:name="_Toc17102"/>
      <w:r>
        <w:rPr>
          <w:rFonts w:hint="eastAsia" w:asciiTheme="minorEastAsia" w:hAnsiTheme="minorEastAsia" w:eastAsiaTheme="minorEastAsia" w:cstheme="minorEastAsia"/>
          <w:sz w:val="21"/>
          <w:szCs w:val="21"/>
          <w:highlight w:val="none"/>
        </w:rPr>
        <w:t>H.安全隐患整改率达到</w:t>
      </w:r>
      <w:r>
        <w:rPr>
          <w:rFonts w:hint="eastAsia" w:asciiTheme="minorEastAsia" w:hAnsiTheme="minorEastAsia" w:eastAsiaTheme="minorEastAsia" w:cstheme="minorEastAsia"/>
          <w:sz w:val="21"/>
          <w:szCs w:val="21"/>
          <w:highlight w:val="none"/>
          <w:u w:val="single"/>
        </w:rPr>
        <w:t>100%</w:t>
      </w:r>
      <w:r>
        <w:rPr>
          <w:rFonts w:hint="eastAsia" w:asciiTheme="minorEastAsia" w:hAnsiTheme="minorEastAsia" w:eastAsiaTheme="minorEastAsia" w:cstheme="minorEastAsia"/>
          <w:sz w:val="21"/>
          <w:szCs w:val="21"/>
          <w:highlight w:val="none"/>
        </w:rPr>
        <w:t>；</w:t>
      </w:r>
      <w:bookmarkEnd w:id="367"/>
      <w:bookmarkEnd w:id="368"/>
      <w:bookmarkEnd w:id="369"/>
      <w:bookmarkEnd w:id="370"/>
      <w:bookmarkEnd w:id="371"/>
      <w:bookmarkEnd w:id="372"/>
      <w:bookmarkEnd w:id="373"/>
      <w:bookmarkEnd w:id="374"/>
    </w:p>
    <w:p>
      <w:pPr>
        <w:autoSpaceDE w:val="0"/>
        <w:autoSpaceDN w:val="0"/>
        <w:adjustRightInd w:val="0"/>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第二条  本工程安全管理的方针：贯彻“安全第一，预防为主，综合治理”的方针，并认真贯彻执行国家、广东省、深圳市有关安全生产的法律、法规和行业主管部门的有关规定。</w:t>
      </w:r>
    </w:p>
    <w:p>
      <w:pPr>
        <w:autoSpaceDE w:val="0"/>
        <w:autoSpaceDN w:val="0"/>
        <w:adjustRightInd w:val="0"/>
        <w:spacing w:line="360" w:lineRule="auto"/>
        <w:ind w:firstLine="420" w:firstLineChars="200"/>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w:t>
      </w:r>
      <w:bookmarkStart w:id="375" w:name="_Toc30530"/>
      <w:bookmarkStart w:id="376" w:name="_Toc26880"/>
      <w:r>
        <w:rPr>
          <w:rFonts w:hint="eastAsia" w:asciiTheme="minorEastAsia" w:hAnsiTheme="minorEastAsia" w:eastAsiaTheme="minorEastAsia" w:cstheme="minorEastAsia"/>
          <w:sz w:val="21"/>
          <w:szCs w:val="21"/>
          <w:highlight w:val="none"/>
        </w:rPr>
        <w:t>第三条 发包人安全管理责任</w:t>
      </w:r>
      <w:bookmarkEnd w:id="375"/>
      <w:bookmarkEnd w:id="376"/>
    </w:p>
    <w:p>
      <w:pPr>
        <w:autoSpaceDE w:val="0"/>
        <w:autoSpaceDN w:val="0"/>
        <w:adjustRightInd w:val="0"/>
        <w:spacing w:line="360" w:lineRule="auto"/>
        <w:ind w:firstLine="420" w:firstLineChars="200"/>
        <w:rPr>
          <w:rFonts w:ascii="宋体" w:hAnsi="宋体"/>
          <w:szCs w:val="21"/>
          <w:highlight w:val="none"/>
        </w:rPr>
      </w:pPr>
      <w:r>
        <w:rPr>
          <w:rFonts w:hint="eastAsia" w:asciiTheme="minorEastAsia" w:hAnsiTheme="minorEastAsia" w:eastAsiaTheme="minorEastAsia" w:cstheme="minorEastAsia"/>
          <w:sz w:val="21"/>
          <w:szCs w:val="21"/>
          <w:highlight w:val="none"/>
        </w:rPr>
        <w:t>1.发包人不得对承包人提出与建设工</w:t>
      </w:r>
      <w:r>
        <w:rPr>
          <w:rFonts w:hint="eastAsia" w:ascii="宋体" w:hAnsi="宋体"/>
          <w:sz w:val="21"/>
          <w:szCs w:val="21"/>
          <w:highlight w:val="none"/>
        </w:rPr>
        <w:t>程安全</w:t>
      </w:r>
      <w:r>
        <w:rPr>
          <w:rFonts w:hint="eastAsia" w:ascii="宋体" w:hAnsi="宋体"/>
          <w:szCs w:val="21"/>
          <w:highlight w:val="none"/>
        </w:rPr>
        <w:t>生产法律、法规和强制性标准规定相违背的要求。</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2.发包人应当承担项目安全作业环境及安全施工措施所需费用，并按合同约定拨付安全文明措施费。</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3.发包人有权不定期检查承包人施工现场，承包人施工人员违反有关安全生产规程制度时，发包人有权予以纠正制止，有权通知承包人并给予经济处罚，直至停止承包人的工作。</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4.发包人不得对勘察、设计、施工等单位及工程师提出与建设工程安全生产法律、法规和强制性标准规定相违背的要求。</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5.发包人不得明示或者暗示承包人购买、租赁、使用不符合安全施工要求的安全防护用具、机械设备、施工机具及配件、消防设施和器材。</w:t>
      </w:r>
    </w:p>
    <w:p>
      <w:pPr>
        <w:autoSpaceDE w:val="0"/>
        <w:autoSpaceDN w:val="0"/>
        <w:adjustRightInd w:val="0"/>
        <w:spacing w:line="360" w:lineRule="auto"/>
        <w:ind w:firstLine="420" w:firstLineChars="200"/>
        <w:outlineLvl w:val="9"/>
        <w:rPr>
          <w:rFonts w:ascii="宋体" w:hAnsi="宋体"/>
          <w:szCs w:val="21"/>
          <w:highlight w:val="none"/>
        </w:rPr>
      </w:pPr>
      <w:r>
        <w:rPr>
          <w:rFonts w:hint="eastAsia" w:ascii="宋体" w:hAnsi="宋体"/>
          <w:szCs w:val="21"/>
          <w:highlight w:val="none"/>
        </w:rPr>
        <w:t xml:space="preserve"> </w:t>
      </w:r>
      <w:bookmarkStart w:id="377" w:name="_Toc16400"/>
      <w:bookmarkStart w:id="378" w:name="_Toc9137"/>
      <w:r>
        <w:rPr>
          <w:rFonts w:hint="eastAsia" w:ascii="宋体" w:hAnsi="宋体"/>
          <w:szCs w:val="21"/>
          <w:highlight w:val="none"/>
        </w:rPr>
        <w:t>第四条 承包人安全管理责任</w:t>
      </w:r>
      <w:bookmarkEnd w:id="377"/>
      <w:bookmarkEnd w:id="378"/>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1.承包人对施工现场的安全生产负总责。承包人依法将建设工程分包给其他单位，应与分包人签订分包合同，分包合同中应当明确各自的安全生产方面的权利、义务。承包人对分包工程的安全生产承担责任。承包人应与专项承包人签订安全、文明责任划分协议，并负责专项承包人的安全生产管理，专项承包人造成的安全事故由专项承包人承担主要责任，承包人承担连带责任。</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2.承包人任命的项目经理依法对本项目的安全生产工作全面负责。承包人应当建立健全安全生产责任制度和安全生产教育培训制度，制定安全生产规章制度，保证本项目安全生产条件所需资金的投入，对本项目进行定期和专项安全检查，并做好安全检查记录。承包人的项目安全负责人应当由取得相应执业资格的人员担任，对本项目的安全施工负责，落实安全生产责任制度、安全生产规章制度，确保安全生产费用的有效使用，并根据工程的特点组织制定安全施工措施，消除安全事故隐患，及时、如实报告生产安全事故。</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3.承包人对列入合同价款中的施工企业现场安全文明措施费，应当用于施工安全防护用具及设施的采购和更新、安全施工措施的落实、安全生产条件的改善，不得挪作他用。</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4.承包人应当设立安全生产管理机构，配备专职安全生产管理人员。专职安全生产管理人员不得少于三人，并按照土建、机电等专业分类设置。专职安全生产管理人员应当经建设行政主管部门或者其他有关部门考核合格后方可任职。专职安全生产管理人员负责对安全生产进行现场监督检查。发现安全事故隐患，应当及时向项目负责人和安全生产管理机构报告；对违章指挥、违章操作的，应当立即制止。</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5.工程开工前，必须向施工人员进行安全技术交底，让全体施工人员掌握工程特点及施工安全措施。项目施工前承包人负责项目管理的技术人员应当对有关安全施工的技术要求向施工作业班组、作业人员作出详细说明，并由双方签字确认。</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6.应按《中华人民共和国劳动法》等法律、法规、规定用工，严禁使用未成年工和有职业禁忌的人员进行施工作业。承包人应当为施工现场作业的人员办理意外伤害保险，意外伤害保险费由承包人支付，保险期限自工程开工之日起至竣工验收合格止。</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7.承包人应对工作地段采取的安全技术措施、施工人员状态以及施工中的安全责任负责；如因承包人采取的安全措施不当、违反有关安全规程、规定及本协议所列安全事项而造成的一切事故或对第三方造成损失的，均由承包人承担所造成的经济损失及法律责任。</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8.承包人应自觉接受发包人的监督和指导。对发包人检查提出的安全整改通知，必须及时整改。施工中一旦发生人身事故或危及施工的不安全情况，必须立即报告发包人，未能及时报告的，承包人按照10 万元/次向</w:t>
      </w:r>
      <w:r>
        <w:rPr>
          <w:rFonts w:hint="eastAsia" w:ascii="宋体" w:hAnsi="宋体"/>
          <w:szCs w:val="21"/>
          <w:highlight w:val="none"/>
          <w:lang w:val="en-US" w:eastAsia="zh-CN"/>
        </w:rPr>
        <w:t>发</w:t>
      </w:r>
      <w:r>
        <w:rPr>
          <w:rFonts w:hint="eastAsia" w:ascii="宋体" w:hAnsi="宋体"/>
          <w:szCs w:val="21"/>
          <w:highlight w:val="none"/>
        </w:rPr>
        <w:t>包人支付违约金。</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9.严格执行国家及广东省、深圳市施工现场临时用电的有关技术规范和安全操作规程，对施工区域内自行管辖的临时用电负全面管理责任。施工现场临时用电设施和器材必须使用正规厂家的合格产品，严禁使用假冒伪劣等不合格产品。安全电气产品必须经过国家专业检测机构认证。在使用电焊机等电气设备时，必须穿戴好防触电防护用品，作业场地必须配备消防设施，工作结束，应切断电焊机电源，电焊工必须持证上岗。</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10.特种作业人员,包括但不仅限于垂直运输机械作业人员、安装拆卸工、电焊工作业人员、起重信号工、登高架设作业人员等。特种作业人员必须按照国家有关规定经过专门的安全作业培训，并取得特种作业操作资格证书后。进行上岗前的职业技能、安全生产等方面的培训，未经安全生产教育培训及培训不合格和无证人员，不得上岗作业。向发包人提供特种作业人员化名册、操作证复印件和培训记录。</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11.承包人应当在施工组织设计中编制安全技术措施和施工现场临时用电方案，对下列达到一定规模的危险性较大的分部分项工程编制专项施工方案，并附具安全验算结果，经承包人单位技术负责人、总监理工程师签字后实施，由专职安全生产管理人员进行现场监督：</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1）基坑工程；</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2) 模板工程；</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3) 起重吊装工程；</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4) 脚手架工程；</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5) 顶管工程；</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6) 国务院建设行政主管部门或者其他有关部门规定的其他危险性较大的工程。</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对前款所列专项工程以及相关法律法规要求的专项施工方案，承包人应当组织专家进行论证、审查。</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12.承包人应当在施工现场入口处、施工起重机械、临时用电设施、脚手架、出入通道口、工作井、接收井口、孔洞口、基坑边沿及有害危险气体和液体存放处等危险部位，设置明显的安全警示标志,做好各种安全防护措施、遮栏、夜视灯等。安全警示标志必须符合国家标准。承包人应当根据不同施工阶段和周围环境及季节、气候的变化，在施工现场采取相应的安全施工措施。施工现场暂时停止施工的，承包人应当做好现场防护，所需费用由承包人承担。</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13.承包人应当将施工现场的办公、生活区与作业区分开设置，并保持安全距离；办公、生活区的选址应当符合安全性要求。职工的膳食、饮水、休息场所等应当符合卫生标准。承包人不得在尚未竣工的建筑物内设置员工集体宿舍。施工现场临时搭建的建筑物应当符合安全使用要求。施工现场使用的装配式活动房屋应当具有产品合格证。</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14.承包人对因建设工程施工可能造成损害的毗邻建筑物、构筑物(包括文物保护建筑)、古树名木和地下管线等，应当采取专项防护措施。应当遵守国家有关环境保护法律、法规的规定，在施工现场采取措施，防止或者减少粉尘、废气、废水、固体废物、噪声、振动和施工照明对人和环境的危害和污染。承包人应当对施工现场实行封闭作业。</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15.承包人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16.承包人应当向作业人员提供安全防护用具和安全防护服装，并书面告知危险岗位的操作规程和违章操作的危害。作业人员有权对施工现场的作业条件、作业程序和作业方式中存在的安全问题提出批评、检举和控告，有权拒绝违章指挥和强令冒险作业。在施工中发生危及人身安全的紧急情况时，作业人员有权立即停止作业或者在采取必要的应急措施后撤离危险区域。</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17.作业人员应当遵守安全施工的强制性标准、规章制度和操作规程，正确使用安全防护用具、机械设备等。</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18.承包人采购、租赁的安全防护用具、机械设备、施工机具及配件，应当具有生产（制造）许可证、产品合格证，并在进入施工现场前进行查验。施工现场的安全防护用具、机械设备、施工机具及配件必须由专人管理，定期进行检查、维修和保养，建立相应的资料档案，并按照国家有关规定及时报废。</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19.对建筑起重机械的管理应符合《建筑起重机械安全监督管理规定》。</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20.作业人员进入新的岗位或者新的施工现场前，应当接受安全生产教育培训。未经教育培训或者教育培训考核不合格的人员，不得上岗作业。承包人在采用新技术、新工艺、新设备、新材料时，应当对作业人员进行相应的安全生产教育培训。</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21.承包人应当为施工现场作业的人员办理意外伤害保险。意外伤害保险费由承包人支付，保险期限自建设工程开工之日起至竣工验收合格止。</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22.承包人应按照《深圳市建设工程现场文明施工管理办法》的有关要求，做好现场文明施工与环境管理的工作。</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23.承包人采取的安全措施不当或违反有关安全规程、规定及本协议所列安全事项而造成的一切事故或对第三方造成损失，由此造成的一切后果均由承包人承担全部责任及全部经济损失。</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第五条  承包人要根据施工现场可能发生的施工安全事故编制施工安全事故应急救援预案，建立应急救援组织或者配备应急救援人员，配备必要的应急救援器材、设备，并定期进行演练，切实做好施工安全事故应急预案管理</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第六条  承包人未按专业设置安监人员；未能正确、全面执行安全技术措施、施工组织设计；施工人员未掌握本工程项目特点及施工安全措施；用于本工程项目的施工机械、工器具及安全防护用品不满足施工需要，发包人和监理人员有权要求承包人立即停工整改，由此引起的后果及损失由承包人承担。</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第七条  承包人必须执行发包人制定的现场施工安全管理规定，在施工过程中发现不安全行为，发包人有权纠正或立即停止其工作；对于施工现场习惯性违章、严重违章的人员，按照主合同或现场安全管理文件中相关条款进行处罚。</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第八条  本项目施工过程中因承包人原因发生安全事故，发包人将按照深圳市相关文件对承包人进行处罚。同时，每发生一次生产安全事故，发包人有权按照事故严重程度收取承包人违约金：1）死亡1人以上（含1人）的，违约金为20万元/人/次；2）重伤不超过2人的，违约金为10万元/人/次。重伤超过2人（含2人）的，违约金为20万元/人/次。每造成重大财产损失一次，承包人向发包人支付违约金人民币10万元。</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承包人应负责死亡及受伤人员的全部损害赔偿并应赔偿发包人由此遭受的全部损失。发包人因此遭受行政处罚的，政府罚金/收费由承包人最终承担，发包人有权从合同款项中扣除或向承包人追偿。同时，发生上述安全事故引起的停工工期不予顺延。</w:t>
      </w: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第九条  本协议书一式</w:t>
      </w:r>
      <w:r>
        <w:rPr>
          <w:rFonts w:hint="eastAsia" w:ascii="宋体" w:hAnsi="宋体"/>
          <w:szCs w:val="21"/>
          <w:highlight w:val="none"/>
          <w:lang w:val="en-US" w:eastAsia="zh-CN"/>
        </w:rPr>
        <w:t>肆</w:t>
      </w:r>
      <w:r>
        <w:rPr>
          <w:rFonts w:hint="eastAsia" w:ascii="宋体" w:hAnsi="宋体"/>
          <w:szCs w:val="21"/>
          <w:highlight w:val="none"/>
        </w:rPr>
        <w:t>份，甲、乙双方各持</w:t>
      </w:r>
      <w:r>
        <w:rPr>
          <w:rFonts w:hint="eastAsia" w:ascii="宋体" w:hAnsi="宋体"/>
          <w:szCs w:val="21"/>
          <w:highlight w:val="none"/>
          <w:lang w:val="en-US" w:eastAsia="zh-CN"/>
        </w:rPr>
        <w:t>贰</w:t>
      </w:r>
      <w:r>
        <w:rPr>
          <w:rFonts w:hint="eastAsia" w:ascii="宋体" w:hAnsi="宋体"/>
          <w:szCs w:val="21"/>
          <w:highlight w:val="none"/>
        </w:rPr>
        <w:t>份，自甲、乙双方签字并盖章之日起生效。</w:t>
      </w:r>
    </w:p>
    <w:p>
      <w:pPr>
        <w:rPr>
          <w:rFonts w:hint="eastAsia" w:ascii="宋体" w:hAnsi="宋体"/>
          <w:szCs w:val="21"/>
          <w:highlight w:val="none"/>
        </w:rPr>
      </w:pPr>
    </w:p>
    <w:p>
      <w:pPr>
        <w:ind w:firstLine="420" w:firstLineChars="200"/>
        <w:rPr>
          <w:rFonts w:ascii="宋体" w:hAnsi="宋体"/>
          <w:szCs w:val="21"/>
          <w:highlight w:val="none"/>
        </w:rPr>
      </w:pPr>
      <w:r>
        <w:rPr>
          <w:rFonts w:hint="eastAsia" w:ascii="宋体" w:hAnsi="宋体"/>
          <w:szCs w:val="21"/>
          <w:highlight w:val="none"/>
        </w:rPr>
        <w:t>（以下无正文）</w:t>
      </w:r>
    </w:p>
    <w:p>
      <w:pPr>
        <w:autoSpaceDE w:val="0"/>
        <w:autoSpaceDN w:val="0"/>
        <w:adjustRightInd w:val="0"/>
        <w:spacing w:line="360" w:lineRule="auto"/>
        <w:ind w:firstLine="420" w:firstLineChars="200"/>
        <w:rPr>
          <w:rFonts w:hint="eastAsia" w:ascii="宋体" w:hAnsi="宋体"/>
          <w:szCs w:val="21"/>
          <w:highlight w:val="none"/>
        </w:rPr>
      </w:pPr>
    </w:p>
    <w:p>
      <w:pPr>
        <w:autoSpaceDE w:val="0"/>
        <w:autoSpaceDN w:val="0"/>
        <w:adjustRightInd w:val="0"/>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发包人（盖章）：</w:t>
      </w:r>
      <w:r>
        <w:rPr>
          <w:rFonts w:hint="eastAsia" w:ascii="宋体" w:hAnsi="宋体" w:cs="宋体"/>
          <w:szCs w:val="21"/>
          <w:highlight w:val="none"/>
          <w:lang w:val="en-US" w:eastAsia="zh-CN"/>
        </w:rPr>
        <w:t xml:space="preserve"> </w:t>
      </w:r>
    </w:p>
    <w:p>
      <w:pPr>
        <w:autoSpaceDE w:val="0"/>
        <w:autoSpaceDN w:val="0"/>
        <w:adjustRightInd w:val="0"/>
        <w:spacing w:line="240" w:lineRule="auto"/>
        <w:ind w:firstLine="420" w:firstLineChars="200"/>
        <w:rPr>
          <w:rFonts w:ascii="宋体" w:hAnsi="宋体"/>
          <w:szCs w:val="21"/>
          <w:highlight w:val="none"/>
        </w:rPr>
      </w:pP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法人代表或授权代表（签字）：</w:t>
      </w:r>
    </w:p>
    <w:p>
      <w:pPr>
        <w:autoSpaceDE w:val="0"/>
        <w:autoSpaceDN w:val="0"/>
        <w:adjustRightInd w:val="0"/>
        <w:spacing w:line="240" w:lineRule="auto"/>
        <w:ind w:firstLine="420" w:firstLineChars="200"/>
        <w:rPr>
          <w:rFonts w:ascii="宋体" w:hAnsi="宋体"/>
          <w:szCs w:val="21"/>
          <w:highlight w:val="none"/>
        </w:rPr>
      </w:pP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签约时间：</w:t>
      </w:r>
      <w:r>
        <w:rPr>
          <w:rFonts w:hint="eastAsia" w:ascii="宋体" w:hAnsi="宋体"/>
          <w:szCs w:val="21"/>
          <w:highlight w:val="none"/>
          <w:lang w:val="en-US" w:eastAsia="zh-CN"/>
        </w:rPr>
        <w:t xml:space="preserve">       </w:t>
      </w:r>
      <w:r>
        <w:rPr>
          <w:rFonts w:hint="eastAsia" w:ascii="宋体" w:hAnsi="宋体"/>
          <w:szCs w:val="21"/>
          <w:highlight w:val="none"/>
        </w:rPr>
        <w:t xml:space="preserve"> 年</w:t>
      </w:r>
      <w:r>
        <w:rPr>
          <w:rFonts w:hint="eastAsia" w:ascii="宋体" w:hAnsi="宋体"/>
          <w:szCs w:val="21"/>
          <w:highlight w:val="none"/>
          <w:lang w:val="en-US" w:eastAsia="zh-CN"/>
        </w:rPr>
        <w:t xml:space="preserve">   </w:t>
      </w:r>
      <w:r>
        <w:rPr>
          <w:rFonts w:hint="eastAsia" w:ascii="宋体" w:hAnsi="宋体"/>
          <w:szCs w:val="21"/>
          <w:highlight w:val="none"/>
        </w:rPr>
        <w:t xml:space="preserve"> 月</w:t>
      </w:r>
      <w:r>
        <w:rPr>
          <w:rFonts w:hint="eastAsia" w:ascii="宋体" w:hAnsi="宋体"/>
          <w:szCs w:val="21"/>
          <w:highlight w:val="none"/>
          <w:lang w:val="en-US" w:eastAsia="zh-CN"/>
        </w:rPr>
        <w:t xml:space="preserve">   </w:t>
      </w:r>
      <w:r>
        <w:rPr>
          <w:rFonts w:hint="eastAsia" w:ascii="宋体" w:hAnsi="宋体"/>
          <w:szCs w:val="21"/>
          <w:highlight w:val="none"/>
        </w:rPr>
        <w:t xml:space="preserve">  日</w:t>
      </w:r>
    </w:p>
    <w:p>
      <w:pPr>
        <w:autoSpaceDE w:val="0"/>
        <w:autoSpaceDN w:val="0"/>
        <w:adjustRightInd w:val="0"/>
        <w:spacing w:line="240" w:lineRule="auto"/>
        <w:ind w:firstLine="420" w:firstLineChars="200"/>
        <w:rPr>
          <w:rFonts w:ascii="宋体" w:hAnsi="宋体"/>
          <w:szCs w:val="21"/>
          <w:highlight w:val="none"/>
        </w:rPr>
      </w:pPr>
    </w:p>
    <w:p>
      <w:pPr>
        <w:autoSpaceDE w:val="0"/>
        <w:autoSpaceDN w:val="0"/>
        <w:adjustRightInd w:val="0"/>
        <w:spacing w:line="360" w:lineRule="auto"/>
        <w:ind w:firstLine="420" w:firstLineChars="200"/>
        <w:rPr>
          <w:rFonts w:hint="eastAsia" w:ascii="宋体" w:hAnsi="宋体" w:eastAsia="宋体"/>
          <w:szCs w:val="21"/>
          <w:highlight w:val="none"/>
          <w:lang w:eastAsia="zh-CN"/>
        </w:rPr>
      </w:pPr>
      <w:r>
        <w:rPr>
          <w:rFonts w:hint="eastAsia" w:ascii="宋体" w:hAnsi="宋体"/>
          <w:szCs w:val="21"/>
          <w:highlight w:val="none"/>
        </w:rPr>
        <w:t>承包人（盖章）：</w:t>
      </w:r>
      <w:r>
        <w:rPr>
          <w:rFonts w:hint="eastAsia" w:ascii="宋体" w:hAnsi="宋体" w:cs="宋体"/>
          <w:szCs w:val="21"/>
          <w:highlight w:val="none"/>
          <w:lang w:val="en-US" w:eastAsia="zh-CN"/>
        </w:rPr>
        <w:t xml:space="preserve"> </w:t>
      </w:r>
    </w:p>
    <w:p>
      <w:pPr>
        <w:autoSpaceDE w:val="0"/>
        <w:autoSpaceDN w:val="0"/>
        <w:adjustRightInd w:val="0"/>
        <w:spacing w:line="240" w:lineRule="auto"/>
        <w:ind w:firstLine="420" w:firstLineChars="200"/>
        <w:rPr>
          <w:rFonts w:ascii="宋体" w:hAnsi="宋体"/>
          <w:szCs w:val="21"/>
          <w:highlight w:val="none"/>
        </w:rPr>
      </w:pPr>
    </w:p>
    <w:p>
      <w:pPr>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法人代表或授权代表（签字）：</w:t>
      </w:r>
    </w:p>
    <w:p>
      <w:pPr>
        <w:autoSpaceDE w:val="0"/>
        <w:autoSpaceDN w:val="0"/>
        <w:adjustRightInd w:val="0"/>
        <w:spacing w:line="240" w:lineRule="auto"/>
        <w:ind w:firstLine="420" w:firstLineChars="200"/>
        <w:rPr>
          <w:rFonts w:ascii="宋体" w:hAnsi="宋体"/>
          <w:szCs w:val="21"/>
          <w:highlight w:val="none"/>
        </w:rPr>
      </w:pPr>
    </w:p>
    <w:p>
      <w:pPr>
        <w:autoSpaceDE w:val="0"/>
        <w:autoSpaceDN w:val="0"/>
        <w:adjustRightInd w:val="0"/>
        <w:spacing w:line="360" w:lineRule="auto"/>
        <w:ind w:firstLine="420" w:firstLineChars="200"/>
        <w:rPr>
          <w:rFonts w:hint="eastAsia" w:ascii="宋体" w:hAnsi="宋体"/>
          <w:szCs w:val="21"/>
          <w:highlight w:val="none"/>
        </w:rPr>
      </w:pPr>
      <w:r>
        <w:rPr>
          <w:rFonts w:hint="eastAsia" w:ascii="宋体" w:hAnsi="宋体"/>
          <w:szCs w:val="21"/>
          <w:highlight w:val="none"/>
        </w:rPr>
        <w:t>签约时间：</w:t>
      </w:r>
      <w:r>
        <w:rPr>
          <w:rFonts w:hint="eastAsia" w:ascii="宋体" w:hAnsi="宋体"/>
          <w:szCs w:val="21"/>
          <w:highlight w:val="none"/>
          <w:lang w:val="en-US" w:eastAsia="zh-CN"/>
        </w:rPr>
        <w:t xml:space="preserve">       </w:t>
      </w:r>
      <w:r>
        <w:rPr>
          <w:rFonts w:hint="eastAsia" w:ascii="宋体" w:hAnsi="宋体"/>
          <w:szCs w:val="21"/>
          <w:highlight w:val="none"/>
        </w:rPr>
        <w:t xml:space="preserve"> 年</w:t>
      </w:r>
      <w:r>
        <w:rPr>
          <w:rFonts w:hint="eastAsia" w:ascii="宋体" w:hAnsi="宋体"/>
          <w:szCs w:val="21"/>
          <w:highlight w:val="none"/>
          <w:lang w:val="en-US" w:eastAsia="zh-CN"/>
        </w:rPr>
        <w:t xml:space="preserve">   </w:t>
      </w:r>
      <w:r>
        <w:rPr>
          <w:rFonts w:hint="eastAsia" w:ascii="宋体" w:hAnsi="宋体"/>
          <w:szCs w:val="21"/>
          <w:highlight w:val="none"/>
        </w:rPr>
        <w:t xml:space="preserve"> 月</w:t>
      </w:r>
      <w:r>
        <w:rPr>
          <w:rFonts w:hint="eastAsia" w:ascii="宋体" w:hAnsi="宋体"/>
          <w:szCs w:val="21"/>
          <w:highlight w:val="none"/>
          <w:lang w:val="en-US" w:eastAsia="zh-CN"/>
        </w:rPr>
        <w:t xml:space="preserve">   </w:t>
      </w:r>
      <w:r>
        <w:rPr>
          <w:rFonts w:hint="eastAsia" w:ascii="宋体" w:hAnsi="宋体"/>
          <w:szCs w:val="21"/>
          <w:highlight w:val="none"/>
        </w:rPr>
        <w:t xml:space="preserve">  日</w:t>
      </w:r>
    </w:p>
    <w:p>
      <w:pPr>
        <w:autoSpaceDE w:val="0"/>
        <w:autoSpaceDN w:val="0"/>
        <w:adjustRightInd w:val="0"/>
        <w:spacing w:line="240" w:lineRule="auto"/>
        <w:ind w:firstLine="420" w:firstLineChars="200"/>
        <w:rPr>
          <w:rFonts w:hint="eastAsia" w:ascii="宋体" w:hAnsi="宋体"/>
          <w:szCs w:val="21"/>
          <w:highlight w:val="none"/>
        </w:rPr>
      </w:pPr>
    </w:p>
    <w:p>
      <w:pPr>
        <w:shd w:val="clear" w:fill="000000"/>
        <w:rPr>
          <w:rFonts w:hint="eastAsia" w:ascii="宋体" w:hAnsi="宋体" w:eastAsia="宋体"/>
          <w:szCs w:val="21"/>
          <w:highlight w:val="none"/>
        </w:rPr>
      </w:pPr>
      <w:r>
        <w:rPr>
          <w:rFonts w:hint="eastAsia" w:ascii="宋体" w:hAnsi="宋体" w:eastAsia="宋体"/>
          <w:szCs w:val="21"/>
          <w:highlight w:val="none"/>
        </w:rPr>
        <w:br w:type="page"/>
      </w:r>
    </w:p>
    <w:p>
      <w:pPr>
        <w:pStyle w:val="26"/>
        <w:jc w:val="left"/>
        <w:rPr>
          <w:rFonts w:eastAsia="宋体"/>
          <w:highlight w:val="none"/>
        </w:rPr>
      </w:pPr>
      <w:r>
        <w:rPr>
          <w:rFonts w:hint="eastAsia" w:ascii="宋体" w:hAnsi="宋体" w:eastAsia="宋体"/>
          <w:szCs w:val="21"/>
          <w:highlight w:val="none"/>
        </w:rPr>
        <w:t>附件2：</w:t>
      </w:r>
    </w:p>
    <w:p>
      <w:pPr>
        <w:jc w:val="center"/>
        <w:outlineLvl w:val="9"/>
        <w:rPr>
          <w:b/>
          <w:sz w:val="24"/>
          <w:highlight w:val="none"/>
        </w:rPr>
      </w:pPr>
      <w:r>
        <w:rPr>
          <w:rFonts w:hint="eastAsia"/>
          <w:b/>
          <w:sz w:val="24"/>
          <w:highlight w:val="none"/>
        </w:rPr>
        <w:t>遵守《安全生产十条红线》承诺书</w:t>
      </w:r>
    </w:p>
    <w:p>
      <w:pPr>
        <w:rPr>
          <w:rFonts w:hint="eastAsia"/>
          <w:highlight w:val="none"/>
        </w:rPr>
      </w:pPr>
    </w:p>
    <w:p>
      <w:pPr>
        <w:spacing w:line="360" w:lineRule="auto"/>
        <w:rPr>
          <w:rFonts w:hint="eastAsia" w:ascii="宋体" w:hAnsi="宋体" w:cs="仿宋"/>
          <w:sz w:val="24"/>
          <w:szCs w:val="24"/>
          <w:highlight w:val="none"/>
          <w:shd w:val="clear" w:color="auto" w:fill="FFFFFF"/>
        </w:rPr>
      </w:pPr>
      <w:r>
        <w:rPr>
          <w:rFonts w:hint="eastAsia" w:ascii="宋体" w:hAnsi="宋体" w:cs="仿宋"/>
          <w:sz w:val="24"/>
          <w:szCs w:val="24"/>
          <w:highlight w:val="none"/>
          <w:u w:val="single"/>
          <w:shd w:val="clear" w:color="auto" w:fill="FFFFFF"/>
          <w:lang w:val="en-US" w:eastAsia="zh-CN"/>
        </w:rPr>
        <w:t xml:space="preserve">  </w:t>
      </w:r>
      <w:r>
        <w:rPr>
          <w:rFonts w:hint="eastAsia" w:ascii="宋体" w:hAnsi="宋体" w:cs="仿宋"/>
          <w:sz w:val="24"/>
          <w:szCs w:val="24"/>
          <w:highlight w:val="none"/>
          <w:shd w:val="clear" w:color="auto" w:fill="FFFFFF"/>
        </w:rPr>
        <w:t>公司：</w:t>
      </w:r>
    </w:p>
    <w:p>
      <w:pPr>
        <w:spacing w:line="360" w:lineRule="auto"/>
        <w:ind w:firstLine="480" w:firstLineChars="200"/>
        <w:rPr>
          <w:rFonts w:ascii="宋体" w:hAnsi="宋体" w:cs="仿宋"/>
          <w:sz w:val="24"/>
          <w:szCs w:val="24"/>
          <w:highlight w:val="none"/>
          <w:shd w:val="clear" w:color="auto" w:fill="FFFFFF"/>
        </w:rPr>
      </w:pPr>
      <w:r>
        <w:rPr>
          <w:rFonts w:hint="eastAsia" w:ascii="宋体" w:hAnsi="宋体" w:cs="仿宋"/>
          <w:sz w:val="24"/>
          <w:szCs w:val="24"/>
          <w:highlight w:val="none"/>
          <w:shd w:val="clear" w:color="auto" w:fill="FFFFFF"/>
        </w:rPr>
        <w:t>作为</w:t>
      </w:r>
      <w:r>
        <w:rPr>
          <w:rFonts w:hint="eastAsia" w:ascii="宋体" w:hAnsi="宋体" w:cs="仿宋"/>
          <w:sz w:val="24"/>
          <w:szCs w:val="24"/>
          <w:highlight w:val="none"/>
          <w:u w:val="single"/>
          <w:shd w:val="clear" w:color="auto" w:fill="FFFFFF"/>
          <w:lang w:val="en-US" w:eastAsia="zh-CN"/>
        </w:rPr>
        <w:t xml:space="preserve">    </w:t>
      </w:r>
      <w:r>
        <w:rPr>
          <w:rFonts w:hint="eastAsia" w:ascii="宋体" w:hAnsi="宋体" w:cs="仿宋"/>
          <w:sz w:val="24"/>
          <w:szCs w:val="24"/>
          <w:highlight w:val="none"/>
          <w:shd w:val="clear" w:color="auto" w:fill="FFFFFF"/>
        </w:rPr>
        <w:t>项目承包人，我司对本工程项目的建设施工全过程的安全生产和文明施工负责。</w:t>
      </w:r>
    </w:p>
    <w:p>
      <w:pPr>
        <w:spacing w:line="360" w:lineRule="auto"/>
        <w:ind w:firstLine="480" w:firstLineChars="200"/>
        <w:rPr>
          <w:rFonts w:ascii="宋体" w:hAnsi="宋体" w:cs="仿宋"/>
          <w:sz w:val="24"/>
          <w:szCs w:val="24"/>
          <w:highlight w:val="none"/>
          <w:shd w:val="clear" w:color="auto" w:fill="FFFFFF"/>
        </w:rPr>
      </w:pPr>
      <w:r>
        <w:rPr>
          <w:rFonts w:hint="eastAsia" w:ascii="宋体" w:hAnsi="宋体" w:cs="仿宋"/>
          <w:sz w:val="24"/>
          <w:szCs w:val="24"/>
          <w:highlight w:val="none"/>
          <w:shd w:val="clear" w:color="auto" w:fill="FFFFFF"/>
        </w:rPr>
        <w:t>为切实防范和杜绝本工程建设中的各种不安全因素和安全隐患，满足本工程建设施工过程中的各项安全生产和文明施工管理要求，我司完全履行本工程合同约定的各项职责和义务外，并将严格遵守国家、行业、地方和贵公司颁发、制订和实施的各项安全管理法律、法规、制度等相应的管理规定。特别是对贵公司颁布实施的《XXXXX安全生产十条红线》，我司已充分了解并严格遵守贵司的具体要求，我司在此郑重承诺，在本工程项目建设施工过程中做到绝不触碰以下十条安全红线：</w:t>
      </w:r>
    </w:p>
    <w:p>
      <w:pPr>
        <w:spacing w:line="360" w:lineRule="auto"/>
        <w:ind w:firstLine="480" w:firstLineChars="200"/>
        <w:rPr>
          <w:rFonts w:ascii="宋体" w:hAnsi="宋体" w:cs="仿宋"/>
          <w:sz w:val="24"/>
          <w:szCs w:val="24"/>
          <w:highlight w:val="none"/>
          <w:shd w:val="clear" w:color="auto" w:fill="FFFFFF"/>
        </w:rPr>
      </w:pPr>
      <w:r>
        <w:rPr>
          <w:rFonts w:hint="eastAsia" w:ascii="宋体" w:hAnsi="宋体" w:cs="仿宋"/>
          <w:sz w:val="24"/>
          <w:szCs w:val="24"/>
          <w:highlight w:val="none"/>
          <w:shd w:val="clear" w:color="auto" w:fill="FFFFFF"/>
        </w:rPr>
        <w:t>1．发生一级轻伤事件；</w:t>
      </w:r>
    </w:p>
    <w:p>
      <w:pPr>
        <w:spacing w:line="360" w:lineRule="auto"/>
        <w:ind w:firstLine="480" w:firstLineChars="200"/>
        <w:rPr>
          <w:rFonts w:ascii="宋体" w:hAnsi="宋体" w:cs="仿宋"/>
          <w:sz w:val="24"/>
          <w:szCs w:val="24"/>
          <w:highlight w:val="none"/>
          <w:shd w:val="clear" w:color="auto" w:fill="FFFFFF"/>
        </w:rPr>
      </w:pPr>
      <w:r>
        <w:rPr>
          <w:rFonts w:hint="eastAsia" w:ascii="宋体" w:hAnsi="宋体" w:cs="仿宋"/>
          <w:sz w:val="24"/>
          <w:szCs w:val="24"/>
          <w:highlight w:val="none"/>
          <w:shd w:val="clear" w:color="auto" w:fill="FFFFFF"/>
        </w:rPr>
        <w:t>2．发生重大水质突变事件；</w:t>
      </w:r>
    </w:p>
    <w:p>
      <w:pPr>
        <w:spacing w:line="360" w:lineRule="auto"/>
        <w:ind w:firstLine="480" w:firstLineChars="200"/>
        <w:rPr>
          <w:rFonts w:ascii="宋体" w:hAnsi="宋体" w:cs="仿宋"/>
          <w:sz w:val="24"/>
          <w:szCs w:val="24"/>
          <w:highlight w:val="none"/>
          <w:shd w:val="clear" w:color="auto" w:fill="FFFFFF"/>
        </w:rPr>
      </w:pPr>
      <w:r>
        <w:rPr>
          <w:rFonts w:hint="eastAsia" w:ascii="宋体" w:hAnsi="宋体" w:cs="仿宋"/>
          <w:sz w:val="24"/>
          <w:szCs w:val="24"/>
          <w:highlight w:val="none"/>
          <w:shd w:val="clear" w:color="auto" w:fill="FFFFFF"/>
        </w:rPr>
        <w:t>3．发生火灾事件；</w:t>
      </w:r>
    </w:p>
    <w:p>
      <w:pPr>
        <w:spacing w:line="360" w:lineRule="auto"/>
        <w:ind w:firstLine="480" w:firstLineChars="200"/>
        <w:rPr>
          <w:rFonts w:ascii="宋体" w:hAnsi="宋体" w:cs="仿宋"/>
          <w:sz w:val="24"/>
          <w:szCs w:val="24"/>
          <w:highlight w:val="none"/>
          <w:shd w:val="clear" w:color="auto" w:fill="FFFFFF"/>
        </w:rPr>
      </w:pPr>
      <w:r>
        <w:rPr>
          <w:rFonts w:hint="eastAsia" w:ascii="宋体" w:hAnsi="宋体" w:cs="仿宋"/>
          <w:sz w:val="24"/>
          <w:szCs w:val="24"/>
          <w:highlight w:val="none"/>
          <w:shd w:val="clear" w:color="auto" w:fill="FFFFFF"/>
        </w:rPr>
        <w:t xml:space="preserve">4．开工许可未应备尽备； </w:t>
      </w:r>
    </w:p>
    <w:p>
      <w:pPr>
        <w:spacing w:line="360" w:lineRule="auto"/>
        <w:ind w:firstLine="480" w:firstLineChars="200"/>
        <w:rPr>
          <w:rFonts w:ascii="宋体" w:hAnsi="宋体" w:cs="仿宋"/>
          <w:sz w:val="24"/>
          <w:szCs w:val="24"/>
          <w:highlight w:val="none"/>
          <w:shd w:val="clear" w:color="auto" w:fill="FFFFFF"/>
        </w:rPr>
      </w:pPr>
      <w:r>
        <w:rPr>
          <w:rFonts w:hint="eastAsia" w:ascii="宋体" w:hAnsi="宋体" w:cs="仿宋"/>
          <w:sz w:val="24"/>
          <w:szCs w:val="24"/>
          <w:highlight w:val="none"/>
          <w:shd w:val="clear" w:color="auto" w:fill="FFFFFF"/>
        </w:rPr>
        <w:t>5．危大工程（深基坑、高支模、脚手架、起重吊装、顶管、拆除、爆破）未制定专项施工方案，方案未审批，未按专项方案施工；</w:t>
      </w:r>
    </w:p>
    <w:p>
      <w:pPr>
        <w:spacing w:line="360" w:lineRule="auto"/>
        <w:ind w:firstLine="480" w:firstLineChars="200"/>
        <w:rPr>
          <w:rFonts w:ascii="宋体" w:hAnsi="宋体" w:cs="仿宋"/>
          <w:sz w:val="24"/>
          <w:szCs w:val="24"/>
          <w:highlight w:val="none"/>
          <w:shd w:val="clear" w:color="auto" w:fill="FFFFFF"/>
        </w:rPr>
      </w:pPr>
      <w:r>
        <w:rPr>
          <w:rFonts w:hint="eastAsia" w:ascii="宋体" w:hAnsi="宋体" w:cs="仿宋"/>
          <w:sz w:val="24"/>
          <w:szCs w:val="24"/>
          <w:highlight w:val="none"/>
          <w:shd w:val="clear" w:color="auto" w:fill="FFFFFF"/>
        </w:rPr>
        <w:t>6．危险作业（高处、动火、危险电气、有限空间、动土、吊装、邻近高压输电线路、燃气管道）未审批，未落实防护措施；</w:t>
      </w:r>
    </w:p>
    <w:p>
      <w:pPr>
        <w:spacing w:line="360" w:lineRule="auto"/>
        <w:ind w:firstLine="480" w:firstLineChars="200"/>
        <w:rPr>
          <w:rFonts w:ascii="宋体" w:hAnsi="宋体" w:cs="仿宋"/>
          <w:sz w:val="24"/>
          <w:szCs w:val="24"/>
          <w:highlight w:val="none"/>
          <w:shd w:val="clear" w:color="auto" w:fill="FFFFFF"/>
        </w:rPr>
      </w:pPr>
      <w:r>
        <w:rPr>
          <w:rFonts w:hint="eastAsia" w:ascii="宋体" w:hAnsi="宋体" w:cs="仿宋"/>
          <w:sz w:val="24"/>
          <w:szCs w:val="24"/>
          <w:highlight w:val="none"/>
          <w:shd w:val="clear" w:color="auto" w:fill="FFFFFF"/>
        </w:rPr>
        <w:t>7．易制爆、易制毒、剧毒危险化学品未登记备案；</w:t>
      </w:r>
    </w:p>
    <w:p>
      <w:pPr>
        <w:spacing w:line="360" w:lineRule="auto"/>
        <w:ind w:firstLine="480" w:firstLineChars="200"/>
        <w:rPr>
          <w:rFonts w:ascii="宋体" w:hAnsi="宋体" w:cs="仿宋"/>
          <w:sz w:val="24"/>
          <w:szCs w:val="24"/>
          <w:highlight w:val="none"/>
          <w:shd w:val="clear" w:color="auto" w:fill="FFFFFF"/>
        </w:rPr>
      </w:pPr>
      <w:r>
        <w:rPr>
          <w:rFonts w:hint="eastAsia" w:ascii="宋体" w:hAnsi="宋体" w:cs="仿宋"/>
          <w:sz w:val="24"/>
          <w:szCs w:val="24"/>
          <w:highlight w:val="none"/>
          <w:shd w:val="clear" w:color="auto" w:fill="FFFFFF"/>
        </w:rPr>
        <w:t>8．特种设备无有效检验标识，特种作业人员未持证上岗；</w:t>
      </w:r>
    </w:p>
    <w:p>
      <w:pPr>
        <w:spacing w:line="360" w:lineRule="auto"/>
        <w:ind w:firstLine="480" w:firstLineChars="200"/>
        <w:rPr>
          <w:rFonts w:ascii="宋体" w:hAnsi="宋体" w:cs="仿宋"/>
          <w:sz w:val="24"/>
          <w:szCs w:val="24"/>
          <w:highlight w:val="none"/>
          <w:shd w:val="clear" w:color="auto" w:fill="FFFFFF"/>
        </w:rPr>
      </w:pPr>
      <w:r>
        <w:rPr>
          <w:rFonts w:hint="eastAsia" w:ascii="宋体" w:hAnsi="宋体" w:cs="仿宋"/>
          <w:sz w:val="24"/>
          <w:szCs w:val="24"/>
          <w:highlight w:val="none"/>
          <w:shd w:val="clear" w:color="auto" w:fill="FFFFFF"/>
        </w:rPr>
        <w:t>9．风险分级管控及隐患排查治理制度未制定，制度未落实；</w:t>
      </w:r>
    </w:p>
    <w:p>
      <w:pPr>
        <w:widowControl/>
        <w:spacing w:line="360" w:lineRule="auto"/>
        <w:ind w:firstLine="480" w:firstLineChars="200"/>
        <w:jc w:val="left"/>
        <w:rPr>
          <w:rFonts w:ascii="宋体" w:hAnsi="宋体" w:cs="仿宋"/>
          <w:sz w:val="24"/>
          <w:szCs w:val="24"/>
          <w:highlight w:val="none"/>
          <w:shd w:val="clear" w:color="auto" w:fill="FFFFFF"/>
        </w:rPr>
      </w:pPr>
      <w:r>
        <w:rPr>
          <w:rFonts w:hint="eastAsia" w:ascii="宋体" w:hAnsi="宋体" w:cs="仿宋"/>
          <w:sz w:val="24"/>
          <w:szCs w:val="24"/>
          <w:highlight w:val="none"/>
          <w:shd w:val="clear" w:color="auto" w:fill="FFFFFF"/>
        </w:rPr>
        <w:t>10．发生生产安全事故时瞒报、漏报、迟报。</w:t>
      </w:r>
    </w:p>
    <w:p>
      <w:pPr>
        <w:spacing w:line="360" w:lineRule="auto"/>
        <w:ind w:firstLine="480" w:firstLineChars="200"/>
        <w:rPr>
          <w:rFonts w:ascii="宋体" w:hAnsi="宋体" w:cs="仿宋"/>
          <w:sz w:val="24"/>
          <w:szCs w:val="24"/>
          <w:highlight w:val="none"/>
          <w:shd w:val="clear" w:color="auto" w:fill="FFFFFF"/>
        </w:rPr>
      </w:pPr>
      <w:r>
        <w:rPr>
          <w:rFonts w:hint="eastAsia" w:ascii="宋体" w:hAnsi="宋体" w:cs="仿宋"/>
          <w:sz w:val="24"/>
          <w:szCs w:val="24"/>
          <w:highlight w:val="none"/>
          <w:shd w:val="clear" w:color="auto" w:fill="FFFFFF"/>
        </w:rPr>
        <w:t>如我司在本工程施工中发生触碰上述任意一条红线的情况，我司立即停工整改直至满足贵司安全管理要求；如我司在本工程施工期间发生任何安全事故或违反上述承诺，贵方有权根据贵司的相应管理制度和本工程合同约定，单方面对我司进行处以10万元/次罚款，因此给对方带来损失，我司将予如实赔偿；如发生任何因我司原因触犯了上述十条安全红线的行为，我司自愿承担一切后果和责任，对符合《深圳市水务建设市场主体不良行为认定及应用管理办法》规定的，贵司有权单方对我司进行不良行为认定。</w:t>
      </w:r>
    </w:p>
    <w:p>
      <w:pPr>
        <w:spacing w:line="360" w:lineRule="auto"/>
        <w:ind w:firstLine="480" w:firstLineChars="200"/>
        <w:rPr>
          <w:rFonts w:hint="eastAsia" w:ascii="宋体" w:hAnsi="宋体" w:cs="仿宋"/>
          <w:sz w:val="24"/>
          <w:szCs w:val="24"/>
          <w:highlight w:val="none"/>
          <w:shd w:val="clear" w:color="auto" w:fill="FFFFFF"/>
          <w:lang w:eastAsia="zh-CN"/>
        </w:rPr>
      </w:pPr>
      <w:r>
        <w:rPr>
          <w:rFonts w:hint="eastAsia" w:ascii="宋体" w:hAnsi="宋体" w:cs="仿宋"/>
          <w:sz w:val="24"/>
          <w:szCs w:val="24"/>
          <w:highlight w:val="none"/>
          <w:shd w:val="clear" w:color="auto" w:fill="FFFFFF"/>
        </w:rPr>
        <w:t>本协议书一式肆份，甲、乙双方各持贰份，自甲、乙双方签字并盖章之日起生效</w:t>
      </w:r>
      <w:r>
        <w:rPr>
          <w:rFonts w:hint="eastAsia" w:ascii="宋体" w:hAnsi="宋体" w:cs="仿宋"/>
          <w:sz w:val="24"/>
          <w:szCs w:val="24"/>
          <w:highlight w:val="none"/>
          <w:shd w:val="clear" w:color="auto" w:fill="FFFFFF"/>
          <w:lang w:eastAsia="zh-CN"/>
        </w:rPr>
        <w:t>，</w:t>
      </w:r>
      <w:r>
        <w:rPr>
          <w:rFonts w:hint="eastAsia" w:ascii="宋体" w:hAnsi="宋体" w:cs="仿宋"/>
          <w:sz w:val="24"/>
          <w:szCs w:val="24"/>
          <w:highlight w:val="none"/>
          <w:shd w:val="clear" w:color="auto" w:fill="FFFFFF"/>
        </w:rPr>
        <w:t>本承诺书不可撤销，具有同等效力</w:t>
      </w:r>
      <w:r>
        <w:rPr>
          <w:rFonts w:hint="eastAsia" w:ascii="宋体" w:hAnsi="宋体" w:cs="仿宋"/>
          <w:sz w:val="24"/>
          <w:szCs w:val="24"/>
          <w:highlight w:val="none"/>
          <w:shd w:val="clear" w:color="auto" w:fill="FFFFFF"/>
          <w:lang w:eastAsia="zh-CN"/>
        </w:rPr>
        <w:t>。</w:t>
      </w:r>
    </w:p>
    <w:p>
      <w:pPr>
        <w:spacing w:line="360" w:lineRule="auto"/>
        <w:ind w:firstLine="480" w:firstLineChars="200"/>
        <w:rPr>
          <w:rFonts w:hint="eastAsia" w:ascii="宋体" w:hAnsi="宋体" w:cs="仿宋"/>
          <w:sz w:val="24"/>
          <w:szCs w:val="24"/>
          <w:highlight w:val="none"/>
          <w:shd w:val="clear" w:color="auto" w:fill="FFFFFF"/>
          <w:lang w:eastAsia="zh-CN"/>
        </w:rPr>
      </w:pPr>
    </w:p>
    <w:p>
      <w:pPr>
        <w:spacing w:line="360" w:lineRule="auto"/>
        <w:ind w:firstLine="480" w:firstLineChars="200"/>
        <w:jc w:val="center"/>
        <w:rPr>
          <w:rFonts w:hint="eastAsia" w:ascii="宋体" w:hAnsi="宋体" w:cs="仿宋"/>
          <w:sz w:val="24"/>
          <w:szCs w:val="24"/>
          <w:highlight w:val="none"/>
          <w:shd w:val="clear" w:color="auto" w:fill="FFFFFF"/>
        </w:rPr>
      </w:pPr>
      <w:r>
        <w:rPr>
          <w:rFonts w:hint="eastAsia" w:ascii="宋体" w:hAnsi="宋体" w:cs="仿宋"/>
          <w:sz w:val="24"/>
          <w:szCs w:val="24"/>
          <w:highlight w:val="none"/>
          <w:shd w:val="clear" w:color="auto" w:fill="FFFFFF"/>
          <w:lang w:val="en-US" w:eastAsia="zh-CN"/>
        </w:rPr>
        <w:t xml:space="preserve">  </w:t>
      </w:r>
      <w:r>
        <w:rPr>
          <w:rFonts w:hint="eastAsia" w:ascii="宋体" w:hAnsi="宋体" w:cs="仿宋"/>
          <w:sz w:val="24"/>
          <w:szCs w:val="24"/>
          <w:highlight w:val="none"/>
          <w:shd w:val="clear" w:color="auto" w:fill="FFFFFF"/>
        </w:rPr>
        <w:t>承诺人：</w:t>
      </w:r>
      <w:r>
        <w:rPr>
          <w:rFonts w:hint="eastAsia" w:ascii="宋体" w:hAnsi="宋体" w:cs="仿宋"/>
          <w:sz w:val="24"/>
          <w:szCs w:val="24"/>
          <w:highlight w:val="none"/>
          <w:shd w:val="clear" w:color="auto" w:fill="FFFFFF"/>
          <w:lang w:val="en-US" w:eastAsia="zh-CN"/>
        </w:rPr>
        <w:t xml:space="preserve"> </w:t>
      </w:r>
      <w:r>
        <w:rPr>
          <w:rFonts w:hint="eastAsia" w:ascii="宋体" w:hAnsi="宋体" w:cs="仿宋"/>
          <w:sz w:val="24"/>
          <w:szCs w:val="24"/>
          <w:highlight w:val="none"/>
          <w:shd w:val="clear" w:color="auto" w:fill="FFFFFF"/>
        </w:rPr>
        <w:t xml:space="preserve">                    </w:t>
      </w:r>
    </w:p>
    <w:p>
      <w:pPr>
        <w:spacing w:line="360" w:lineRule="auto"/>
        <w:ind w:firstLine="480" w:firstLineChars="200"/>
        <w:jc w:val="center"/>
        <w:rPr>
          <w:rFonts w:ascii="宋体" w:hAnsi="宋体" w:cs="仿宋"/>
          <w:sz w:val="24"/>
          <w:szCs w:val="24"/>
          <w:highlight w:val="none"/>
          <w:shd w:val="clear" w:color="auto" w:fill="FFFFFF"/>
        </w:rPr>
      </w:pPr>
      <w:r>
        <w:rPr>
          <w:rFonts w:hint="eastAsia" w:ascii="宋体" w:hAnsi="宋体" w:cs="仿宋"/>
          <w:sz w:val="24"/>
          <w:szCs w:val="24"/>
          <w:highlight w:val="none"/>
          <w:shd w:val="clear" w:color="auto" w:fill="FFFFFF"/>
        </w:rPr>
        <w:t xml:space="preserve">          法定代表人签字：</w:t>
      </w:r>
    </w:p>
    <w:p>
      <w:pPr>
        <w:autoSpaceDE w:val="0"/>
        <w:autoSpaceDN w:val="0"/>
        <w:adjustRightInd w:val="0"/>
        <w:snapToGrid w:val="0"/>
        <w:spacing w:line="360" w:lineRule="auto"/>
        <w:ind w:firstLine="480" w:firstLineChars="200"/>
        <w:jc w:val="center"/>
        <w:rPr>
          <w:rFonts w:ascii="宋体" w:hAnsi="宋体" w:cs="仿宋"/>
          <w:sz w:val="24"/>
          <w:szCs w:val="24"/>
          <w:highlight w:val="none"/>
          <w:shd w:val="clear" w:color="auto" w:fill="FFFFFF"/>
        </w:rPr>
      </w:pPr>
      <w:r>
        <w:rPr>
          <w:rFonts w:hint="eastAsia" w:ascii="宋体" w:hAnsi="宋体" w:cs="仿宋"/>
          <w:sz w:val="24"/>
          <w:szCs w:val="24"/>
          <w:highlight w:val="none"/>
          <w:shd w:val="clear" w:color="auto" w:fill="FFFFFF"/>
        </w:rPr>
        <w:t xml:space="preserve">             时间：</w:t>
      </w: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autoSpaceDE w:val="0"/>
        <w:autoSpaceDN w:val="0"/>
        <w:adjustRightInd w:val="0"/>
        <w:snapToGrid w:val="0"/>
        <w:spacing w:line="360" w:lineRule="auto"/>
        <w:ind w:firstLine="482" w:firstLineChars="200"/>
        <w:jc w:val="center"/>
        <w:rPr>
          <w:rFonts w:ascii="宋体" w:hAnsi="宋体" w:cs="仿宋_GB2312"/>
          <w:b/>
          <w:bCs/>
          <w:kern w:val="0"/>
          <w:sz w:val="24"/>
          <w:szCs w:val="24"/>
          <w:highlight w:val="none"/>
        </w:rPr>
      </w:pPr>
    </w:p>
    <w:p>
      <w:pPr>
        <w:pStyle w:val="25"/>
        <w:rPr>
          <w:rFonts w:ascii="宋体" w:hAnsi="宋体" w:cs="仿宋_GB2312"/>
          <w:b/>
          <w:bCs/>
          <w:kern w:val="0"/>
          <w:sz w:val="24"/>
          <w:szCs w:val="24"/>
          <w:highlight w:val="none"/>
        </w:rPr>
      </w:pPr>
    </w:p>
    <w:p>
      <w:pPr>
        <w:rPr>
          <w:rFonts w:hint="eastAsia" w:ascii="宋体" w:hAnsi="宋体" w:cs="仿宋_GB2312"/>
          <w:b/>
          <w:bCs/>
          <w:kern w:val="0"/>
          <w:sz w:val="32"/>
          <w:szCs w:val="32"/>
          <w:highlight w:val="none"/>
        </w:rPr>
      </w:pPr>
      <w:r>
        <w:rPr>
          <w:rFonts w:hint="eastAsia" w:ascii="宋体" w:hAnsi="宋体" w:cs="仿宋_GB2312"/>
          <w:b/>
          <w:bCs/>
          <w:kern w:val="0"/>
          <w:sz w:val="32"/>
          <w:szCs w:val="32"/>
          <w:highlight w:val="none"/>
        </w:rPr>
        <w:br w:type="page"/>
      </w:r>
    </w:p>
    <w:p>
      <w:pPr>
        <w:autoSpaceDE w:val="0"/>
        <w:autoSpaceDN w:val="0"/>
        <w:adjustRightInd w:val="0"/>
        <w:snapToGrid w:val="0"/>
        <w:spacing w:line="360" w:lineRule="auto"/>
        <w:ind w:firstLine="321" w:firstLineChars="100"/>
        <w:jc w:val="left"/>
        <w:outlineLvl w:val="0"/>
        <w:rPr>
          <w:rFonts w:ascii="宋体" w:hAnsi="宋体" w:cs="仿宋_GB2312"/>
          <w:b/>
          <w:bCs/>
          <w:kern w:val="0"/>
          <w:sz w:val="32"/>
          <w:szCs w:val="32"/>
          <w:highlight w:val="none"/>
        </w:rPr>
      </w:pPr>
      <w:r>
        <w:rPr>
          <w:rFonts w:hint="eastAsia" w:ascii="宋体" w:hAnsi="宋体" w:cs="仿宋_GB2312"/>
          <w:b/>
          <w:bCs/>
          <w:kern w:val="0"/>
          <w:sz w:val="32"/>
          <w:szCs w:val="32"/>
          <w:highlight w:val="none"/>
        </w:rPr>
        <w:t>附件3：</w:t>
      </w:r>
    </w:p>
    <w:p>
      <w:pPr>
        <w:autoSpaceDE w:val="0"/>
        <w:autoSpaceDN w:val="0"/>
        <w:adjustRightInd w:val="0"/>
        <w:snapToGrid w:val="0"/>
        <w:spacing w:line="360" w:lineRule="auto"/>
        <w:ind w:firstLine="482" w:firstLineChars="200"/>
        <w:jc w:val="center"/>
        <w:outlineLvl w:val="9"/>
        <w:rPr>
          <w:rFonts w:ascii="宋体" w:hAnsi="宋体" w:cs="仿宋_GB2312"/>
          <w:b/>
          <w:bCs/>
          <w:kern w:val="0"/>
          <w:sz w:val="24"/>
          <w:szCs w:val="24"/>
          <w:highlight w:val="none"/>
        </w:rPr>
      </w:pPr>
      <w:r>
        <w:rPr>
          <w:rFonts w:hint="eastAsia" w:ascii="宋体" w:hAnsi="宋体" w:cs="仿宋_GB2312"/>
          <w:b/>
          <w:bCs/>
          <w:kern w:val="0"/>
          <w:sz w:val="24"/>
          <w:szCs w:val="24"/>
          <w:highlight w:val="none"/>
        </w:rPr>
        <w:t>建设工程廉政责任合同</w:t>
      </w:r>
    </w:p>
    <w:p>
      <w:pPr>
        <w:autoSpaceDE w:val="0"/>
        <w:autoSpaceDN w:val="0"/>
        <w:adjustRightInd w:val="0"/>
        <w:snapToGrid w:val="0"/>
        <w:spacing w:line="360" w:lineRule="auto"/>
        <w:ind w:firstLine="440" w:firstLineChars="200"/>
        <w:jc w:val="left"/>
        <w:rPr>
          <w:rFonts w:hint="eastAsia" w:ascii="宋体" w:hAnsi="宋体" w:eastAsia="宋体" w:cs="仿宋_GB2312"/>
          <w:kern w:val="0"/>
          <w:sz w:val="22"/>
          <w:szCs w:val="22"/>
          <w:highlight w:val="none"/>
          <w:lang w:eastAsia="zh-CN"/>
        </w:rPr>
      </w:pPr>
      <w:r>
        <w:rPr>
          <w:rFonts w:hint="eastAsia" w:ascii="宋体" w:hAnsi="宋体" w:cs="仿宋_GB2312"/>
          <w:kern w:val="0"/>
          <w:sz w:val="22"/>
          <w:szCs w:val="22"/>
          <w:highlight w:val="none"/>
        </w:rPr>
        <w:t>委托人：</w:t>
      </w:r>
      <w:r>
        <w:rPr>
          <w:rFonts w:hint="eastAsia" w:ascii="宋体" w:hAnsi="宋体" w:cs="仿宋_GB2312"/>
          <w:kern w:val="0"/>
          <w:sz w:val="22"/>
          <w:szCs w:val="22"/>
          <w:highlight w:val="none"/>
          <w:u w:val="single"/>
          <w:lang w:val="en-US" w:eastAsia="zh-CN"/>
        </w:rPr>
        <w:t xml:space="preserve"> </w:t>
      </w:r>
    </w:p>
    <w:p>
      <w:pPr>
        <w:autoSpaceDE w:val="0"/>
        <w:autoSpaceDN w:val="0"/>
        <w:adjustRightInd w:val="0"/>
        <w:snapToGrid w:val="0"/>
        <w:spacing w:line="360" w:lineRule="auto"/>
        <w:ind w:firstLine="440" w:firstLineChars="200"/>
        <w:jc w:val="left"/>
        <w:rPr>
          <w:rFonts w:hint="eastAsia" w:ascii="宋体" w:hAnsi="宋体" w:cs="仿宋_GB2312"/>
          <w:kern w:val="0"/>
          <w:sz w:val="22"/>
          <w:szCs w:val="22"/>
          <w:highlight w:val="none"/>
          <w:u w:val="single"/>
          <w:lang w:val="en-US" w:eastAsia="zh-CN"/>
        </w:rPr>
      </w:pPr>
      <w:r>
        <w:rPr>
          <w:rFonts w:hint="eastAsia" w:ascii="宋体" w:hAnsi="宋体" w:cs="仿宋_GB2312"/>
          <w:kern w:val="0"/>
          <w:sz w:val="22"/>
          <w:szCs w:val="22"/>
          <w:highlight w:val="none"/>
        </w:rPr>
        <w:t>受托人：</w:t>
      </w:r>
      <w:r>
        <w:rPr>
          <w:rFonts w:hint="eastAsia" w:ascii="宋体" w:hAnsi="宋体" w:cs="仿宋_GB2312"/>
          <w:kern w:val="0"/>
          <w:sz w:val="22"/>
          <w:szCs w:val="22"/>
          <w:highlight w:val="none"/>
          <w:u w:val="single"/>
          <w:lang w:val="en-US" w:eastAsia="zh-CN"/>
        </w:rPr>
        <w:t xml:space="preserve"> </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为加强工程建设中的廉政建设，规范工程项目委托、受托双方的各项活动，防止发生各种谋取不正当利益的违法违纪行为，确保建设项目工程质量达到国家有关规定，根据国家有关工程建设的法律法规和廉政建设规定，特订立本廉政合同。</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第一条 委托、</w:t>
      </w:r>
      <w:r>
        <w:rPr>
          <w:rFonts w:ascii="宋体" w:hAnsi="宋体" w:cs="仿宋_GB2312"/>
          <w:kern w:val="0"/>
          <w:sz w:val="22"/>
          <w:szCs w:val="22"/>
          <w:highlight w:val="none"/>
        </w:rPr>
        <w:t>受托</w:t>
      </w:r>
      <w:r>
        <w:rPr>
          <w:rFonts w:hint="eastAsia" w:ascii="宋体" w:hAnsi="宋体" w:cs="仿宋_GB2312"/>
          <w:kern w:val="0"/>
          <w:sz w:val="22"/>
          <w:szCs w:val="22"/>
          <w:highlight w:val="none"/>
        </w:rPr>
        <w:t>双方的权利和义务</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（一）严格遵守国家关于市场准入、勘测设计、施工监理、招标投标、工程施工、设备安装和市场经营活动等有关法律法规和相关政策，以及廉政建设的各项规定。</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二）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三）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第二条 委托人的责任</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委托人的负责人和从事该工程项目的工作人员，在工程项目的事前、事中、事后应遵守以下规定：</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（一）不得以任何理由向受托人索要或接受现金、有价证券、通讯工具、交通工具、高档办公用品及其它物品。</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（二）不得在受托人报销应由委托人单位或个人支付的费用。</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（三）不得参加受托人安排的宴请及其他消费活动。</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（四）不得要求、暗示和接受受托人为个人装修房屋及为配偶子女的工作安排以及本人或亲属旅游等提供方便。</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（五）其配偶、子女不得从事与受托人承包工程有关的设备材料供应、工程分包、劳务等经济活动。</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（六）不得以任何理由向受托人推荐分包单位或要求受托人购买项目合同规定以外的材料、设备和服务等。</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（七）不得串通受托人人员在工程质量、工程经济技术签证等方面弄需作假，牟取私利。</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（八）不得肢解工程、指定工程分包单位。</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第三条 受托人的责任</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受托人应与委托人保持正常的业务交往，按照有关法律法规和程序开展业务活动，严格执行工程建设的有关方针、政策，尤其是有关强制性标准和规范，并遵守以下规定：</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（一）不得以任何理由向委托人及其工作人员行贿或赠送现金、有价证券、贵重物品。</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（二）不得以任何名义为委托人及其工作人员报销应由对方支付的费用。</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（三）不得以任何理由宴请委托人工作人员或安排其他消费活动。</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（四）不为委托人单位和工作人员购置或提供通讯工具、交通工具、高档办公用品和装修住房等。</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（五）不得串通委托人人员在工程质量、工程隐蔽、工程经济技术签证等方面弄需作假，牟取私利。</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（六）不得承包工程后又将工程转包，挂靠承包。</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（七）不得违反工程造价管理规定，编制工程预算、决算。</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第四条 违约责任</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（一）委托人工作人员有违反本合同第一、二条责任行为的，按照管理权限，依据有关规定予以处理；涉嫌犯罪的，移交司法机关追究刑事责任；给受托人单位造成经济损失的，应予赔偿。</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（二）受托人工作人员有违反本合同第一、三条责任行为的，按照管理权限，依据有关规定予以处理；涉嫌犯罪的，移交司法机关追究刑事责任；给委托人单位造成经济损失的，应予赔偿。</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第五条 双方约定：在自觉履行合同的同时，由委托人监督单位负责对本合同履行情况进行监督检查。</w:t>
      </w:r>
    </w:p>
    <w:p>
      <w:pPr>
        <w:autoSpaceDE w:val="0"/>
        <w:autoSpaceDN w:val="0"/>
        <w:adjustRightInd w:val="0"/>
        <w:snapToGrid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第六条 本协议书一式肆份，甲、乙双方各持贰份，自甲、乙双方签字并盖章之日起生效。</w:t>
      </w:r>
    </w:p>
    <w:p>
      <w:pPr>
        <w:autoSpaceDE w:val="0"/>
        <w:autoSpaceDN w:val="0"/>
        <w:adjustRightInd w:val="0"/>
        <w:snapToGrid w:val="0"/>
        <w:spacing w:after="200" w:line="300" w:lineRule="auto"/>
        <w:jc w:val="left"/>
        <w:rPr>
          <w:rFonts w:ascii="宋体" w:hAnsi="宋体" w:cs="仿宋_GB2312"/>
          <w:kern w:val="0"/>
          <w:sz w:val="22"/>
          <w:szCs w:val="22"/>
          <w:highlight w:val="none"/>
        </w:rPr>
      </w:pPr>
    </w:p>
    <w:p>
      <w:pPr>
        <w:autoSpaceDE w:val="0"/>
        <w:autoSpaceDN w:val="0"/>
        <w:spacing w:line="360" w:lineRule="auto"/>
        <w:ind w:firstLine="440" w:firstLineChars="200"/>
        <w:jc w:val="left"/>
        <w:rPr>
          <w:rFonts w:hint="eastAsia" w:ascii="宋体" w:hAnsi="宋体" w:cs="仿宋_GB2312"/>
          <w:kern w:val="0"/>
          <w:sz w:val="22"/>
          <w:szCs w:val="22"/>
          <w:highlight w:val="none"/>
        </w:rPr>
        <w:sectPr>
          <w:headerReference r:id="rId4" w:type="default"/>
          <w:footerReference r:id="rId5" w:type="default"/>
          <w:pgSz w:w="11907" w:h="16839"/>
          <w:pgMar w:top="1361" w:right="1304" w:bottom="1304" w:left="1304" w:header="1247" w:footer="737" w:gutter="0"/>
          <w:pgBorders>
            <w:top w:val="none" w:sz="0" w:space="0"/>
            <w:left w:val="none" w:sz="0" w:space="0"/>
            <w:bottom w:val="none" w:sz="0" w:space="0"/>
            <w:right w:val="none" w:sz="0" w:space="0"/>
          </w:pgBorders>
          <w:pgNumType w:start="1"/>
          <w:cols w:space="720" w:num="1"/>
          <w:docGrid w:linePitch="380" w:charSpace="-4301"/>
        </w:sectPr>
      </w:pPr>
    </w:p>
    <w:p>
      <w:pPr>
        <w:autoSpaceDE w:val="0"/>
        <w:autoSpaceDN w:val="0"/>
        <w:spacing w:line="360" w:lineRule="auto"/>
        <w:ind w:left="2197" w:leftChars="208" w:hanging="1760" w:hangingChars="800"/>
        <w:jc w:val="left"/>
        <w:rPr>
          <w:rFonts w:hint="eastAsia" w:ascii="宋体" w:hAnsi="宋体" w:eastAsia="宋体" w:cs="仿宋_GB2312"/>
          <w:kern w:val="0"/>
          <w:sz w:val="22"/>
          <w:szCs w:val="22"/>
          <w:highlight w:val="none"/>
          <w:lang w:eastAsia="zh-CN"/>
        </w:rPr>
      </w:pPr>
      <w:r>
        <w:rPr>
          <w:rFonts w:hint="eastAsia" w:ascii="宋体" w:hAnsi="宋体" w:cs="仿宋_GB2312"/>
          <w:kern w:val="0"/>
          <w:sz w:val="22"/>
          <w:szCs w:val="22"/>
          <w:highlight w:val="none"/>
        </w:rPr>
        <w:t>委托人（盖章）：</w:t>
      </w:r>
      <w:r>
        <w:rPr>
          <w:rFonts w:hint="eastAsia" w:ascii="宋体" w:hAnsi="宋体" w:cs="仿宋_GB2312"/>
          <w:kern w:val="0"/>
          <w:sz w:val="22"/>
          <w:szCs w:val="22"/>
          <w:highlight w:val="none"/>
          <w:lang w:val="en-US" w:eastAsia="zh-CN"/>
        </w:rPr>
        <w:t xml:space="preserve"> </w:t>
      </w:r>
    </w:p>
    <w:p>
      <w:pPr>
        <w:autoSpaceDE w:val="0"/>
        <w:autoSpaceDN w:val="0"/>
        <w:spacing w:line="360" w:lineRule="auto"/>
        <w:ind w:left="2197" w:leftChars="208" w:hanging="1760" w:hangingChars="800"/>
        <w:jc w:val="left"/>
        <w:rPr>
          <w:rFonts w:hint="eastAsia" w:ascii="宋体" w:hAnsi="宋体" w:eastAsia="宋体" w:cs="仿宋_GB2312"/>
          <w:kern w:val="0"/>
          <w:sz w:val="22"/>
          <w:szCs w:val="22"/>
          <w:highlight w:val="none"/>
          <w:lang w:eastAsia="zh-CN"/>
        </w:rPr>
      </w:pPr>
      <w:r>
        <w:rPr>
          <w:rFonts w:hint="eastAsia" w:ascii="宋体" w:hAnsi="宋体" w:cs="仿宋_GB2312"/>
          <w:kern w:val="0"/>
          <w:sz w:val="22"/>
          <w:szCs w:val="22"/>
          <w:highlight w:val="none"/>
        </w:rPr>
        <w:t>受托人（盖章）：</w:t>
      </w:r>
      <w:r>
        <w:rPr>
          <w:rFonts w:hint="eastAsia" w:ascii="宋体" w:hAnsi="宋体" w:cs="仿宋"/>
          <w:sz w:val="22"/>
          <w:szCs w:val="22"/>
          <w:highlight w:val="none"/>
          <w:shd w:val="clear" w:color="auto" w:fill="FFFFFF"/>
          <w:lang w:val="en-US" w:eastAsia="zh-CN"/>
        </w:rPr>
        <w:t xml:space="preserve">  </w:t>
      </w:r>
    </w:p>
    <w:p>
      <w:pPr>
        <w:autoSpaceDE w:val="0"/>
        <w:autoSpaceDN w:val="0"/>
        <w:spacing w:line="360" w:lineRule="auto"/>
        <w:ind w:firstLine="440" w:firstLineChars="200"/>
        <w:jc w:val="left"/>
        <w:rPr>
          <w:rFonts w:ascii="宋体" w:hAnsi="宋体" w:cs="仿宋_GB2312"/>
          <w:kern w:val="0"/>
          <w:sz w:val="22"/>
          <w:szCs w:val="22"/>
          <w:highlight w:val="none"/>
        </w:rPr>
        <w:sectPr>
          <w:type w:val="continuous"/>
          <w:pgSz w:w="11907" w:h="16839"/>
          <w:pgMar w:top="1361" w:right="1304" w:bottom="1304" w:left="1304" w:header="1247" w:footer="737" w:gutter="0"/>
          <w:pgBorders>
            <w:top w:val="none" w:sz="0" w:space="0"/>
            <w:left w:val="none" w:sz="0" w:space="0"/>
            <w:bottom w:val="none" w:sz="0" w:space="0"/>
            <w:right w:val="none" w:sz="0" w:space="0"/>
          </w:pgBorders>
          <w:pgNumType w:start="1"/>
          <w:cols w:equalWidth="0" w:num="2">
            <w:col w:w="4437" w:space="425"/>
            <w:col w:w="4437"/>
          </w:cols>
          <w:docGrid w:linePitch="380" w:charSpace="-4301"/>
        </w:sectPr>
      </w:pPr>
    </w:p>
    <w:p>
      <w:pPr>
        <w:pStyle w:val="25"/>
        <w:rPr>
          <w:highlight w:val="none"/>
        </w:rPr>
      </w:pPr>
    </w:p>
    <w:p>
      <w:pPr>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 xml:space="preserve">法定代表人：                             </w:t>
      </w:r>
      <w:r>
        <w:rPr>
          <w:rFonts w:hint="eastAsia" w:ascii="宋体" w:hAnsi="宋体" w:cs="仿宋_GB2312"/>
          <w:kern w:val="0"/>
          <w:sz w:val="22"/>
          <w:szCs w:val="22"/>
          <w:highlight w:val="none"/>
          <w:lang w:val="en-US" w:eastAsia="zh-CN"/>
        </w:rPr>
        <w:t xml:space="preserve">   </w:t>
      </w:r>
      <w:r>
        <w:rPr>
          <w:rFonts w:hint="eastAsia" w:ascii="宋体" w:hAnsi="宋体" w:cs="仿宋_GB2312"/>
          <w:kern w:val="0"/>
          <w:sz w:val="22"/>
          <w:szCs w:val="22"/>
          <w:highlight w:val="none"/>
        </w:rPr>
        <w:t>法定代表人：</w:t>
      </w:r>
    </w:p>
    <w:p>
      <w:pPr>
        <w:pStyle w:val="19"/>
        <w:ind w:firstLine="418" w:firstLineChars="190"/>
        <w:rPr>
          <w:rFonts w:ascii="宋体" w:hAnsi="宋体" w:cs="仿宋_GB2312"/>
          <w:kern w:val="0"/>
          <w:sz w:val="22"/>
          <w:szCs w:val="22"/>
          <w:highlight w:val="none"/>
        </w:rPr>
      </w:pPr>
      <w:r>
        <w:rPr>
          <w:rFonts w:hint="eastAsia" w:ascii="宋体" w:hAnsi="宋体" w:cs="仿宋_GB2312"/>
          <w:kern w:val="0"/>
          <w:sz w:val="22"/>
          <w:szCs w:val="22"/>
          <w:highlight w:val="none"/>
        </w:rPr>
        <w:t>或授权委托人（签字</w:t>
      </w:r>
      <w:r>
        <w:rPr>
          <w:rFonts w:ascii="宋体" w:hAnsi="宋体" w:cs="仿宋_GB2312"/>
          <w:kern w:val="0"/>
          <w:sz w:val="22"/>
          <w:szCs w:val="22"/>
          <w:highlight w:val="none"/>
        </w:rPr>
        <w:t>或盖章</w:t>
      </w:r>
      <w:r>
        <w:rPr>
          <w:rFonts w:hint="eastAsia" w:ascii="宋体" w:hAnsi="宋体" w:cs="仿宋_GB2312"/>
          <w:kern w:val="0"/>
          <w:sz w:val="22"/>
          <w:szCs w:val="22"/>
          <w:highlight w:val="none"/>
        </w:rPr>
        <w:t xml:space="preserve">）：             </w:t>
      </w:r>
      <w:r>
        <w:rPr>
          <w:rFonts w:hint="eastAsia" w:ascii="宋体" w:hAnsi="宋体" w:cs="仿宋_GB2312"/>
          <w:kern w:val="0"/>
          <w:sz w:val="22"/>
          <w:szCs w:val="22"/>
          <w:highlight w:val="none"/>
          <w:lang w:val="en-US" w:eastAsia="zh-CN"/>
        </w:rPr>
        <w:t xml:space="preserve">   </w:t>
      </w:r>
      <w:r>
        <w:rPr>
          <w:rFonts w:hint="eastAsia" w:ascii="宋体" w:hAnsi="宋体" w:cs="仿宋_GB2312"/>
          <w:kern w:val="0"/>
          <w:sz w:val="22"/>
          <w:szCs w:val="22"/>
          <w:highlight w:val="none"/>
        </w:rPr>
        <w:t>或授权委托人（签字</w:t>
      </w:r>
      <w:r>
        <w:rPr>
          <w:rFonts w:ascii="宋体" w:hAnsi="宋体" w:cs="仿宋_GB2312"/>
          <w:kern w:val="0"/>
          <w:sz w:val="22"/>
          <w:szCs w:val="22"/>
          <w:highlight w:val="none"/>
        </w:rPr>
        <w:t>或盖章</w:t>
      </w:r>
      <w:r>
        <w:rPr>
          <w:rFonts w:hint="eastAsia" w:ascii="宋体" w:hAnsi="宋体" w:cs="仿宋_GB2312"/>
          <w:kern w:val="0"/>
          <w:sz w:val="22"/>
          <w:szCs w:val="22"/>
          <w:highlight w:val="none"/>
        </w:rPr>
        <w:t>）：</w:t>
      </w:r>
    </w:p>
    <w:p>
      <w:pPr>
        <w:pStyle w:val="25"/>
        <w:rPr>
          <w:highlight w:val="none"/>
        </w:rPr>
      </w:pPr>
    </w:p>
    <w:p>
      <w:pPr>
        <w:widowControl/>
        <w:topLinePunct/>
        <w:adjustRightInd w:val="0"/>
        <w:snapToGrid w:val="0"/>
        <w:spacing w:after="200" w:line="300" w:lineRule="auto"/>
        <w:ind w:left="283" w:leftChars="135" w:firstLine="880" w:firstLineChars="400"/>
        <w:rPr>
          <w:rFonts w:ascii="宋体" w:hAnsi="宋体"/>
          <w:b/>
          <w:snapToGrid w:val="0"/>
          <w:kern w:val="0"/>
          <w:sz w:val="22"/>
          <w:szCs w:val="22"/>
          <w:highlight w:val="none"/>
        </w:rPr>
      </w:pPr>
      <w:r>
        <w:rPr>
          <w:rFonts w:hint="eastAsia" w:ascii="宋体" w:hAnsi="宋体" w:cs="仿宋_GB2312"/>
          <w:kern w:val="0"/>
          <w:sz w:val="22"/>
          <w:szCs w:val="22"/>
          <w:highlight w:val="none"/>
        </w:rPr>
        <w:t>年    月　　日　　　　　　                  年　　月　　日</w:t>
      </w:r>
    </w:p>
    <w:p>
      <w:pPr>
        <w:spacing w:after="200" w:line="276" w:lineRule="auto"/>
        <w:jc w:val="left"/>
        <w:rPr>
          <w:rFonts w:ascii="宋体" w:hAnsi="宋体"/>
          <w:sz w:val="22"/>
          <w:szCs w:val="22"/>
          <w:highlight w:val="none"/>
        </w:rPr>
        <w:sectPr>
          <w:type w:val="continuous"/>
          <w:pgSz w:w="11907" w:h="16839"/>
          <w:pgMar w:top="1361" w:right="1304" w:bottom="1304" w:left="1304" w:header="1247" w:footer="737" w:gutter="0"/>
          <w:pgBorders>
            <w:top w:val="none" w:sz="0" w:space="0"/>
            <w:left w:val="none" w:sz="0" w:space="0"/>
            <w:bottom w:val="none" w:sz="0" w:space="0"/>
            <w:right w:val="none" w:sz="0" w:space="0"/>
          </w:pgBorders>
          <w:pgNumType w:start="1"/>
          <w:cols w:space="720" w:num="1"/>
          <w:docGrid w:linePitch="380" w:charSpace="-4301"/>
        </w:sectPr>
      </w:pPr>
    </w:p>
    <w:p>
      <w:pPr>
        <w:spacing w:after="160" w:line="259" w:lineRule="auto"/>
        <w:outlineLvl w:val="0"/>
        <w:rPr>
          <w:rFonts w:ascii="宋体" w:hAnsi="宋体" w:cs="宋体"/>
          <w:b/>
          <w:bCs/>
          <w:sz w:val="24"/>
          <w:szCs w:val="24"/>
          <w:highlight w:val="none"/>
        </w:rPr>
      </w:pPr>
      <w:r>
        <w:rPr>
          <w:rFonts w:ascii="宋体" w:hAnsi="宋体" w:cs="宋体"/>
          <w:b/>
          <w:bCs/>
          <w:sz w:val="24"/>
          <w:szCs w:val="24"/>
          <w:highlight w:val="none"/>
        </w:rPr>
        <w:t>附件</w:t>
      </w:r>
      <w:r>
        <w:rPr>
          <w:rFonts w:hint="eastAsia" w:ascii="宋体" w:hAnsi="宋体" w:cs="宋体"/>
          <w:b/>
          <w:bCs/>
          <w:sz w:val="24"/>
          <w:szCs w:val="24"/>
          <w:highlight w:val="none"/>
        </w:rPr>
        <w:t>4：廉洁项目协议书</w:t>
      </w:r>
    </w:p>
    <w:p>
      <w:pPr>
        <w:autoSpaceDE w:val="0"/>
        <w:autoSpaceDN w:val="0"/>
        <w:adjustRightInd w:val="0"/>
        <w:snapToGrid w:val="0"/>
        <w:spacing w:after="160" w:line="300" w:lineRule="auto"/>
        <w:jc w:val="center"/>
        <w:rPr>
          <w:rFonts w:ascii="宋体" w:hAnsi="宋体" w:cs="仿宋_GB2312"/>
          <w:b/>
          <w:bCs/>
          <w:kern w:val="0"/>
          <w:sz w:val="24"/>
          <w:szCs w:val="24"/>
          <w:highlight w:val="none"/>
        </w:rPr>
      </w:pPr>
      <w:r>
        <w:rPr>
          <w:rFonts w:hint="eastAsia" w:ascii="宋体" w:hAnsi="宋体" w:cs="仿宋_GB2312"/>
          <w:b/>
          <w:bCs/>
          <w:kern w:val="0"/>
          <w:sz w:val="24"/>
          <w:szCs w:val="24"/>
          <w:highlight w:val="none"/>
        </w:rPr>
        <w:t>廉洁项目协议书</w:t>
      </w:r>
    </w:p>
    <w:p>
      <w:pPr>
        <w:autoSpaceDE w:val="0"/>
        <w:autoSpaceDN w:val="0"/>
        <w:adjustRightInd w:val="0"/>
        <w:snapToGrid w:val="0"/>
        <w:spacing w:after="160" w:line="300" w:lineRule="auto"/>
        <w:ind w:firstLine="480" w:firstLineChars="200"/>
        <w:jc w:val="left"/>
        <w:rPr>
          <w:rFonts w:hint="eastAsia" w:ascii="宋体" w:hAnsi="宋体" w:eastAsia="宋体" w:cs="仿宋_GB2312"/>
          <w:kern w:val="0"/>
          <w:sz w:val="24"/>
          <w:szCs w:val="24"/>
          <w:highlight w:val="none"/>
          <w:lang w:eastAsia="zh-CN"/>
        </w:rPr>
      </w:pPr>
      <w:r>
        <w:rPr>
          <w:rFonts w:hint="eastAsia" w:ascii="宋体" w:hAnsi="宋体" w:cs="仿宋_GB2312"/>
          <w:kern w:val="0"/>
          <w:sz w:val="24"/>
          <w:szCs w:val="24"/>
          <w:highlight w:val="none"/>
        </w:rPr>
        <w:t>委托人：</w:t>
      </w:r>
      <w:r>
        <w:rPr>
          <w:rFonts w:hint="eastAsia" w:ascii="宋体" w:hAnsi="宋体" w:cs="仿宋_GB2312"/>
          <w:kern w:val="0"/>
          <w:sz w:val="24"/>
          <w:szCs w:val="24"/>
          <w:highlight w:val="none"/>
          <w:u w:val="single"/>
          <w:lang w:val="en-US" w:eastAsia="zh-CN"/>
        </w:rPr>
        <w:t xml:space="preserve"> </w:t>
      </w:r>
    </w:p>
    <w:p>
      <w:pPr>
        <w:autoSpaceDE w:val="0"/>
        <w:autoSpaceDN w:val="0"/>
        <w:adjustRightInd w:val="0"/>
        <w:snapToGrid w:val="0"/>
        <w:spacing w:after="160" w:line="300" w:lineRule="auto"/>
        <w:ind w:firstLine="480" w:firstLineChars="200"/>
        <w:jc w:val="left"/>
        <w:rPr>
          <w:rFonts w:hint="eastAsia" w:ascii="宋体" w:hAnsi="宋体" w:eastAsia="宋体" w:cs="仿宋_GB2312"/>
          <w:kern w:val="0"/>
          <w:sz w:val="24"/>
          <w:szCs w:val="24"/>
          <w:highlight w:val="none"/>
          <w:lang w:eastAsia="zh-CN"/>
        </w:rPr>
      </w:pPr>
      <w:r>
        <w:rPr>
          <w:rFonts w:hint="eastAsia" w:ascii="宋体" w:hAnsi="宋体" w:cs="仿宋_GB2312"/>
          <w:kern w:val="0"/>
          <w:sz w:val="24"/>
          <w:szCs w:val="24"/>
          <w:highlight w:val="none"/>
        </w:rPr>
        <w:t>受托人：</w:t>
      </w:r>
      <w:r>
        <w:rPr>
          <w:rFonts w:hint="eastAsia" w:ascii="宋体" w:hAnsi="宋体" w:cs="仿宋_GB2312"/>
          <w:kern w:val="0"/>
          <w:sz w:val="24"/>
          <w:szCs w:val="24"/>
          <w:highlight w:val="none"/>
          <w:u w:val="single"/>
          <w:lang w:val="en-US" w:eastAsia="zh-CN"/>
        </w:rPr>
        <w:t xml:space="preserve"> </w:t>
      </w:r>
    </w:p>
    <w:p>
      <w:pPr>
        <w:autoSpaceDE w:val="0"/>
        <w:autoSpaceDN w:val="0"/>
        <w:adjustRightInd w:val="0"/>
        <w:snapToGrid w:val="0"/>
        <w:spacing w:after="160" w:line="300" w:lineRule="auto"/>
        <w:ind w:firstLine="480" w:firstLineChars="200"/>
        <w:jc w:val="left"/>
        <w:rPr>
          <w:rFonts w:hint="eastAsia" w:ascii="宋体" w:hAnsi="宋体" w:eastAsia="宋体" w:cs="仿宋_GB2312"/>
          <w:kern w:val="0"/>
          <w:sz w:val="24"/>
          <w:szCs w:val="24"/>
          <w:highlight w:val="none"/>
          <w:lang w:eastAsia="zh-CN"/>
        </w:rPr>
      </w:pPr>
      <w:r>
        <w:rPr>
          <w:rFonts w:hint="eastAsia" w:ascii="宋体" w:hAnsi="宋体" w:cs="仿宋_GB2312"/>
          <w:kern w:val="0"/>
          <w:sz w:val="24"/>
          <w:szCs w:val="24"/>
          <w:highlight w:val="none"/>
        </w:rPr>
        <w:t>项目名称：</w:t>
      </w:r>
      <w:r>
        <w:rPr>
          <w:rFonts w:hint="eastAsia" w:ascii="宋体" w:hAnsi="宋体" w:cs="仿宋"/>
          <w:sz w:val="24"/>
          <w:szCs w:val="24"/>
          <w:highlight w:val="none"/>
          <w:u w:val="single"/>
          <w:shd w:val="clear" w:color="auto" w:fill="FFFFFF"/>
          <w:lang w:val="en-US" w:eastAsia="zh-CN"/>
        </w:rPr>
        <w:t xml:space="preserve"> </w:t>
      </w:r>
    </w:p>
    <w:p>
      <w:pPr>
        <w:autoSpaceDE w:val="0"/>
        <w:autoSpaceDN w:val="0"/>
        <w:spacing w:line="360" w:lineRule="auto"/>
        <w:ind w:firstLine="480" w:firstLineChars="200"/>
        <w:jc w:val="left"/>
        <w:rPr>
          <w:rFonts w:ascii="宋体" w:hAnsi="宋体" w:cs="仿宋_GB2312"/>
          <w:kern w:val="0"/>
          <w:sz w:val="24"/>
          <w:szCs w:val="24"/>
          <w:highlight w:val="none"/>
        </w:rPr>
      </w:pPr>
      <w:r>
        <w:rPr>
          <w:rFonts w:hint="eastAsia" w:ascii="宋体" w:hAnsi="宋体" w:cs="仿宋_GB2312"/>
          <w:kern w:val="0"/>
          <w:sz w:val="24"/>
          <w:szCs w:val="24"/>
          <w:highlight w:val="none"/>
        </w:rPr>
        <w:t>为规范委托、</w:t>
      </w:r>
      <w:r>
        <w:rPr>
          <w:rFonts w:ascii="宋体" w:hAnsi="宋体" w:cs="仿宋_GB2312"/>
          <w:kern w:val="0"/>
          <w:sz w:val="24"/>
          <w:szCs w:val="24"/>
          <w:highlight w:val="none"/>
        </w:rPr>
        <w:t>受托</w:t>
      </w:r>
      <w:r>
        <w:rPr>
          <w:rFonts w:hint="eastAsia" w:ascii="宋体" w:hAnsi="宋体" w:cs="仿宋_GB2312"/>
          <w:kern w:val="0"/>
          <w:sz w:val="24"/>
          <w:szCs w:val="24"/>
          <w:highlight w:val="none"/>
        </w:rPr>
        <w:t>双方的交易行为，维护公平竞争，预防商业贿赂，根据国家有关法律法规，经双方协商一致，签订本协议书。</w:t>
      </w:r>
    </w:p>
    <w:p>
      <w:pPr>
        <w:autoSpaceDE w:val="0"/>
        <w:autoSpaceDN w:val="0"/>
        <w:spacing w:line="360" w:lineRule="auto"/>
        <w:ind w:firstLine="480" w:firstLineChars="200"/>
        <w:jc w:val="left"/>
        <w:outlineLvl w:val="9"/>
        <w:rPr>
          <w:rFonts w:ascii="宋体" w:hAnsi="宋体" w:cs="仿宋_GB2312"/>
          <w:kern w:val="0"/>
          <w:sz w:val="24"/>
          <w:szCs w:val="24"/>
          <w:highlight w:val="none"/>
        </w:rPr>
      </w:pPr>
      <w:r>
        <w:rPr>
          <w:rFonts w:hint="eastAsia" w:ascii="宋体" w:hAnsi="宋体" w:cs="仿宋_GB2312"/>
          <w:kern w:val="0"/>
          <w:sz w:val="24"/>
          <w:szCs w:val="24"/>
          <w:highlight w:val="none"/>
        </w:rPr>
        <w:t>一、委托、</w:t>
      </w:r>
      <w:r>
        <w:rPr>
          <w:rFonts w:ascii="宋体" w:hAnsi="宋体" w:cs="仿宋_GB2312"/>
          <w:kern w:val="0"/>
          <w:sz w:val="24"/>
          <w:szCs w:val="24"/>
          <w:highlight w:val="none"/>
        </w:rPr>
        <w:t>受托</w:t>
      </w:r>
      <w:r>
        <w:rPr>
          <w:rFonts w:hint="eastAsia" w:ascii="宋体" w:hAnsi="宋体" w:cs="仿宋_GB2312"/>
          <w:kern w:val="0"/>
          <w:sz w:val="24"/>
          <w:szCs w:val="24"/>
          <w:highlight w:val="none"/>
        </w:rPr>
        <w:t>双方共同责任</w:t>
      </w:r>
    </w:p>
    <w:p>
      <w:pPr>
        <w:autoSpaceDE w:val="0"/>
        <w:autoSpaceDN w:val="0"/>
        <w:spacing w:line="360" w:lineRule="auto"/>
        <w:ind w:firstLine="480" w:firstLineChars="200"/>
        <w:jc w:val="left"/>
        <w:rPr>
          <w:rFonts w:ascii="宋体" w:hAnsi="宋体" w:cs="仿宋_GB2312"/>
          <w:kern w:val="0"/>
          <w:sz w:val="24"/>
          <w:szCs w:val="24"/>
          <w:highlight w:val="none"/>
        </w:rPr>
      </w:pPr>
      <w:r>
        <w:rPr>
          <w:rFonts w:hint="eastAsia" w:ascii="宋体" w:hAnsi="宋体" w:cs="仿宋_GB2312"/>
          <w:kern w:val="0"/>
          <w:sz w:val="24"/>
          <w:szCs w:val="24"/>
          <w:highlight w:val="none"/>
        </w:rPr>
        <w:t>严格遵守国家有关法律法规以及廉洁从业的有关规定。</w:t>
      </w:r>
    </w:p>
    <w:p>
      <w:pPr>
        <w:autoSpaceDE w:val="0"/>
        <w:autoSpaceDN w:val="0"/>
        <w:spacing w:line="360" w:lineRule="auto"/>
        <w:ind w:firstLine="480" w:firstLineChars="200"/>
        <w:jc w:val="left"/>
        <w:rPr>
          <w:rFonts w:ascii="宋体" w:hAnsi="宋体" w:cs="仿宋_GB2312"/>
          <w:kern w:val="0"/>
          <w:sz w:val="24"/>
          <w:szCs w:val="24"/>
          <w:highlight w:val="none"/>
        </w:rPr>
      </w:pPr>
      <w:r>
        <w:rPr>
          <w:rFonts w:hint="eastAsia" w:ascii="宋体" w:hAnsi="宋体" w:cs="仿宋_GB2312"/>
          <w:kern w:val="0"/>
          <w:sz w:val="24"/>
          <w:szCs w:val="24"/>
          <w:highlight w:val="none"/>
        </w:rPr>
        <w:t>严格遵守商业道德和市场规则，共同营造公平公正的交易环境。</w:t>
      </w:r>
    </w:p>
    <w:p>
      <w:pPr>
        <w:autoSpaceDE w:val="0"/>
        <w:autoSpaceDN w:val="0"/>
        <w:spacing w:line="360" w:lineRule="auto"/>
        <w:ind w:firstLine="480" w:firstLineChars="200"/>
        <w:jc w:val="left"/>
        <w:rPr>
          <w:rFonts w:ascii="宋体" w:hAnsi="宋体" w:cs="仿宋_GB2312"/>
          <w:kern w:val="0"/>
          <w:sz w:val="24"/>
          <w:szCs w:val="24"/>
          <w:highlight w:val="none"/>
        </w:rPr>
      </w:pPr>
      <w:r>
        <w:rPr>
          <w:rFonts w:hint="eastAsia" w:ascii="宋体" w:hAnsi="宋体" w:cs="仿宋_GB2312"/>
          <w:kern w:val="0"/>
          <w:sz w:val="24"/>
          <w:szCs w:val="24"/>
          <w:highlight w:val="none"/>
        </w:rPr>
        <w:t>加强有关人员的管理和廉洁从业教育，自觉抵制不廉洁行为；在交易过程中发现对方及其工作人员存在违规违纪违法问题，应及时向监察部门或司法机关举报。</w:t>
      </w:r>
    </w:p>
    <w:p>
      <w:pPr>
        <w:autoSpaceDE w:val="0"/>
        <w:autoSpaceDN w:val="0"/>
        <w:spacing w:line="360" w:lineRule="auto"/>
        <w:ind w:firstLine="480" w:firstLineChars="200"/>
        <w:jc w:val="left"/>
        <w:outlineLvl w:val="9"/>
        <w:rPr>
          <w:rFonts w:ascii="宋体" w:hAnsi="宋体" w:cs="仿宋_GB2312"/>
          <w:kern w:val="0"/>
          <w:sz w:val="24"/>
          <w:szCs w:val="24"/>
          <w:highlight w:val="none"/>
        </w:rPr>
      </w:pPr>
      <w:r>
        <w:rPr>
          <w:rFonts w:hint="eastAsia" w:ascii="宋体" w:hAnsi="宋体" w:cs="仿宋_GB2312"/>
          <w:kern w:val="0"/>
          <w:sz w:val="24"/>
          <w:szCs w:val="24"/>
          <w:highlight w:val="none"/>
        </w:rPr>
        <w:t>二</w:t>
      </w:r>
      <w:r>
        <w:rPr>
          <w:rFonts w:ascii="宋体" w:hAnsi="宋体" w:cs="仿宋_GB2312"/>
          <w:kern w:val="0"/>
          <w:sz w:val="24"/>
          <w:szCs w:val="24"/>
          <w:highlight w:val="none"/>
        </w:rPr>
        <w:t>、</w:t>
      </w:r>
      <w:r>
        <w:rPr>
          <w:rFonts w:hint="eastAsia" w:ascii="宋体" w:hAnsi="宋体" w:cs="仿宋_GB2312"/>
          <w:kern w:val="0"/>
          <w:sz w:val="24"/>
          <w:szCs w:val="24"/>
          <w:highlight w:val="none"/>
        </w:rPr>
        <w:t>委托人及其人员的责任</w:t>
      </w:r>
    </w:p>
    <w:p>
      <w:pPr>
        <w:autoSpaceDE w:val="0"/>
        <w:autoSpaceDN w:val="0"/>
        <w:spacing w:line="360" w:lineRule="auto"/>
        <w:ind w:firstLine="480" w:firstLineChars="200"/>
        <w:jc w:val="left"/>
        <w:rPr>
          <w:rFonts w:ascii="宋体" w:hAnsi="宋体" w:cs="仿宋_GB2312"/>
          <w:kern w:val="0"/>
          <w:sz w:val="24"/>
          <w:szCs w:val="24"/>
          <w:highlight w:val="none"/>
        </w:rPr>
      </w:pPr>
      <w:r>
        <w:rPr>
          <w:rFonts w:hint="eastAsia" w:ascii="宋体" w:hAnsi="宋体" w:cs="仿宋_GB2312"/>
          <w:kern w:val="0"/>
          <w:sz w:val="24"/>
          <w:szCs w:val="24"/>
          <w:highlight w:val="none"/>
        </w:rPr>
        <w:t>（一）不得索要或接受受托人及其相关单位、人员提供的折扣费、中介费、佣金、礼金、有价证券、支付凭证、礼品物品等。</w:t>
      </w:r>
    </w:p>
    <w:p>
      <w:pPr>
        <w:autoSpaceDE w:val="0"/>
        <w:autoSpaceDN w:val="0"/>
        <w:spacing w:line="360" w:lineRule="auto"/>
        <w:ind w:firstLine="480" w:firstLineChars="200"/>
        <w:jc w:val="left"/>
        <w:rPr>
          <w:rFonts w:ascii="宋体" w:hAnsi="宋体" w:cs="仿宋_GB2312"/>
          <w:kern w:val="0"/>
          <w:sz w:val="24"/>
          <w:szCs w:val="24"/>
          <w:highlight w:val="none"/>
        </w:rPr>
      </w:pPr>
      <w:r>
        <w:rPr>
          <w:rFonts w:hint="eastAsia" w:ascii="宋体" w:hAnsi="宋体" w:cs="仿宋_GB2312"/>
          <w:kern w:val="0"/>
          <w:sz w:val="24"/>
          <w:szCs w:val="24"/>
          <w:highlight w:val="none"/>
        </w:rPr>
        <w:t>（二）不得在受托人及其相关单位报销任何应由委托人或个人支付的费用。</w:t>
      </w:r>
    </w:p>
    <w:p>
      <w:pPr>
        <w:autoSpaceDE w:val="0"/>
        <w:autoSpaceDN w:val="0"/>
        <w:spacing w:line="360" w:lineRule="auto"/>
        <w:ind w:firstLine="480" w:firstLineChars="200"/>
        <w:jc w:val="left"/>
        <w:rPr>
          <w:rFonts w:ascii="宋体" w:hAnsi="宋体" w:cs="仿宋_GB2312"/>
          <w:kern w:val="0"/>
          <w:sz w:val="24"/>
          <w:szCs w:val="24"/>
          <w:highlight w:val="none"/>
        </w:rPr>
      </w:pPr>
      <w:r>
        <w:rPr>
          <w:rFonts w:hint="eastAsia" w:ascii="宋体" w:hAnsi="宋体" w:cs="仿宋_GB2312"/>
          <w:kern w:val="0"/>
          <w:sz w:val="24"/>
          <w:szCs w:val="24"/>
          <w:highlight w:val="none"/>
        </w:rPr>
        <w:t>（三）不得违反规定在受托人及其相关单位投资入股、合伙经营，不得向受托人单位及人员借款或委托买卖股票、债券等。</w:t>
      </w:r>
    </w:p>
    <w:p>
      <w:pPr>
        <w:autoSpaceDE w:val="0"/>
        <w:autoSpaceDN w:val="0"/>
        <w:spacing w:line="360" w:lineRule="auto"/>
        <w:ind w:firstLine="480" w:firstLineChars="200"/>
        <w:jc w:val="left"/>
        <w:rPr>
          <w:rFonts w:ascii="宋体" w:hAnsi="宋体" w:cs="仿宋_GB2312"/>
          <w:kern w:val="0"/>
          <w:sz w:val="24"/>
          <w:szCs w:val="24"/>
          <w:highlight w:val="none"/>
        </w:rPr>
      </w:pPr>
      <w:r>
        <w:rPr>
          <w:rFonts w:hint="eastAsia" w:ascii="宋体" w:hAnsi="宋体" w:cs="仿宋_GB2312"/>
          <w:kern w:val="0"/>
          <w:sz w:val="24"/>
          <w:szCs w:val="24"/>
          <w:highlight w:val="none"/>
        </w:rPr>
        <w:t>（四）不得要求、暗示和接受受托人及其相关单位和个人为其购买或装修住房、为婚丧嫁娶、配偶和子女的上学或工作以及出国（境）、旅游等提供方便。</w:t>
      </w:r>
    </w:p>
    <w:p>
      <w:pPr>
        <w:autoSpaceDE w:val="0"/>
        <w:autoSpaceDN w:val="0"/>
        <w:spacing w:line="360" w:lineRule="auto"/>
        <w:ind w:firstLine="480" w:firstLineChars="200"/>
        <w:jc w:val="left"/>
        <w:rPr>
          <w:rFonts w:ascii="宋体" w:hAnsi="宋体" w:cs="仿宋_GB2312"/>
          <w:kern w:val="0"/>
          <w:sz w:val="24"/>
          <w:szCs w:val="24"/>
          <w:highlight w:val="none"/>
        </w:rPr>
      </w:pPr>
      <w:r>
        <w:rPr>
          <w:rFonts w:hint="eastAsia" w:ascii="宋体" w:hAnsi="宋体" w:cs="仿宋_GB2312"/>
          <w:kern w:val="0"/>
          <w:sz w:val="24"/>
          <w:szCs w:val="24"/>
          <w:highlight w:val="none"/>
        </w:rPr>
        <w:t>（五）不得参加受托人及其相关单位安排的可能影响公正执行公务的宴请及健身、娱乐等活动。</w:t>
      </w:r>
    </w:p>
    <w:p>
      <w:pPr>
        <w:autoSpaceDE w:val="0"/>
        <w:autoSpaceDN w:val="0"/>
        <w:spacing w:line="360" w:lineRule="auto"/>
        <w:ind w:firstLine="480" w:firstLineChars="200"/>
        <w:jc w:val="left"/>
        <w:rPr>
          <w:rFonts w:ascii="宋体" w:hAnsi="宋体" w:cs="仿宋_GB2312"/>
          <w:kern w:val="0"/>
          <w:sz w:val="24"/>
          <w:szCs w:val="24"/>
          <w:highlight w:val="none"/>
        </w:rPr>
      </w:pPr>
      <w:r>
        <w:rPr>
          <w:rFonts w:hint="eastAsia" w:ascii="宋体" w:hAnsi="宋体" w:cs="仿宋_GB2312"/>
          <w:kern w:val="0"/>
          <w:sz w:val="24"/>
          <w:szCs w:val="24"/>
          <w:highlight w:val="none"/>
        </w:rPr>
        <w:t>（六）不得接受、占用或以明显低于市场价格购买、租用受托人及其相关单位提供的通讯工具、交通工具和办公用品。</w:t>
      </w:r>
    </w:p>
    <w:p>
      <w:pPr>
        <w:tabs>
          <w:tab w:val="left" w:pos="426"/>
          <w:tab w:val="left" w:pos="851"/>
        </w:tabs>
        <w:autoSpaceDE w:val="0"/>
        <w:autoSpaceDN w:val="0"/>
        <w:spacing w:line="360" w:lineRule="auto"/>
        <w:ind w:firstLine="480" w:firstLineChars="200"/>
        <w:jc w:val="left"/>
        <w:rPr>
          <w:rFonts w:ascii="宋体" w:hAnsi="宋体" w:cs="仿宋_GB2312"/>
          <w:kern w:val="0"/>
          <w:sz w:val="24"/>
          <w:szCs w:val="24"/>
          <w:highlight w:val="none"/>
        </w:rPr>
      </w:pPr>
      <w:r>
        <w:rPr>
          <w:rFonts w:hint="eastAsia" w:ascii="宋体" w:hAnsi="宋体" w:cs="仿宋_GB2312"/>
          <w:kern w:val="0"/>
          <w:sz w:val="24"/>
          <w:szCs w:val="24"/>
          <w:highlight w:val="none"/>
        </w:rPr>
        <w:t>（七）不得通过受托人及其相关单位为其配偶、子女及其他特定关系人谋取不正当利益。</w:t>
      </w:r>
    </w:p>
    <w:p>
      <w:pPr>
        <w:tabs>
          <w:tab w:val="left" w:pos="426"/>
          <w:tab w:val="left" w:pos="851"/>
        </w:tabs>
        <w:autoSpaceDE w:val="0"/>
        <w:autoSpaceDN w:val="0"/>
        <w:spacing w:line="360" w:lineRule="auto"/>
        <w:ind w:firstLine="480" w:firstLineChars="200"/>
        <w:jc w:val="left"/>
        <w:rPr>
          <w:rFonts w:ascii="宋体" w:hAnsi="宋体" w:cs="仿宋_GB2312"/>
          <w:kern w:val="0"/>
          <w:sz w:val="22"/>
          <w:szCs w:val="22"/>
          <w:highlight w:val="none"/>
        </w:rPr>
      </w:pPr>
      <w:r>
        <w:rPr>
          <w:rFonts w:hint="eastAsia" w:ascii="宋体" w:hAnsi="宋体" w:cs="仿宋_GB2312"/>
          <w:kern w:val="0"/>
          <w:sz w:val="24"/>
          <w:szCs w:val="24"/>
          <w:highlight w:val="none"/>
        </w:rPr>
        <w:t>（八）不得违反</w:t>
      </w:r>
      <w:r>
        <w:rPr>
          <w:rFonts w:hint="eastAsia" w:ascii="宋体" w:hAnsi="宋体" w:cs="仿宋_GB2312"/>
          <w:kern w:val="0"/>
          <w:sz w:val="22"/>
          <w:szCs w:val="22"/>
          <w:highlight w:val="none"/>
        </w:rPr>
        <w:t>规定在受托人或受托人相关单位兼职或领取兼职工资或报酬；不得利用委托人的商业秘密、业务渠道等谋取个人私利，或将其提供、泄漏给受托人及其它企业和个人。</w:t>
      </w:r>
    </w:p>
    <w:p>
      <w:pPr>
        <w:tabs>
          <w:tab w:val="left" w:pos="426"/>
          <w:tab w:val="left" w:pos="851"/>
        </w:tabs>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（九）不得利用职权和工作之便向受托人提出与交易无关的事项或要求。</w:t>
      </w:r>
    </w:p>
    <w:p>
      <w:pPr>
        <w:tabs>
          <w:tab w:val="left" w:pos="426"/>
          <w:tab w:val="left" w:pos="851"/>
        </w:tabs>
        <w:autoSpaceDE w:val="0"/>
        <w:autoSpaceDN w:val="0"/>
        <w:spacing w:line="360" w:lineRule="auto"/>
        <w:ind w:firstLine="440" w:firstLineChars="200"/>
        <w:jc w:val="left"/>
        <w:outlineLvl w:val="9"/>
        <w:rPr>
          <w:rFonts w:ascii="宋体" w:hAnsi="宋体" w:cs="仿宋_GB2312"/>
          <w:kern w:val="0"/>
          <w:sz w:val="22"/>
          <w:szCs w:val="22"/>
          <w:highlight w:val="none"/>
        </w:rPr>
      </w:pPr>
      <w:r>
        <w:rPr>
          <w:rFonts w:hint="eastAsia" w:ascii="宋体" w:hAnsi="宋体" w:cs="仿宋_GB2312"/>
          <w:kern w:val="0"/>
          <w:sz w:val="22"/>
          <w:szCs w:val="22"/>
          <w:highlight w:val="none"/>
        </w:rPr>
        <w:t>三、受托人及其人员的责任</w:t>
      </w:r>
    </w:p>
    <w:p>
      <w:pPr>
        <w:tabs>
          <w:tab w:val="left" w:pos="426"/>
          <w:tab w:val="left" w:pos="851"/>
        </w:tabs>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（一）不得向委托人及其人员提供折扣费、中介费、佣金、礼金、有价证券、支付凭证、礼品物品等。</w:t>
      </w:r>
    </w:p>
    <w:p>
      <w:pPr>
        <w:tabs>
          <w:tab w:val="left" w:pos="426"/>
          <w:tab w:val="left" w:pos="851"/>
        </w:tabs>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（二）不得为委托人及其人员报销应由委托人或个人支付的费用。</w:t>
      </w:r>
    </w:p>
    <w:p>
      <w:pPr>
        <w:tabs>
          <w:tab w:val="left" w:pos="426"/>
          <w:tab w:val="left" w:pos="851"/>
        </w:tabs>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（三）不得为委托人人员投资入股、个人借款或买卖股票、债券等提供方便。</w:t>
      </w:r>
    </w:p>
    <w:p>
      <w:pPr>
        <w:tabs>
          <w:tab w:val="left" w:pos="426"/>
          <w:tab w:val="left" w:pos="851"/>
        </w:tabs>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（四）不得为委托人人员购买或装修住房、婚丧嫁娶、配偶子女上学或工作以及出国（境）、旅游等提供方便。</w:t>
      </w:r>
    </w:p>
    <w:p>
      <w:pPr>
        <w:tabs>
          <w:tab w:val="left" w:pos="426"/>
          <w:tab w:val="left" w:pos="851"/>
        </w:tabs>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（五）不得为委托人人员安排有可能影响公平交易的宴请、健身、娱乐等活动。</w:t>
      </w:r>
    </w:p>
    <w:p>
      <w:pPr>
        <w:tabs>
          <w:tab w:val="left" w:pos="426"/>
          <w:tab w:val="left" w:pos="851"/>
        </w:tabs>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（六）不得为委托人及其人员购置或以明显低于市场价值提供通讯工具、交通工具和办公用品。</w:t>
      </w:r>
    </w:p>
    <w:p>
      <w:pPr>
        <w:tabs>
          <w:tab w:val="left" w:pos="426"/>
          <w:tab w:val="left" w:pos="851"/>
        </w:tabs>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（七）不得为委托人人员的配偶、子女及其他特定关系人谋取不正当利益提供方便。</w:t>
      </w:r>
    </w:p>
    <w:p>
      <w:pPr>
        <w:tabs>
          <w:tab w:val="left" w:pos="426"/>
          <w:tab w:val="left" w:pos="851"/>
        </w:tabs>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（八）不得违反规定安排委托人人员在受托人或受托人相关企业兼职或领取兼职工资及报酬；不得向委托人人员打探涉及委托人的商业秘密。</w:t>
      </w:r>
    </w:p>
    <w:p>
      <w:pPr>
        <w:tabs>
          <w:tab w:val="left" w:pos="426"/>
          <w:tab w:val="left" w:pos="851"/>
        </w:tabs>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（九）有关部门对涉嫌不廉洁的商业行为进行调查时，受托人有配合提供证据、作证等义务。</w:t>
      </w:r>
    </w:p>
    <w:p>
      <w:pPr>
        <w:tabs>
          <w:tab w:val="left" w:pos="426"/>
          <w:tab w:val="left" w:pos="851"/>
        </w:tabs>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（十）未经委托人书面同意，受托人不得向任何新闻媒体、第三人述及委托人有关人员廉洁从业方面的评价、信息。</w:t>
      </w:r>
    </w:p>
    <w:p>
      <w:pPr>
        <w:tabs>
          <w:tab w:val="left" w:pos="426"/>
          <w:tab w:val="left" w:pos="851"/>
        </w:tabs>
        <w:autoSpaceDE w:val="0"/>
        <w:autoSpaceDN w:val="0"/>
        <w:spacing w:line="360" w:lineRule="auto"/>
        <w:ind w:firstLine="440" w:firstLineChars="200"/>
        <w:jc w:val="left"/>
        <w:outlineLvl w:val="9"/>
        <w:rPr>
          <w:rFonts w:ascii="宋体" w:hAnsi="宋体" w:cs="仿宋_GB2312"/>
          <w:kern w:val="0"/>
          <w:sz w:val="22"/>
          <w:szCs w:val="22"/>
          <w:highlight w:val="none"/>
        </w:rPr>
      </w:pPr>
      <w:r>
        <w:rPr>
          <w:rFonts w:hint="eastAsia" w:ascii="宋体" w:hAnsi="宋体" w:cs="仿宋_GB2312"/>
          <w:kern w:val="0"/>
          <w:sz w:val="22"/>
          <w:szCs w:val="22"/>
          <w:highlight w:val="none"/>
        </w:rPr>
        <w:t>四、违约责任</w:t>
      </w:r>
    </w:p>
    <w:p>
      <w:pPr>
        <w:tabs>
          <w:tab w:val="left" w:pos="426"/>
          <w:tab w:val="left" w:pos="851"/>
        </w:tabs>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（一）委托人及其人员有违反本协议书第一条、第二条规定的，按照管理权限，依据有关法律法规和规定给予有关人员纪律处分或组织处理；涉嫌犯罪的，移交司法机关追究刑事责任。</w:t>
      </w:r>
    </w:p>
    <w:p>
      <w:pPr>
        <w:tabs>
          <w:tab w:val="left" w:pos="426"/>
          <w:tab w:val="left" w:pos="851"/>
        </w:tabs>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二）受托人及其人员有违反本协议书第一条、第三条规定的，根据情况和后果，委托人除有权要求受托人赔偿由此造成的委托人损失外，还将报送纪检监察部门，限制或禁止与其交易；涉嫌犯罪的，报请司法机关依法追究刑事责任。</w:t>
      </w:r>
    </w:p>
    <w:p>
      <w:pPr>
        <w:tabs>
          <w:tab w:val="left" w:pos="426"/>
          <w:tab w:val="left" w:pos="851"/>
        </w:tabs>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五、本协议书经双方签字盖章后生效。</w:t>
      </w:r>
    </w:p>
    <w:p>
      <w:pPr>
        <w:tabs>
          <w:tab w:val="left" w:pos="426"/>
          <w:tab w:val="left" w:pos="851"/>
        </w:tabs>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委托、</w:t>
      </w:r>
      <w:r>
        <w:rPr>
          <w:rFonts w:ascii="宋体" w:hAnsi="宋体" w:cs="仿宋_GB2312"/>
          <w:kern w:val="0"/>
          <w:sz w:val="22"/>
          <w:szCs w:val="22"/>
          <w:highlight w:val="none"/>
        </w:rPr>
        <w:t>受托</w:t>
      </w:r>
      <w:r>
        <w:rPr>
          <w:rFonts w:hint="eastAsia" w:ascii="宋体" w:hAnsi="宋体" w:cs="仿宋_GB2312"/>
          <w:kern w:val="0"/>
          <w:sz w:val="22"/>
          <w:szCs w:val="22"/>
          <w:highlight w:val="none"/>
        </w:rPr>
        <w:t>双方签订交易合同的，本协议书作为交易合同的附件，与交易合同具有同等法律效力；如双方未签订交易合同，本协议书独立有效。</w:t>
      </w:r>
    </w:p>
    <w:p>
      <w:pPr>
        <w:tabs>
          <w:tab w:val="left" w:pos="426"/>
          <w:tab w:val="left" w:pos="851"/>
        </w:tabs>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六、委托、</w:t>
      </w:r>
      <w:r>
        <w:rPr>
          <w:rFonts w:ascii="宋体" w:hAnsi="宋体" w:cs="仿宋_GB2312"/>
          <w:kern w:val="0"/>
          <w:sz w:val="22"/>
          <w:szCs w:val="22"/>
          <w:highlight w:val="none"/>
        </w:rPr>
        <w:t>受托</w:t>
      </w:r>
      <w:r>
        <w:rPr>
          <w:rFonts w:hint="eastAsia" w:ascii="宋体" w:hAnsi="宋体" w:cs="仿宋_GB2312"/>
          <w:kern w:val="0"/>
          <w:sz w:val="22"/>
          <w:szCs w:val="22"/>
          <w:highlight w:val="none"/>
        </w:rPr>
        <w:t>双方及其人员在交易活动完成后，发生或发现违反协议书的行为，按本协议书处理。</w:t>
      </w:r>
    </w:p>
    <w:p>
      <w:pPr>
        <w:tabs>
          <w:tab w:val="left" w:pos="426"/>
          <w:tab w:val="left" w:pos="851"/>
        </w:tabs>
        <w:autoSpaceDE w:val="0"/>
        <w:autoSpaceDN w:val="0"/>
        <w:spacing w:line="360" w:lineRule="auto"/>
        <w:ind w:firstLine="440" w:firstLineChars="200"/>
        <w:jc w:val="left"/>
        <w:rPr>
          <w:rFonts w:hint="eastAsia" w:ascii="宋体" w:hAnsi="宋体" w:cs="仿宋_GB2312"/>
          <w:kern w:val="0"/>
          <w:sz w:val="22"/>
          <w:szCs w:val="22"/>
          <w:highlight w:val="none"/>
        </w:rPr>
      </w:pPr>
      <w:r>
        <w:rPr>
          <w:rFonts w:hint="eastAsia" w:ascii="宋体" w:hAnsi="宋体" w:cs="仿宋_GB2312"/>
          <w:kern w:val="0"/>
          <w:sz w:val="22"/>
          <w:szCs w:val="22"/>
          <w:highlight w:val="none"/>
        </w:rPr>
        <w:t>七</w:t>
      </w:r>
      <w:r>
        <w:rPr>
          <w:rFonts w:ascii="宋体" w:hAnsi="宋体" w:cs="仿宋_GB2312"/>
          <w:kern w:val="0"/>
          <w:sz w:val="22"/>
          <w:szCs w:val="22"/>
          <w:highlight w:val="none"/>
        </w:rPr>
        <w:t>、</w:t>
      </w:r>
      <w:r>
        <w:rPr>
          <w:rFonts w:hint="eastAsia" w:ascii="宋体" w:hAnsi="宋体" w:cs="仿宋_GB2312"/>
          <w:kern w:val="0"/>
          <w:sz w:val="22"/>
          <w:szCs w:val="22"/>
          <w:highlight w:val="none"/>
        </w:rPr>
        <w:t>本协议书一式肆份，甲、乙双方各持贰份，自甲、乙双方签字并盖章之日起生效。</w:t>
      </w:r>
    </w:p>
    <w:p>
      <w:pPr>
        <w:autoSpaceDE w:val="0"/>
        <w:autoSpaceDN w:val="0"/>
        <w:spacing w:line="360" w:lineRule="auto"/>
        <w:ind w:firstLine="440" w:firstLineChars="200"/>
        <w:jc w:val="left"/>
        <w:rPr>
          <w:rFonts w:hint="eastAsia" w:ascii="宋体" w:hAnsi="宋体" w:cs="仿宋_GB2312"/>
          <w:kern w:val="0"/>
          <w:sz w:val="22"/>
          <w:szCs w:val="22"/>
          <w:highlight w:val="none"/>
        </w:rPr>
        <w:sectPr>
          <w:headerReference r:id="rId6" w:type="default"/>
          <w:footerReference r:id="rId7" w:type="default"/>
          <w:pgSz w:w="11907" w:h="16839"/>
          <w:pgMar w:top="1361" w:right="1304" w:bottom="1304" w:left="1304" w:header="1247" w:footer="737" w:gutter="0"/>
          <w:pgBorders>
            <w:top w:val="none" w:sz="0" w:space="0"/>
            <w:left w:val="none" w:sz="0" w:space="0"/>
            <w:bottom w:val="none" w:sz="0" w:space="0"/>
            <w:right w:val="none" w:sz="0" w:space="0"/>
          </w:pgBorders>
          <w:pgNumType w:start="1"/>
          <w:cols w:space="720" w:num="1"/>
          <w:docGrid w:linePitch="380" w:charSpace="-4301"/>
        </w:sectPr>
      </w:pPr>
    </w:p>
    <w:p>
      <w:pPr>
        <w:autoSpaceDE w:val="0"/>
        <w:autoSpaceDN w:val="0"/>
        <w:spacing w:line="360" w:lineRule="auto"/>
        <w:ind w:left="2197" w:leftChars="208" w:hanging="1760" w:hangingChars="800"/>
        <w:jc w:val="left"/>
        <w:rPr>
          <w:rFonts w:hint="eastAsia" w:ascii="宋体" w:hAnsi="宋体" w:eastAsia="宋体" w:cs="仿宋_GB2312"/>
          <w:kern w:val="0"/>
          <w:sz w:val="22"/>
          <w:szCs w:val="22"/>
          <w:highlight w:val="none"/>
          <w:lang w:eastAsia="zh-CN"/>
        </w:rPr>
      </w:pPr>
      <w:r>
        <w:rPr>
          <w:rFonts w:hint="eastAsia" w:ascii="宋体" w:hAnsi="宋体" w:cs="仿宋_GB2312"/>
          <w:kern w:val="0"/>
          <w:sz w:val="22"/>
          <w:szCs w:val="22"/>
          <w:highlight w:val="none"/>
        </w:rPr>
        <w:t>委托人（盖章）：</w:t>
      </w:r>
      <w:r>
        <w:rPr>
          <w:rFonts w:hint="eastAsia" w:ascii="宋体" w:hAnsi="宋体" w:cs="仿宋_GB2312"/>
          <w:kern w:val="0"/>
          <w:sz w:val="22"/>
          <w:szCs w:val="22"/>
          <w:highlight w:val="none"/>
          <w:lang w:val="en-US" w:eastAsia="zh-CN"/>
        </w:rPr>
        <w:t xml:space="preserve"> </w:t>
      </w:r>
    </w:p>
    <w:p>
      <w:pPr>
        <w:autoSpaceDE w:val="0"/>
        <w:autoSpaceDN w:val="0"/>
        <w:spacing w:line="360" w:lineRule="auto"/>
        <w:ind w:left="2197" w:leftChars="208" w:hanging="1760" w:hangingChars="800"/>
        <w:jc w:val="left"/>
        <w:rPr>
          <w:rFonts w:hint="eastAsia" w:ascii="宋体" w:hAnsi="宋体" w:eastAsia="宋体" w:cs="仿宋_GB2312"/>
          <w:kern w:val="0"/>
          <w:sz w:val="22"/>
          <w:szCs w:val="22"/>
          <w:highlight w:val="none"/>
          <w:lang w:eastAsia="zh-CN"/>
        </w:rPr>
      </w:pPr>
      <w:r>
        <w:rPr>
          <w:rFonts w:hint="eastAsia" w:ascii="宋体" w:hAnsi="宋体" w:cs="仿宋_GB2312"/>
          <w:kern w:val="0"/>
          <w:sz w:val="22"/>
          <w:szCs w:val="22"/>
          <w:highlight w:val="none"/>
        </w:rPr>
        <w:t>受托人（盖章）：</w:t>
      </w:r>
      <w:r>
        <w:rPr>
          <w:rFonts w:hint="eastAsia" w:ascii="宋体" w:hAnsi="宋体" w:cs="仿宋"/>
          <w:sz w:val="22"/>
          <w:szCs w:val="22"/>
          <w:highlight w:val="none"/>
          <w:shd w:val="clear" w:color="auto" w:fill="FFFFFF"/>
          <w:lang w:val="en-US" w:eastAsia="zh-CN"/>
        </w:rPr>
        <w:t xml:space="preserve">  </w:t>
      </w:r>
    </w:p>
    <w:p>
      <w:pPr>
        <w:autoSpaceDE w:val="0"/>
        <w:autoSpaceDN w:val="0"/>
        <w:spacing w:line="360" w:lineRule="auto"/>
        <w:ind w:firstLine="440" w:firstLineChars="200"/>
        <w:jc w:val="left"/>
        <w:rPr>
          <w:rFonts w:ascii="宋体" w:hAnsi="宋体" w:cs="仿宋_GB2312"/>
          <w:kern w:val="0"/>
          <w:sz w:val="22"/>
          <w:szCs w:val="22"/>
          <w:highlight w:val="none"/>
        </w:rPr>
        <w:sectPr>
          <w:type w:val="continuous"/>
          <w:pgSz w:w="11907" w:h="16839"/>
          <w:pgMar w:top="1361" w:right="1304" w:bottom="1304" w:left="1304" w:header="1247" w:footer="737" w:gutter="0"/>
          <w:pgBorders>
            <w:top w:val="none" w:sz="0" w:space="0"/>
            <w:left w:val="none" w:sz="0" w:space="0"/>
            <w:bottom w:val="none" w:sz="0" w:space="0"/>
            <w:right w:val="none" w:sz="0" w:space="0"/>
          </w:pgBorders>
          <w:pgNumType w:start="1"/>
          <w:cols w:equalWidth="0" w:num="2">
            <w:col w:w="4437" w:space="425"/>
            <w:col w:w="4437"/>
          </w:cols>
          <w:docGrid w:linePitch="380" w:charSpace="-4301"/>
        </w:sectPr>
      </w:pPr>
    </w:p>
    <w:p>
      <w:pPr>
        <w:pStyle w:val="25"/>
        <w:rPr>
          <w:highlight w:val="none"/>
        </w:rPr>
      </w:pPr>
    </w:p>
    <w:p>
      <w:pPr>
        <w:autoSpaceDE w:val="0"/>
        <w:autoSpaceDN w:val="0"/>
        <w:spacing w:line="360" w:lineRule="auto"/>
        <w:ind w:firstLine="440" w:firstLineChars="200"/>
        <w:jc w:val="left"/>
        <w:rPr>
          <w:rFonts w:ascii="宋体" w:hAnsi="宋体" w:cs="仿宋_GB2312"/>
          <w:kern w:val="0"/>
          <w:sz w:val="22"/>
          <w:szCs w:val="22"/>
          <w:highlight w:val="none"/>
        </w:rPr>
      </w:pPr>
      <w:r>
        <w:rPr>
          <w:rFonts w:hint="eastAsia" w:ascii="宋体" w:hAnsi="宋体" w:cs="仿宋_GB2312"/>
          <w:kern w:val="0"/>
          <w:sz w:val="22"/>
          <w:szCs w:val="22"/>
          <w:highlight w:val="none"/>
        </w:rPr>
        <w:t xml:space="preserve">法定代表人：                             </w:t>
      </w:r>
      <w:r>
        <w:rPr>
          <w:rFonts w:hint="eastAsia" w:ascii="宋体" w:hAnsi="宋体" w:cs="仿宋_GB2312"/>
          <w:kern w:val="0"/>
          <w:sz w:val="22"/>
          <w:szCs w:val="22"/>
          <w:highlight w:val="none"/>
          <w:lang w:val="en-US" w:eastAsia="zh-CN"/>
        </w:rPr>
        <w:t xml:space="preserve">   </w:t>
      </w:r>
      <w:r>
        <w:rPr>
          <w:rFonts w:hint="eastAsia" w:ascii="宋体" w:hAnsi="宋体" w:cs="仿宋_GB2312"/>
          <w:kern w:val="0"/>
          <w:sz w:val="22"/>
          <w:szCs w:val="22"/>
          <w:highlight w:val="none"/>
        </w:rPr>
        <w:t>法定代表人：</w:t>
      </w:r>
    </w:p>
    <w:p>
      <w:pPr>
        <w:pStyle w:val="19"/>
        <w:ind w:firstLine="418" w:firstLineChars="190"/>
        <w:rPr>
          <w:highlight w:val="none"/>
        </w:rPr>
      </w:pPr>
      <w:r>
        <w:rPr>
          <w:rFonts w:hint="eastAsia" w:ascii="宋体" w:hAnsi="宋体" w:cs="仿宋_GB2312"/>
          <w:kern w:val="0"/>
          <w:sz w:val="22"/>
          <w:szCs w:val="22"/>
          <w:highlight w:val="none"/>
        </w:rPr>
        <w:t>或授权委托人（签字</w:t>
      </w:r>
      <w:r>
        <w:rPr>
          <w:rFonts w:ascii="宋体" w:hAnsi="宋体" w:cs="仿宋_GB2312"/>
          <w:kern w:val="0"/>
          <w:sz w:val="22"/>
          <w:szCs w:val="22"/>
          <w:highlight w:val="none"/>
        </w:rPr>
        <w:t>或盖章</w:t>
      </w:r>
      <w:r>
        <w:rPr>
          <w:rFonts w:hint="eastAsia" w:ascii="宋体" w:hAnsi="宋体" w:cs="仿宋_GB2312"/>
          <w:kern w:val="0"/>
          <w:sz w:val="22"/>
          <w:szCs w:val="22"/>
          <w:highlight w:val="none"/>
        </w:rPr>
        <w:t xml:space="preserve">）：             </w:t>
      </w:r>
      <w:r>
        <w:rPr>
          <w:rFonts w:hint="eastAsia" w:ascii="宋体" w:hAnsi="宋体" w:cs="仿宋_GB2312"/>
          <w:kern w:val="0"/>
          <w:sz w:val="22"/>
          <w:szCs w:val="22"/>
          <w:highlight w:val="none"/>
          <w:lang w:val="en-US" w:eastAsia="zh-CN"/>
        </w:rPr>
        <w:t xml:space="preserve">   </w:t>
      </w:r>
      <w:r>
        <w:rPr>
          <w:rFonts w:hint="eastAsia" w:ascii="宋体" w:hAnsi="宋体" w:cs="仿宋_GB2312"/>
          <w:kern w:val="0"/>
          <w:sz w:val="22"/>
          <w:szCs w:val="22"/>
          <w:highlight w:val="none"/>
        </w:rPr>
        <w:t>或授权委托人（签字</w:t>
      </w:r>
      <w:r>
        <w:rPr>
          <w:rFonts w:ascii="宋体" w:hAnsi="宋体" w:cs="仿宋_GB2312"/>
          <w:kern w:val="0"/>
          <w:sz w:val="22"/>
          <w:szCs w:val="22"/>
          <w:highlight w:val="none"/>
        </w:rPr>
        <w:t>或盖章</w:t>
      </w:r>
      <w:r>
        <w:rPr>
          <w:rFonts w:hint="eastAsia" w:ascii="宋体" w:hAnsi="宋体" w:cs="仿宋_GB2312"/>
          <w:kern w:val="0"/>
          <w:sz w:val="22"/>
          <w:szCs w:val="22"/>
          <w:highlight w:val="none"/>
        </w:rPr>
        <w:t>）：</w:t>
      </w:r>
    </w:p>
    <w:p>
      <w:pPr>
        <w:widowControl/>
        <w:topLinePunct/>
        <w:adjustRightInd w:val="0"/>
        <w:snapToGrid w:val="0"/>
        <w:spacing w:after="200" w:line="300" w:lineRule="auto"/>
        <w:ind w:left="283" w:leftChars="135" w:firstLine="880" w:firstLineChars="400"/>
        <w:rPr>
          <w:rFonts w:ascii="宋体" w:hAnsi="宋体"/>
          <w:b/>
          <w:snapToGrid w:val="0"/>
          <w:kern w:val="0"/>
          <w:sz w:val="22"/>
          <w:szCs w:val="22"/>
          <w:highlight w:val="none"/>
        </w:rPr>
      </w:pPr>
      <w:r>
        <w:rPr>
          <w:rFonts w:hint="eastAsia" w:ascii="宋体" w:hAnsi="宋体" w:cs="仿宋_GB2312"/>
          <w:kern w:val="0"/>
          <w:sz w:val="22"/>
          <w:szCs w:val="22"/>
          <w:highlight w:val="none"/>
        </w:rPr>
        <w:t>年    月　　日　　　　　　                  年　　月　　日</w:t>
      </w:r>
    </w:p>
    <w:p>
      <w:pPr>
        <w:spacing w:after="200" w:line="276" w:lineRule="auto"/>
        <w:jc w:val="left"/>
        <w:rPr>
          <w:rFonts w:ascii="宋体" w:hAnsi="宋体"/>
          <w:sz w:val="22"/>
          <w:szCs w:val="22"/>
          <w:highlight w:val="none"/>
        </w:rPr>
        <w:sectPr>
          <w:type w:val="continuous"/>
          <w:pgSz w:w="11907" w:h="16839"/>
          <w:pgMar w:top="1361" w:right="1304" w:bottom="1304" w:left="1304" w:header="1247" w:footer="737" w:gutter="0"/>
          <w:pgBorders>
            <w:top w:val="none" w:sz="0" w:space="0"/>
            <w:left w:val="none" w:sz="0" w:space="0"/>
            <w:bottom w:val="none" w:sz="0" w:space="0"/>
            <w:right w:val="none" w:sz="0" w:space="0"/>
          </w:pgBorders>
          <w:pgNumType w:start="1"/>
          <w:cols w:space="720" w:num="1"/>
          <w:docGrid w:linePitch="380" w:charSpace="-4301"/>
        </w:sectPr>
      </w:pPr>
    </w:p>
    <w:p>
      <w:pPr>
        <w:rPr>
          <w:rFonts w:hint="eastAsia" w:ascii="宋体" w:hAnsi="宋体" w:eastAsia="宋体" w:cs="宋体"/>
          <w:highlight w:val="none"/>
        </w:rPr>
      </w:pPr>
    </w:p>
    <w:p>
      <w:pPr>
        <w:pStyle w:val="26"/>
        <w:spacing w:before="120" w:after="120"/>
        <w:rPr>
          <w:rFonts w:hint="eastAsia" w:ascii="宋体" w:hAnsi="宋体" w:eastAsia="宋体" w:cs="宋体"/>
          <w:sz w:val="36"/>
          <w:highlight w:val="none"/>
        </w:rPr>
      </w:pPr>
      <w:bookmarkStart w:id="379" w:name="_Toc133706529"/>
      <w:bookmarkStart w:id="380" w:name="_Toc133706675"/>
      <w:bookmarkStart w:id="381" w:name="_Toc133706205"/>
      <w:bookmarkStart w:id="382" w:name="_Toc133705463"/>
      <w:r>
        <w:rPr>
          <w:rFonts w:hint="eastAsia" w:ascii="宋体" w:hAnsi="宋体" w:eastAsia="宋体" w:cs="宋体"/>
          <w:sz w:val="36"/>
          <w:highlight w:val="none"/>
        </w:rPr>
        <w:t>第五章  投标文件格式</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379"/>
      <w:bookmarkEnd w:id="380"/>
      <w:bookmarkEnd w:id="381"/>
      <w:bookmarkEnd w:id="382"/>
    </w:p>
    <w:p>
      <w:pPr>
        <w:tabs>
          <w:tab w:val="left" w:pos="7560"/>
        </w:tabs>
        <w:spacing w:line="360" w:lineRule="auto"/>
        <w:rPr>
          <w:rFonts w:hint="eastAsia" w:ascii="宋体" w:hAnsi="宋体" w:eastAsia="宋体" w:cs="宋体"/>
          <w:sz w:val="20"/>
          <w:szCs w:val="21"/>
          <w:highlight w:val="none"/>
        </w:rPr>
      </w:pPr>
    </w:p>
    <w:p>
      <w:pPr>
        <w:tabs>
          <w:tab w:val="left" w:pos="7560"/>
        </w:tabs>
        <w:spacing w:line="360" w:lineRule="auto"/>
        <w:rPr>
          <w:rFonts w:hint="eastAsia" w:ascii="宋体" w:hAnsi="宋体" w:eastAsia="宋体" w:cs="宋体"/>
          <w:sz w:val="20"/>
          <w:szCs w:val="21"/>
          <w:highlight w:val="none"/>
        </w:rPr>
      </w:pPr>
    </w:p>
    <w:p>
      <w:pPr>
        <w:adjustRightInd w:val="0"/>
        <w:snapToGrid w:val="0"/>
        <w:spacing w:line="360" w:lineRule="auto"/>
        <w:jc w:val="center"/>
        <w:rPr>
          <w:rFonts w:hint="eastAsia" w:ascii="宋体" w:hAnsi="宋体" w:eastAsia="宋体" w:cs="宋体"/>
          <w:snapToGrid w:val="0"/>
          <w:sz w:val="36"/>
          <w:szCs w:val="36"/>
          <w:highlight w:val="none"/>
        </w:rPr>
      </w:pPr>
      <w:r>
        <w:rPr>
          <w:rFonts w:hint="eastAsia" w:ascii="宋体" w:hAnsi="宋体" w:cs="宋体"/>
          <w:snapToGrid w:val="0"/>
          <w:sz w:val="36"/>
          <w:szCs w:val="36"/>
          <w:highlight w:val="none"/>
          <w:u w:val="single"/>
          <w:lang w:val="en-US" w:eastAsia="zh-CN"/>
        </w:rPr>
        <w:t>深圳会计进修学院生活用水市政接驳工程（一体化加压设备）</w:t>
      </w:r>
      <w:r>
        <w:rPr>
          <w:rFonts w:hint="eastAsia" w:ascii="宋体" w:hAnsi="宋体" w:eastAsia="宋体" w:cs="宋体"/>
          <w:snapToGrid w:val="0"/>
          <w:sz w:val="36"/>
          <w:szCs w:val="36"/>
          <w:highlight w:val="none"/>
        </w:rPr>
        <w:t>项目</w:t>
      </w:r>
    </w:p>
    <w:p>
      <w:pPr>
        <w:adjustRightInd w:val="0"/>
        <w:snapToGrid w:val="0"/>
        <w:spacing w:line="360" w:lineRule="auto"/>
        <w:jc w:val="center"/>
        <w:rPr>
          <w:rFonts w:hint="eastAsia" w:ascii="宋体" w:hAnsi="宋体" w:eastAsia="宋体" w:cs="宋体"/>
          <w:snapToGrid w:val="0"/>
          <w:sz w:val="52"/>
          <w:szCs w:val="52"/>
          <w:highlight w:val="none"/>
        </w:rPr>
      </w:pPr>
    </w:p>
    <w:p>
      <w:pPr>
        <w:pStyle w:val="2"/>
        <w:rPr>
          <w:rFonts w:hint="eastAsia" w:ascii="宋体" w:hAnsi="宋体" w:eastAsia="宋体" w:cs="宋体"/>
          <w:highlight w:val="none"/>
        </w:rPr>
      </w:pPr>
    </w:p>
    <w:p>
      <w:pPr>
        <w:adjustRightInd w:val="0"/>
        <w:snapToGrid w:val="0"/>
        <w:spacing w:line="360" w:lineRule="auto"/>
        <w:jc w:val="center"/>
        <w:rPr>
          <w:rFonts w:hint="eastAsia" w:ascii="宋体" w:hAnsi="宋体" w:eastAsia="宋体" w:cs="宋体"/>
          <w:snapToGrid w:val="0"/>
          <w:sz w:val="52"/>
          <w:szCs w:val="52"/>
          <w:highlight w:val="none"/>
        </w:rPr>
      </w:pPr>
      <w:r>
        <w:rPr>
          <w:rFonts w:hint="eastAsia" w:ascii="宋体" w:hAnsi="宋体" w:eastAsia="宋体" w:cs="宋体"/>
          <w:snapToGrid w:val="0"/>
          <w:sz w:val="52"/>
          <w:szCs w:val="52"/>
          <w:highlight w:val="none"/>
        </w:rPr>
        <w:t>投标文件</w:t>
      </w:r>
    </w:p>
    <w:p>
      <w:pPr>
        <w:adjustRightInd w:val="0"/>
        <w:snapToGrid w:val="0"/>
        <w:spacing w:line="360" w:lineRule="auto"/>
        <w:jc w:val="both"/>
        <w:rPr>
          <w:rFonts w:hint="eastAsia" w:ascii="宋体" w:hAnsi="宋体" w:eastAsia="宋体" w:cs="宋体"/>
          <w:snapToGrid w:val="0"/>
          <w:sz w:val="52"/>
          <w:szCs w:val="52"/>
          <w:highlight w:val="none"/>
        </w:rPr>
      </w:pPr>
    </w:p>
    <w:p>
      <w:pPr>
        <w:pStyle w:val="7"/>
        <w:jc w:val="center"/>
        <w:rPr>
          <w:rFonts w:hint="eastAsia" w:ascii="宋体" w:hAnsi="宋体" w:eastAsia="宋体" w:cs="宋体"/>
          <w:sz w:val="40"/>
          <w:highlight w:val="none"/>
        </w:rPr>
      </w:pPr>
      <w:bookmarkStart w:id="383" w:name="_Toc2008"/>
      <w:bookmarkStart w:id="384" w:name="_Toc18363"/>
      <w:bookmarkStart w:id="385" w:name="_Toc25135"/>
      <w:bookmarkStart w:id="386" w:name="_Toc31369"/>
      <w:bookmarkStart w:id="387" w:name="_Toc133706530"/>
      <w:bookmarkStart w:id="388" w:name="_Toc21606"/>
      <w:bookmarkStart w:id="389" w:name="_Toc30991"/>
      <w:bookmarkStart w:id="390" w:name="_Toc19461"/>
      <w:bookmarkStart w:id="391" w:name="_Toc15899"/>
      <w:bookmarkStart w:id="392" w:name="_Toc13214"/>
      <w:bookmarkStart w:id="393" w:name="_Toc133705464"/>
      <w:bookmarkStart w:id="394" w:name="_Toc2274"/>
      <w:bookmarkStart w:id="395" w:name="_Toc21125"/>
      <w:bookmarkStart w:id="396" w:name="_Toc133706676"/>
      <w:bookmarkStart w:id="397" w:name="_Toc24527"/>
      <w:bookmarkStart w:id="398" w:name="_Toc14164"/>
      <w:bookmarkStart w:id="399" w:name="_Toc91598749"/>
      <w:bookmarkStart w:id="400" w:name="_Toc133706206"/>
      <w:bookmarkStart w:id="401" w:name="_Toc19626"/>
      <w:bookmarkStart w:id="402" w:name="_Toc41471741"/>
      <w:r>
        <w:rPr>
          <w:rFonts w:hint="eastAsia" w:ascii="宋体" w:hAnsi="宋体" w:eastAsia="宋体" w:cs="宋体"/>
          <w:sz w:val="40"/>
          <w:highlight w:val="none"/>
        </w:rPr>
        <w:t>资格审查文件</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adjustRightInd w:val="0"/>
        <w:snapToGrid w:val="0"/>
        <w:spacing w:line="360" w:lineRule="auto"/>
        <w:jc w:val="center"/>
        <w:rPr>
          <w:rFonts w:hint="eastAsia" w:ascii="宋体" w:hAnsi="宋体" w:eastAsia="宋体" w:cs="宋体"/>
          <w:snapToGrid w:val="0"/>
          <w:sz w:val="44"/>
          <w:szCs w:val="44"/>
          <w:highlight w:val="none"/>
        </w:rPr>
      </w:pPr>
    </w:p>
    <w:p>
      <w:pPr>
        <w:adjustRightInd w:val="0"/>
        <w:snapToGrid w:val="0"/>
        <w:spacing w:line="360" w:lineRule="auto"/>
        <w:jc w:val="both"/>
        <w:rPr>
          <w:rFonts w:hint="eastAsia" w:ascii="宋体" w:hAnsi="宋体" w:eastAsia="宋体" w:cs="宋体"/>
          <w:snapToGrid w:val="0"/>
          <w:sz w:val="44"/>
          <w:szCs w:val="44"/>
          <w:highlight w:val="none"/>
        </w:rPr>
      </w:pPr>
    </w:p>
    <w:p>
      <w:pPr>
        <w:adjustRightInd w:val="0"/>
        <w:snapToGrid w:val="0"/>
        <w:spacing w:line="360" w:lineRule="auto"/>
        <w:ind w:firstLine="1400" w:firstLineChars="500"/>
        <w:jc w:val="left"/>
        <w:rPr>
          <w:rFonts w:hint="eastAsia" w:ascii="宋体" w:hAnsi="宋体" w:eastAsia="宋体" w:cs="宋体"/>
          <w:snapToGrid w:val="0"/>
          <w:sz w:val="28"/>
          <w:szCs w:val="28"/>
          <w:highlight w:val="none"/>
        </w:rPr>
      </w:pPr>
    </w:p>
    <w:p>
      <w:pPr>
        <w:adjustRightInd w:val="0"/>
        <w:snapToGrid w:val="0"/>
        <w:spacing w:line="360" w:lineRule="auto"/>
        <w:ind w:firstLine="1400" w:firstLineChars="500"/>
        <w:jc w:val="left"/>
        <w:rPr>
          <w:rFonts w:hint="eastAsia" w:ascii="宋体" w:hAnsi="宋体" w:eastAsia="宋体" w:cs="宋体"/>
          <w:snapToGrid w:val="0"/>
          <w:sz w:val="28"/>
          <w:szCs w:val="28"/>
          <w:highlight w:val="none"/>
        </w:rPr>
      </w:pPr>
      <w:r>
        <w:rPr>
          <w:rFonts w:hint="eastAsia" w:ascii="宋体" w:hAnsi="宋体" w:eastAsia="宋体" w:cs="宋体"/>
          <w:snapToGrid w:val="0"/>
          <w:sz w:val="28"/>
          <w:szCs w:val="28"/>
          <w:highlight w:val="none"/>
        </w:rPr>
        <w:t>投标人名称：___________________________</w:t>
      </w:r>
    </w:p>
    <w:p>
      <w:pPr>
        <w:adjustRightInd w:val="0"/>
        <w:snapToGrid w:val="0"/>
        <w:spacing w:line="360" w:lineRule="auto"/>
        <w:ind w:firstLine="1400" w:firstLineChars="500"/>
        <w:jc w:val="left"/>
        <w:rPr>
          <w:rFonts w:hint="eastAsia" w:ascii="宋体" w:hAnsi="宋体" w:eastAsia="宋体" w:cs="宋体"/>
          <w:snapToGrid w:val="0"/>
          <w:sz w:val="28"/>
          <w:szCs w:val="28"/>
          <w:highlight w:val="none"/>
        </w:rPr>
      </w:pPr>
      <w:r>
        <w:rPr>
          <w:rFonts w:hint="eastAsia" w:ascii="宋体" w:hAnsi="宋体" w:eastAsia="宋体" w:cs="宋体"/>
          <w:snapToGrid w:val="0"/>
          <w:sz w:val="28"/>
          <w:szCs w:val="28"/>
          <w:highlight w:val="none"/>
        </w:rPr>
        <w:t>投标人代表：___________________________</w:t>
      </w:r>
    </w:p>
    <w:p>
      <w:pPr>
        <w:spacing w:line="360" w:lineRule="auto"/>
        <w:ind w:firstLine="1400" w:firstLineChars="500"/>
        <w:rPr>
          <w:rFonts w:hint="eastAsia" w:ascii="宋体" w:hAnsi="宋体" w:eastAsia="宋体" w:cs="宋体"/>
          <w:snapToGrid w:val="0"/>
          <w:sz w:val="28"/>
          <w:szCs w:val="28"/>
          <w:highlight w:val="none"/>
        </w:rPr>
      </w:pPr>
      <w:r>
        <w:rPr>
          <w:rFonts w:hint="eastAsia" w:ascii="宋体" w:hAnsi="宋体" w:eastAsia="宋体" w:cs="宋体"/>
          <w:snapToGrid w:val="0"/>
          <w:sz w:val="28"/>
          <w:szCs w:val="28"/>
          <w:highlight w:val="none"/>
        </w:rPr>
        <w:t>投标日期：___________年______月______</w:t>
      </w:r>
    </w:p>
    <w:p>
      <w:pPr>
        <w:spacing w:line="360" w:lineRule="auto"/>
        <w:jc w:val="center"/>
        <w:rPr>
          <w:rFonts w:hint="eastAsia" w:ascii="宋体" w:hAnsi="宋体" w:eastAsia="宋体" w:cs="宋体"/>
          <w:sz w:val="32"/>
          <w:szCs w:val="32"/>
          <w:highlight w:val="none"/>
        </w:rPr>
      </w:pPr>
      <w:r>
        <w:rPr>
          <w:rFonts w:hint="eastAsia" w:ascii="宋体" w:hAnsi="宋体" w:eastAsia="宋体" w:cs="宋体"/>
          <w:b/>
          <w:snapToGrid w:val="0"/>
          <w:sz w:val="30"/>
          <w:szCs w:val="30"/>
          <w:highlight w:val="none"/>
        </w:rPr>
        <w:br w:type="page"/>
      </w:r>
      <w:r>
        <w:rPr>
          <w:rFonts w:hint="eastAsia" w:ascii="宋体" w:hAnsi="宋体" w:eastAsia="宋体" w:cs="宋体"/>
          <w:sz w:val="32"/>
          <w:szCs w:val="32"/>
          <w:highlight w:val="none"/>
        </w:rPr>
        <w:t>资格审查文件目录</w:t>
      </w:r>
    </w:p>
    <w:p>
      <w:pPr>
        <w:spacing w:line="360" w:lineRule="auto"/>
        <w:rPr>
          <w:rFonts w:hint="eastAsia" w:ascii="宋体" w:hAnsi="宋体" w:eastAsia="宋体" w:cs="宋体"/>
          <w:sz w:val="22"/>
          <w:highlight w:val="none"/>
        </w:rPr>
      </w:pPr>
    </w:p>
    <w:p>
      <w:pPr>
        <w:adjustRightInd w:val="0"/>
        <w:snapToGrid w:val="0"/>
        <w:spacing w:before="156" w:beforeLines="50"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1、法定代表人证明书、法定代表人授权委托书、法定代表人身份证复印件、被授权委托人身份证复印件；</w:t>
      </w:r>
    </w:p>
    <w:p>
      <w:pPr>
        <w:adjustRightInd w:val="0"/>
        <w:snapToGrid w:val="0"/>
        <w:spacing w:before="156" w:beforeLines="50"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2、制造商营业执照等证明文件原件扫描件（投标人为制造商或代理商时均需提供）（加盖投标人公章）；</w:t>
      </w:r>
    </w:p>
    <w:p>
      <w:pPr>
        <w:adjustRightInd w:val="0"/>
        <w:snapToGrid w:val="0"/>
        <w:spacing w:before="156" w:beforeLines="50"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3、代理商营业执照原件扫描件（代理商投标时提供）（加盖投标人公章）；</w:t>
      </w:r>
    </w:p>
    <w:p>
      <w:pPr>
        <w:adjustRightInd w:val="0"/>
        <w:snapToGrid w:val="0"/>
        <w:spacing w:before="156" w:beforeLines="50"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4、制造商的资格声明原件扫描件（投标人为制造商或代理商时均需提供）；</w:t>
      </w:r>
    </w:p>
    <w:p>
      <w:pPr>
        <w:adjustRightInd w:val="0"/>
        <w:snapToGrid w:val="0"/>
        <w:spacing w:before="156" w:beforeLines="50"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5、代理商的资格声明原件扫描件（投标人如为代理商则需提供）；</w:t>
      </w:r>
    </w:p>
    <w:p>
      <w:pPr>
        <w:adjustRightInd w:val="0"/>
        <w:snapToGrid w:val="0"/>
        <w:spacing w:before="156" w:beforeLines="50"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6、制造商出具的授权函原件扫描件（代理商投标时提供）；</w:t>
      </w:r>
    </w:p>
    <w:p>
      <w:pPr>
        <w:pStyle w:val="4"/>
        <w:spacing w:line="360" w:lineRule="auto"/>
        <w:rPr>
          <w:rFonts w:hint="eastAsia" w:ascii="宋体" w:hAnsi="宋体" w:eastAsia="宋体" w:cs="宋体"/>
          <w:highlight w:val="none"/>
        </w:rPr>
      </w:pPr>
      <w:r>
        <w:rPr>
          <w:rFonts w:hint="eastAsia" w:ascii="宋体" w:hAnsi="宋体" w:eastAsia="宋体" w:cs="宋体"/>
          <w:kern w:val="2"/>
          <w:sz w:val="22"/>
          <w:szCs w:val="22"/>
          <w:highlight w:val="none"/>
        </w:rPr>
        <w:t>7、招标人要求提供的与投标人条件审查有关的其他资格证明材料。</w:t>
      </w:r>
      <w:r>
        <w:rPr>
          <w:rFonts w:hint="eastAsia" w:ascii="宋体" w:hAnsi="宋体" w:eastAsia="宋体" w:cs="宋体"/>
          <w:sz w:val="22"/>
          <w:szCs w:val="22"/>
          <w:highlight w:val="none"/>
        </w:rPr>
        <w:br w:type="page"/>
      </w:r>
    </w:p>
    <w:p>
      <w:pPr>
        <w:topLinePunct/>
        <w:adjustRightInd w:val="0"/>
        <w:snapToGrid w:val="0"/>
        <w:spacing w:line="360" w:lineRule="auto"/>
        <w:ind w:firstLine="482" w:firstLineChars="200"/>
        <w:jc w:val="center"/>
        <w:rPr>
          <w:rFonts w:hint="eastAsia" w:ascii="宋体" w:hAnsi="宋体" w:eastAsia="宋体" w:cs="宋体"/>
          <w:b/>
          <w:bCs/>
          <w:kern w:val="0"/>
          <w:sz w:val="24"/>
          <w:szCs w:val="24"/>
          <w:highlight w:val="none"/>
        </w:rPr>
      </w:pPr>
      <w:bookmarkStart w:id="403" w:name="_Toc91600744"/>
      <w:bookmarkStart w:id="404" w:name="_Toc27720"/>
      <w:bookmarkStart w:id="405" w:name="_Toc22718"/>
      <w:bookmarkStart w:id="406" w:name="_Toc13502"/>
      <w:bookmarkStart w:id="407" w:name="_Toc21329"/>
      <w:bookmarkStart w:id="408" w:name="_Toc133706532"/>
      <w:bookmarkStart w:id="409" w:name="_Toc16926"/>
      <w:bookmarkStart w:id="410" w:name="_Toc10153"/>
      <w:bookmarkStart w:id="411" w:name="_Toc31057"/>
      <w:bookmarkStart w:id="412" w:name="_Toc25843"/>
      <w:bookmarkStart w:id="413" w:name="_Toc4551"/>
      <w:bookmarkStart w:id="414" w:name="_Toc22201"/>
      <w:bookmarkStart w:id="415" w:name="_Toc13691"/>
      <w:bookmarkStart w:id="416" w:name="_Toc133706678"/>
      <w:bookmarkStart w:id="417" w:name="_Toc18588"/>
      <w:bookmarkStart w:id="418" w:name="_Toc133706208"/>
      <w:bookmarkStart w:id="419" w:name="_Toc91598751"/>
      <w:bookmarkStart w:id="420" w:name="_Toc10925"/>
      <w:bookmarkStart w:id="421" w:name="_Toc6243"/>
      <w:bookmarkStart w:id="422" w:name="_Toc8710"/>
      <w:bookmarkStart w:id="423" w:name="_Toc133705466"/>
      <w:r>
        <w:rPr>
          <w:rFonts w:hint="eastAsia" w:ascii="宋体" w:hAnsi="宋体" w:eastAsia="宋体" w:cs="宋体"/>
          <w:b/>
          <w:bCs/>
          <w:kern w:val="0"/>
          <w:sz w:val="24"/>
          <w:szCs w:val="24"/>
          <w:highlight w:val="none"/>
        </w:rPr>
        <w:t>制造商出具的授权函</w:t>
      </w:r>
    </w:p>
    <w:p>
      <w:pPr>
        <w:tabs>
          <w:tab w:val="left" w:pos="5580"/>
        </w:tabs>
        <w:topLinePunct/>
        <w:adjustRightInd w:val="0"/>
        <w:snapToGrid w:val="0"/>
        <w:spacing w:line="360" w:lineRule="auto"/>
        <w:jc w:val="left"/>
        <w:rPr>
          <w:rFonts w:hint="eastAsia" w:ascii="宋体" w:hAnsi="宋体" w:eastAsia="宋体" w:cs="宋体"/>
          <w:kern w:val="0"/>
          <w:highlight w:val="none"/>
        </w:rPr>
      </w:pPr>
    </w:p>
    <w:p>
      <w:pPr>
        <w:tabs>
          <w:tab w:val="left" w:pos="5580"/>
        </w:tabs>
        <w:topLinePunct/>
        <w:adjustRightInd w:val="0"/>
        <w:snapToGrid w:val="0"/>
        <w:spacing w:line="360" w:lineRule="auto"/>
        <w:jc w:val="left"/>
        <w:rPr>
          <w:rFonts w:hint="default" w:ascii="宋体" w:hAnsi="宋体" w:eastAsia="宋体" w:cs="宋体"/>
          <w:kern w:val="0"/>
          <w:highlight w:val="none"/>
          <w:u w:val="single"/>
          <w:lang w:val="en-US" w:eastAsia="zh-CN"/>
        </w:rPr>
      </w:pPr>
      <w:r>
        <w:rPr>
          <w:rFonts w:hint="eastAsia" w:ascii="宋体" w:hAnsi="宋体" w:eastAsia="宋体" w:cs="宋体"/>
          <w:kern w:val="0"/>
          <w:highlight w:val="none"/>
        </w:rPr>
        <w:t>致：</w:t>
      </w:r>
      <w:r>
        <w:rPr>
          <w:rFonts w:hint="eastAsia" w:asciiTheme="minorEastAsia" w:hAnsiTheme="minorEastAsia" w:eastAsiaTheme="minorEastAsia" w:cstheme="minorEastAsia"/>
          <w:szCs w:val="21"/>
          <w:highlight w:val="none"/>
          <w:u w:val="single"/>
        </w:rPr>
        <w:t>深圳市环水建设工程有限公司</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我们_____________________是按___________________法律成立的一家制造商，主要营业地点设在________________________。兹指派按___________________的法律正式成立的，主要营业地点设在_________________的_________________作为我方真正唯一的合法的代理人进行下列有效的活动：</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(1)代表我方办理贵方</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项目的投标要求提供的由我方制造的货物的有关事宜，并对我方具有约束力。</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(2)作为制造商，我方保证以投标合作者来约束自己，并对该投标共同和分别承担招标文件中所规定的义务。</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(3)我方兹授予_______________全权办理和履行上述我方为完成上述各点所必须的事宜，具有替换或撤销的全权。兹确认_________________或其正式授权代表依此合法地办理一切事宜。</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(4)我方于__________年____月____日签署本文件，____________________于______年____月____日接受此件，以此为证。</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制造商名称（公章）_________________   代理商名称（公章）____________________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签字人职务和部门：_________________   签字人职务和部门：____________________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签字人姓名：_______________________   签字人姓名：__________________________</w:t>
      </w:r>
    </w:p>
    <w:p>
      <w:pPr>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签字人签名：_______________________   签字人签名：__________________________</w:t>
      </w:r>
    </w:p>
    <w:p>
      <w:pPr>
        <w:topLinePunct/>
        <w:adjustRightInd w:val="0"/>
        <w:snapToGrid w:val="0"/>
        <w:spacing w:line="360" w:lineRule="auto"/>
        <w:jc w:val="center"/>
        <w:rPr>
          <w:rFonts w:hint="eastAsia" w:ascii="宋体" w:hAnsi="宋体" w:eastAsia="宋体" w:cs="宋体"/>
          <w:b/>
          <w:bCs/>
          <w:kern w:val="0"/>
          <w:sz w:val="32"/>
          <w:szCs w:val="32"/>
          <w:highlight w:val="none"/>
        </w:rPr>
        <w:sectPr>
          <w:headerReference r:id="rId8" w:type="default"/>
          <w:footerReference r:id="rId9" w:type="default"/>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topLinePunct/>
        <w:adjustRightInd w:val="0"/>
        <w:snapToGrid w:val="0"/>
        <w:spacing w:line="360" w:lineRule="auto"/>
        <w:ind w:firstLine="482" w:firstLineChars="20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制造商</w:t>
      </w:r>
      <w:r>
        <w:rPr>
          <w:rFonts w:hint="eastAsia" w:ascii="宋体" w:hAnsi="宋体" w:eastAsia="宋体" w:cs="宋体"/>
          <w:b/>
          <w:bCs/>
          <w:kern w:val="0"/>
          <w:sz w:val="24"/>
          <w:szCs w:val="24"/>
          <w:highlight w:val="none"/>
        </w:rPr>
        <w:t>的资格声明</w:t>
      </w:r>
    </w:p>
    <w:p>
      <w:pPr>
        <w:tabs>
          <w:tab w:val="left" w:pos="5580"/>
        </w:tabs>
        <w:topLinePunct/>
        <w:adjustRightInd w:val="0"/>
        <w:snapToGri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1、名称及概况：</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(1)制造厂家名称：</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(2)地址及邮编：</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(3)成立和注册日期：</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(4)主管部门：</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(5)企业性质：</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(6)法人代表：</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(7)职员人数：</w:t>
      </w:r>
    </w:p>
    <w:p>
      <w:pPr>
        <w:tabs>
          <w:tab w:val="left" w:pos="5580"/>
        </w:tabs>
        <w:topLinePunct/>
        <w:adjustRightInd w:val="0"/>
        <w:snapToGrid w:val="0"/>
        <w:spacing w:line="360" w:lineRule="auto"/>
        <w:ind w:firstLine="840" w:firstLineChars="400"/>
        <w:jc w:val="left"/>
        <w:rPr>
          <w:rFonts w:hint="eastAsia" w:ascii="宋体" w:hAnsi="宋体" w:eastAsia="宋体" w:cs="宋体"/>
          <w:kern w:val="0"/>
          <w:highlight w:val="none"/>
        </w:rPr>
      </w:pPr>
      <w:r>
        <w:rPr>
          <w:rFonts w:hint="eastAsia" w:ascii="宋体" w:hAnsi="宋体" w:eastAsia="宋体" w:cs="宋体"/>
          <w:kern w:val="0"/>
          <w:highlight w:val="none"/>
        </w:rPr>
        <w:t>一般工人：_________________ 技术人员：_____________________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(8)近期资产负债表（到_____________年____月_____日止）</w:t>
      </w:r>
    </w:p>
    <w:p>
      <w:pPr>
        <w:tabs>
          <w:tab w:val="left" w:pos="582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(1)固定资产：</w:t>
      </w:r>
    </w:p>
    <w:p>
      <w:pPr>
        <w:tabs>
          <w:tab w:val="left" w:pos="5580"/>
        </w:tabs>
        <w:topLinePunct/>
        <w:adjustRightInd w:val="0"/>
        <w:snapToGrid w:val="0"/>
        <w:spacing w:line="360" w:lineRule="auto"/>
        <w:ind w:firstLine="840" w:firstLineChars="400"/>
        <w:jc w:val="left"/>
        <w:rPr>
          <w:rFonts w:hint="eastAsia" w:ascii="宋体" w:hAnsi="宋体" w:eastAsia="宋体" w:cs="宋体"/>
          <w:kern w:val="0"/>
          <w:highlight w:val="none"/>
        </w:rPr>
      </w:pPr>
      <w:r>
        <w:rPr>
          <w:rFonts w:hint="eastAsia" w:ascii="宋体" w:hAnsi="宋体" w:eastAsia="宋体" w:cs="宋体"/>
          <w:kern w:val="0"/>
          <w:highlight w:val="none"/>
        </w:rPr>
        <w:t>原值：____________________净值：_________________________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(2)流动资金：</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(3)长期负债：</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(4)短期负债：</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(5)资金来源</w:t>
      </w:r>
    </w:p>
    <w:p>
      <w:pPr>
        <w:tabs>
          <w:tab w:val="left" w:pos="5580"/>
        </w:tabs>
        <w:topLinePunct/>
        <w:adjustRightInd w:val="0"/>
        <w:snapToGrid w:val="0"/>
        <w:spacing w:line="360" w:lineRule="auto"/>
        <w:ind w:firstLine="840" w:firstLineChars="400"/>
        <w:jc w:val="left"/>
        <w:rPr>
          <w:rFonts w:hint="eastAsia" w:ascii="宋体" w:hAnsi="宋体" w:eastAsia="宋体" w:cs="宋体"/>
          <w:kern w:val="0"/>
          <w:highlight w:val="none"/>
        </w:rPr>
      </w:pPr>
      <w:r>
        <w:rPr>
          <w:rFonts w:hint="eastAsia" w:ascii="宋体" w:hAnsi="宋体" w:eastAsia="宋体" w:cs="宋体"/>
          <w:kern w:val="0"/>
          <w:highlight w:val="none"/>
        </w:rPr>
        <w:t>自有资金：________________银行贷款：_____________________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(6)资金类型：</w:t>
      </w:r>
    </w:p>
    <w:p>
      <w:pPr>
        <w:tabs>
          <w:tab w:val="left" w:pos="5580"/>
        </w:tabs>
        <w:topLinePunct/>
        <w:adjustRightInd w:val="0"/>
        <w:snapToGrid w:val="0"/>
        <w:spacing w:line="360" w:lineRule="auto"/>
        <w:ind w:firstLine="840" w:firstLineChars="400"/>
        <w:jc w:val="left"/>
        <w:rPr>
          <w:rFonts w:hint="eastAsia" w:ascii="宋体" w:hAnsi="宋体" w:eastAsia="宋体" w:cs="宋体"/>
          <w:kern w:val="0"/>
          <w:highlight w:val="none"/>
        </w:rPr>
      </w:pPr>
      <w:r>
        <w:rPr>
          <w:rFonts w:hint="eastAsia" w:ascii="宋体" w:hAnsi="宋体" w:eastAsia="宋体" w:cs="宋体"/>
          <w:kern w:val="0"/>
          <w:highlight w:val="none"/>
        </w:rPr>
        <w:t>生产资金：________________非生产资金：___________________</w:t>
      </w:r>
    </w:p>
    <w:p>
      <w:pPr>
        <w:tabs>
          <w:tab w:val="left" w:pos="5580"/>
        </w:tabs>
        <w:topLinePunct/>
        <w:adjustRightInd w:val="0"/>
        <w:snapToGri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2、(1)关于制造投标货物的设施及其他情况：</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工厂名称地址      生产的项目      年生产能力         职工人数</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(2)本制造厂不生产，而须从其他制造厂购买的主要零部件</w:t>
      </w:r>
    </w:p>
    <w:p>
      <w:pPr>
        <w:tabs>
          <w:tab w:val="left" w:pos="5580"/>
        </w:tabs>
        <w:topLinePunct/>
        <w:adjustRightInd w:val="0"/>
        <w:snapToGrid w:val="0"/>
        <w:spacing w:line="360" w:lineRule="auto"/>
        <w:ind w:firstLine="840" w:firstLineChars="400"/>
        <w:jc w:val="left"/>
        <w:rPr>
          <w:rFonts w:hint="eastAsia" w:ascii="宋体" w:hAnsi="宋体" w:eastAsia="宋体" w:cs="宋体"/>
          <w:kern w:val="0"/>
          <w:highlight w:val="none"/>
        </w:rPr>
      </w:pPr>
      <w:r>
        <w:rPr>
          <w:rFonts w:hint="eastAsia" w:ascii="宋体" w:hAnsi="宋体" w:eastAsia="宋体" w:cs="宋体"/>
          <w:kern w:val="0"/>
          <w:highlight w:val="none"/>
        </w:rPr>
        <w:t>制造厂家名称和地址</w:t>
      </w:r>
    </w:p>
    <w:p>
      <w:pPr>
        <w:tabs>
          <w:tab w:val="left" w:pos="5580"/>
        </w:tabs>
        <w:topLinePunct/>
        <w:adjustRightInd w:val="0"/>
        <w:snapToGrid w:val="0"/>
        <w:spacing w:line="360" w:lineRule="auto"/>
        <w:ind w:firstLine="840" w:firstLineChars="400"/>
        <w:jc w:val="left"/>
        <w:rPr>
          <w:rFonts w:hint="eastAsia" w:ascii="宋体" w:hAnsi="宋体" w:eastAsia="宋体" w:cs="宋体"/>
          <w:kern w:val="0"/>
          <w:highlight w:val="none"/>
        </w:rPr>
      </w:pPr>
      <w:r>
        <w:rPr>
          <w:rFonts w:hint="eastAsia" w:ascii="宋体" w:hAnsi="宋体" w:eastAsia="宋体" w:cs="宋体"/>
          <w:kern w:val="0"/>
          <w:highlight w:val="none"/>
        </w:rPr>
        <w:t>主要零部件名称________________________________________</w:t>
      </w:r>
    </w:p>
    <w:p>
      <w:pPr>
        <w:tabs>
          <w:tab w:val="left" w:pos="5580"/>
        </w:tabs>
        <w:topLinePunct/>
        <w:adjustRightInd w:val="0"/>
        <w:snapToGrid w:val="0"/>
        <w:spacing w:line="360" w:lineRule="auto"/>
        <w:ind w:firstLine="2310" w:firstLineChars="11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________________________________________</w:t>
      </w:r>
    </w:p>
    <w:p>
      <w:pPr>
        <w:tabs>
          <w:tab w:val="left" w:pos="5580"/>
        </w:tabs>
        <w:topLinePunct/>
        <w:adjustRightInd w:val="0"/>
        <w:snapToGri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3、制造厂家生产此投标货物的历史（年数）：</w:t>
      </w:r>
    </w:p>
    <w:p>
      <w:pPr>
        <w:tabs>
          <w:tab w:val="left" w:pos="5580"/>
        </w:tabs>
        <w:topLinePunct/>
        <w:adjustRightInd w:val="0"/>
        <w:snapToGri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4、近三年该货物主要销售给国内、外主要客户的名称地址：</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名称和地址                              销售项目和数量</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出口销售额：_______________________</w:t>
      </w:r>
    </w:p>
    <w:p>
      <w:pPr>
        <w:tabs>
          <w:tab w:val="left" w:pos="5580"/>
        </w:tabs>
        <w:topLinePunct/>
        <w:adjustRightInd w:val="0"/>
        <w:snapToGri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5、近三年的年营业额：</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年份            国内            出口            总额</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___________________________________________</w:t>
      </w:r>
    </w:p>
    <w:p>
      <w:pPr>
        <w:tabs>
          <w:tab w:val="left" w:pos="5580"/>
        </w:tabs>
        <w:topLinePunct/>
        <w:adjustRightInd w:val="0"/>
        <w:snapToGri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6、易损件制造商的名称和地址：</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部件名称                          制造商</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w:t>
      </w:r>
    </w:p>
    <w:p>
      <w:pPr>
        <w:tabs>
          <w:tab w:val="left" w:pos="5580"/>
        </w:tabs>
        <w:topLinePunct/>
        <w:adjustRightInd w:val="0"/>
        <w:snapToGri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7、有关开户银行的名称和地址：</w:t>
      </w:r>
    </w:p>
    <w:p>
      <w:pPr>
        <w:tabs>
          <w:tab w:val="left" w:pos="5580"/>
        </w:tabs>
        <w:topLinePunct/>
        <w:adjustRightInd w:val="0"/>
        <w:snapToGri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8、其他情况：</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兹证明上述声明是真实、正确的，并提供了全部能提供的资料和数据，我们同意遵照贵方要求出示有关证明文件。</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制造商：______________________________________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投标人授权代表：______________________________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投标人授权代表的职务：________________________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电话号：________________  传真号：____________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kern w:val="0"/>
          <w:highlight w:val="none"/>
        </w:rPr>
        <w:t>日期：______________________________________</w:t>
      </w:r>
    </w:p>
    <w:p>
      <w:pPr>
        <w:topLinePunct/>
        <w:adjustRightInd w:val="0"/>
        <w:snapToGrid w:val="0"/>
        <w:spacing w:line="360" w:lineRule="auto"/>
        <w:ind w:firstLine="482" w:firstLineChars="20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代理商（作为代理）的资格声明</w:t>
      </w:r>
    </w:p>
    <w:p>
      <w:pPr>
        <w:tabs>
          <w:tab w:val="left" w:pos="5580"/>
        </w:tabs>
        <w:topLinePunct/>
        <w:adjustRightInd w:val="0"/>
        <w:snapToGri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1、名称及概况：</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(1)投标人名称：</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(2)地址及邮编：</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(3)成立和注册日期：</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(4)主管部门：</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(5)公司性质：</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(6)法人代表：</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(7)职员人数：</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(8)近期资产负债表（到________年____月_____日止）</w:t>
      </w:r>
    </w:p>
    <w:p>
      <w:pPr>
        <w:tabs>
          <w:tab w:val="left" w:pos="582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(1)固定资产：</w:t>
      </w:r>
    </w:p>
    <w:p>
      <w:pPr>
        <w:tabs>
          <w:tab w:val="left" w:pos="5580"/>
        </w:tabs>
        <w:topLinePunct/>
        <w:adjustRightInd w:val="0"/>
        <w:snapToGrid w:val="0"/>
        <w:spacing w:line="360" w:lineRule="auto"/>
        <w:ind w:firstLine="840" w:firstLineChars="400"/>
        <w:jc w:val="left"/>
        <w:rPr>
          <w:rFonts w:hint="eastAsia" w:ascii="宋体" w:hAnsi="宋体" w:eastAsia="宋体" w:cs="宋体"/>
          <w:kern w:val="0"/>
          <w:highlight w:val="none"/>
        </w:rPr>
      </w:pPr>
      <w:r>
        <w:rPr>
          <w:rFonts w:hint="eastAsia" w:ascii="宋体" w:hAnsi="宋体" w:eastAsia="宋体" w:cs="宋体"/>
          <w:kern w:val="0"/>
          <w:highlight w:val="none"/>
        </w:rPr>
        <w:t>原值：____________________净值：_________________________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(2)流动资金：</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(3)长期负债：</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(4)短期负债：</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(5)资金来源</w:t>
      </w:r>
    </w:p>
    <w:p>
      <w:pPr>
        <w:tabs>
          <w:tab w:val="left" w:pos="5580"/>
        </w:tabs>
        <w:topLinePunct/>
        <w:adjustRightInd w:val="0"/>
        <w:snapToGrid w:val="0"/>
        <w:spacing w:line="360" w:lineRule="auto"/>
        <w:ind w:firstLine="840" w:firstLineChars="400"/>
        <w:jc w:val="left"/>
        <w:rPr>
          <w:rFonts w:hint="eastAsia" w:ascii="宋体" w:hAnsi="宋体" w:eastAsia="宋体" w:cs="宋体"/>
          <w:kern w:val="0"/>
          <w:highlight w:val="none"/>
        </w:rPr>
      </w:pPr>
      <w:r>
        <w:rPr>
          <w:rFonts w:hint="eastAsia" w:ascii="宋体" w:hAnsi="宋体" w:eastAsia="宋体" w:cs="宋体"/>
          <w:kern w:val="0"/>
          <w:highlight w:val="none"/>
        </w:rPr>
        <w:t>自有资金：________________银行贷款：_____________________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(6)资金类型：</w:t>
      </w:r>
    </w:p>
    <w:p>
      <w:pPr>
        <w:tabs>
          <w:tab w:val="left" w:pos="5580"/>
        </w:tabs>
        <w:topLinePunct/>
        <w:adjustRightInd w:val="0"/>
        <w:snapToGrid w:val="0"/>
        <w:spacing w:line="360" w:lineRule="auto"/>
        <w:ind w:firstLine="840" w:firstLineChars="400"/>
        <w:jc w:val="left"/>
        <w:rPr>
          <w:rFonts w:hint="eastAsia" w:ascii="宋体" w:hAnsi="宋体" w:eastAsia="宋体" w:cs="宋体"/>
          <w:kern w:val="0"/>
          <w:highlight w:val="none"/>
        </w:rPr>
      </w:pPr>
      <w:r>
        <w:rPr>
          <w:rFonts w:hint="eastAsia" w:ascii="宋体" w:hAnsi="宋体" w:eastAsia="宋体" w:cs="宋体"/>
          <w:kern w:val="0"/>
          <w:highlight w:val="none"/>
        </w:rPr>
        <w:t>商业性：________________非商业性：___________________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2、最近三年的年度总营业额：</w:t>
      </w:r>
    </w:p>
    <w:p>
      <w:pPr>
        <w:tabs>
          <w:tab w:val="left" w:pos="5580"/>
        </w:tabs>
        <w:topLinePunct/>
        <w:adjustRightInd w:val="0"/>
        <w:snapToGrid w:val="0"/>
        <w:spacing w:line="360" w:lineRule="auto"/>
        <w:ind w:firstLine="840" w:firstLineChars="400"/>
        <w:jc w:val="left"/>
        <w:rPr>
          <w:rFonts w:hint="eastAsia" w:ascii="宋体" w:hAnsi="宋体" w:eastAsia="宋体" w:cs="宋体"/>
          <w:kern w:val="0"/>
          <w:highlight w:val="none"/>
        </w:rPr>
      </w:pPr>
      <w:r>
        <w:rPr>
          <w:rFonts w:hint="eastAsia" w:ascii="宋体" w:hAnsi="宋体" w:eastAsia="宋体" w:cs="宋体"/>
          <w:kern w:val="0"/>
          <w:highlight w:val="none"/>
        </w:rPr>
        <w:t>年份          国内           出口           总额</w:t>
      </w:r>
    </w:p>
    <w:p>
      <w:pPr>
        <w:tabs>
          <w:tab w:val="left" w:pos="5580"/>
        </w:tabs>
        <w:topLinePunct/>
        <w:adjustRightInd w:val="0"/>
        <w:snapToGrid w:val="0"/>
        <w:spacing w:line="360" w:lineRule="auto"/>
        <w:ind w:firstLine="840" w:firstLineChars="4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___________________________________________</w:t>
      </w:r>
    </w:p>
    <w:p>
      <w:pPr>
        <w:tabs>
          <w:tab w:val="left" w:pos="5580"/>
        </w:tabs>
        <w:topLinePunct/>
        <w:adjustRightInd w:val="0"/>
        <w:snapToGrid w:val="0"/>
        <w:spacing w:line="360" w:lineRule="auto"/>
        <w:ind w:firstLine="840" w:firstLineChars="4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___________________________________________</w:t>
      </w:r>
    </w:p>
    <w:p>
      <w:pPr>
        <w:tabs>
          <w:tab w:val="left" w:pos="5580"/>
        </w:tabs>
        <w:topLinePunct/>
        <w:adjustRightInd w:val="0"/>
        <w:snapToGri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3、最近三年投标货物主要销售给国内及国外用户名称及地址：</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名称和地址                销售的项目和数量</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(1) 出口销售：</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(2) 国内销售：</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________________________________________________</w:t>
      </w:r>
    </w:p>
    <w:p>
      <w:pPr>
        <w:tabs>
          <w:tab w:val="left" w:pos="5580"/>
        </w:tabs>
        <w:topLinePunct/>
        <w:adjustRightInd w:val="0"/>
        <w:snapToGri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4、同意为投标人制造投标货物的制造厂并附有制造厂的资格声明：</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制造厂名称和地址          制造项目和数量</w:t>
      </w:r>
    </w:p>
    <w:p>
      <w:pPr>
        <w:tabs>
          <w:tab w:val="left" w:pos="360"/>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__________________________________________________</w:t>
      </w:r>
    </w:p>
    <w:p>
      <w:pPr>
        <w:tabs>
          <w:tab w:val="left" w:pos="5580"/>
        </w:tabs>
        <w:topLinePunct/>
        <w:adjustRightInd w:val="0"/>
        <w:snapToGri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5、须由其他制造厂家供应和制造的部件（如果有的话）：</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制造厂名称和地址            制造项目</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____________________________________________</w:t>
      </w:r>
    </w:p>
    <w:p>
      <w:pPr>
        <w:tabs>
          <w:tab w:val="left" w:pos="5580"/>
        </w:tabs>
        <w:topLinePunct/>
        <w:adjustRightInd w:val="0"/>
        <w:snapToGri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6、最近三年中与各经销商成交的此种投标货物（如果有的话）：</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合同号：</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签字日期：</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产品名称：</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数量：</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合同金额：</w:t>
      </w:r>
    </w:p>
    <w:p>
      <w:pPr>
        <w:tabs>
          <w:tab w:val="left" w:pos="5580"/>
        </w:tabs>
        <w:topLinePunct/>
        <w:adjustRightInd w:val="0"/>
        <w:snapToGri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7、有关开户银行的名称和地址：</w:t>
      </w:r>
    </w:p>
    <w:p>
      <w:pPr>
        <w:tabs>
          <w:tab w:val="left" w:pos="5580"/>
        </w:tabs>
        <w:topLinePunct/>
        <w:adjustRightInd w:val="0"/>
        <w:snapToGrid w:val="0"/>
        <w:spacing w:line="360" w:lineRule="auto"/>
        <w:jc w:val="left"/>
        <w:rPr>
          <w:rFonts w:hint="eastAsia" w:ascii="宋体" w:hAnsi="宋体" w:eastAsia="宋体" w:cs="宋体"/>
          <w:kern w:val="0"/>
          <w:highlight w:val="none"/>
        </w:rPr>
      </w:pPr>
      <w:r>
        <w:rPr>
          <w:rFonts w:hint="eastAsia" w:ascii="宋体" w:hAnsi="宋体" w:eastAsia="宋体" w:cs="宋体"/>
          <w:kern w:val="0"/>
          <w:highlight w:val="none"/>
        </w:rPr>
        <w:t>8、投标人认为需要声明的其他情况</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兹证明上述声明是真实、正确的，并提供了全部能提供的资料和数据，我们同意遵照贵方要求出示有关证明文件。</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投标人名称：___________________________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投标人授权代表：________________________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投标人授权代表的职务：________________________</w:t>
      </w:r>
    </w:p>
    <w:p>
      <w:pPr>
        <w:tabs>
          <w:tab w:val="left" w:pos="5580"/>
        </w:tabs>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电话号：________________  传真号：____________</w:t>
      </w:r>
    </w:p>
    <w:p>
      <w:pPr>
        <w:topLinePunct/>
        <w:adjustRightInd w:val="0"/>
        <w:snapToGrid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日期：__________________________________</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8"/>
        <w:spacing w:line="276"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法定代表人证明书</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480" w:lineRule="exact"/>
        <w:rPr>
          <w:rFonts w:hint="eastAsia" w:ascii="宋体" w:hAnsi="宋体" w:eastAsia="宋体" w:cs="宋体"/>
          <w:sz w:val="24"/>
          <w:highlight w:val="none"/>
        </w:rPr>
      </w:pPr>
    </w:p>
    <w:p>
      <w:pPr>
        <w:snapToGrid w:val="0"/>
        <w:rPr>
          <w:rFonts w:hint="eastAsia" w:ascii="宋体" w:hAnsi="宋体" w:eastAsia="宋体" w:cs="宋体"/>
          <w:bCs/>
          <w:sz w:val="24"/>
          <w:highlight w:val="none"/>
        </w:rPr>
      </w:pPr>
      <w:r>
        <w:rPr>
          <w:rFonts w:hint="eastAsia" w:ascii="宋体" w:hAnsi="宋体" w:eastAsia="宋体" w:cs="宋体"/>
          <w:bCs/>
          <w:sz w:val="24"/>
          <w:highlight w:val="none"/>
        </w:rPr>
        <w:t>单位名称：</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 xml:space="preserve">     </w:t>
      </w:r>
    </w:p>
    <w:p>
      <w:pPr>
        <w:snapToGrid w:val="0"/>
        <w:rPr>
          <w:rFonts w:hint="eastAsia" w:ascii="宋体" w:hAnsi="宋体" w:eastAsia="宋体" w:cs="宋体"/>
          <w:bCs/>
          <w:sz w:val="24"/>
          <w:highlight w:val="none"/>
        </w:rPr>
      </w:pPr>
      <w:r>
        <w:rPr>
          <w:rFonts w:hint="eastAsia" w:ascii="宋体" w:hAnsi="宋体" w:eastAsia="宋体" w:cs="宋体"/>
          <w:bCs/>
          <w:sz w:val="24"/>
          <w:highlight w:val="none"/>
        </w:rPr>
        <w:t>地    址：</w:t>
      </w:r>
      <w:r>
        <w:rPr>
          <w:rFonts w:hint="eastAsia" w:ascii="宋体" w:hAnsi="宋体" w:eastAsia="宋体" w:cs="宋体"/>
          <w:bCs/>
          <w:sz w:val="24"/>
          <w:highlight w:val="none"/>
          <w:u w:val="single"/>
        </w:rPr>
        <w:t xml:space="preserve">                                                </w:t>
      </w:r>
    </w:p>
    <w:p>
      <w:pPr>
        <w:snapToGrid w:val="0"/>
        <w:rPr>
          <w:rFonts w:hint="eastAsia" w:ascii="宋体" w:hAnsi="宋体" w:eastAsia="宋体" w:cs="宋体"/>
          <w:bCs/>
          <w:sz w:val="24"/>
          <w:highlight w:val="none"/>
        </w:rPr>
      </w:pPr>
      <w:r>
        <w:rPr>
          <w:rFonts w:hint="eastAsia" w:ascii="宋体" w:hAnsi="宋体" w:eastAsia="宋体" w:cs="宋体"/>
          <w:bCs/>
          <w:sz w:val="24"/>
          <w:highlight w:val="none"/>
        </w:rPr>
        <w:t>姓名：</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 xml:space="preserve"> 性别：</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年龄：</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职务：</w:t>
      </w:r>
      <w:r>
        <w:rPr>
          <w:rFonts w:hint="eastAsia" w:ascii="宋体" w:hAnsi="宋体" w:eastAsia="宋体" w:cs="宋体"/>
          <w:bCs/>
          <w:sz w:val="24"/>
          <w:highlight w:val="none"/>
          <w:u w:val="single"/>
        </w:rPr>
        <w:t xml:space="preserve">          </w:t>
      </w:r>
    </w:p>
    <w:p>
      <w:pPr>
        <w:snapToGrid w:val="0"/>
        <w:ind w:firstLine="1080" w:firstLineChars="450"/>
        <w:rPr>
          <w:rFonts w:hint="eastAsia" w:ascii="宋体" w:hAnsi="宋体" w:eastAsia="宋体" w:cs="宋体"/>
          <w:bCs/>
          <w:sz w:val="24"/>
          <w:highlight w:val="none"/>
          <w:u w:val="single"/>
        </w:rPr>
      </w:pPr>
    </w:p>
    <w:p>
      <w:pPr>
        <w:snapToGrid w:val="0"/>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 xml:space="preserve">系 </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 xml:space="preserve"> 的法定代表人。为维护的项目，签署上述项目的投标文件、进行合同投标、签署合同和处理与之有关的一切事务。</w:t>
      </w:r>
    </w:p>
    <w:p>
      <w:pPr>
        <w:snapToGrid w:val="0"/>
        <w:rPr>
          <w:rFonts w:hint="eastAsia" w:ascii="宋体" w:hAnsi="宋体" w:eastAsia="宋体" w:cs="宋体"/>
          <w:bCs/>
          <w:sz w:val="24"/>
          <w:highlight w:val="none"/>
        </w:rPr>
      </w:pPr>
      <w:r>
        <w:rPr>
          <w:rFonts w:hint="eastAsia" w:ascii="宋体" w:hAnsi="宋体" w:eastAsia="宋体" w:cs="宋体"/>
          <w:bCs/>
          <w:sz w:val="24"/>
          <w:highlight w:val="none"/>
        </w:rPr>
        <w:t>特此证明</w:t>
      </w:r>
    </w:p>
    <w:p>
      <w:pPr>
        <w:snapToGrid w:val="0"/>
        <w:rPr>
          <w:rFonts w:hint="eastAsia" w:ascii="宋体" w:hAnsi="宋体" w:eastAsia="宋体" w:cs="宋体"/>
          <w:sz w:val="24"/>
          <w:highlight w:val="none"/>
        </w:rPr>
      </w:pPr>
      <w:r>
        <w:rPr>
          <w:rFonts w:hint="eastAsia" w:ascii="宋体" w:hAnsi="宋体" w:eastAsia="宋体" w:cs="宋体"/>
          <w:sz w:val="24"/>
          <w:highlight w:val="none"/>
        </w:rPr>
        <w:t xml:space="preserve"> </w:t>
      </w:r>
    </w:p>
    <w:p>
      <w:pPr>
        <w:ind w:firstLine="3600" w:firstLineChars="1500"/>
        <w:jc w:val="left"/>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b/>
          <w:sz w:val="24"/>
          <w:highlight w:val="none"/>
        </w:rPr>
        <w:t>签名或签章</w:t>
      </w:r>
      <w:r>
        <w:rPr>
          <w:rFonts w:hint="eastAsia" w:ascii="宋体" w:hAnsi="宋体" w:eastAsia="宋体" w:cs="宋体"/>
          <w:sz w:val="24"/>
          <w:highlight w:val="none"/>
        </w:rPr>
        <w:t>）：</w:t>
      </w:r>
    </w:p>
    <w:p>
      <w:pPr>
        <w:jc w:val="left"/>
        <w:rPr>
          <w:rFonts w:hint="eastAsia" w:ascii="宋体" w:hAnsi="宋体" w:eastAsia="宋体" w:cs="宋体"/>
          <w:sz w:val="24"/>
          <w:highlight w:val="none"/>
        </w:rPr>
      </w:pPr>
    </w:p>
    <w:p>
      <w:pPr>
        <w:ind w:firstLine="3600" w:firstLineChars="1500"/>
        <w:jc w:val="left"/>
        <w:rPr>
          <w:rFonts w:hint="eastAsia" w:ascii="宋体" w:hAnsi="宋体" w:eastAsia="宋体" w:cs="宋体"/>
          <w:sz w:val="24"/>
          <w:highlight w:val="none"/>
        </w:rPr>
      </w:pPr>
      <w:r>
        <w:rPr>
          <w:rFonts w:hint="eastAsia" w:ascii="宋体" w:hAnsi="宋体" w:eastAsia="宋体" w:cs="宋体"/>
          <w:sz w:val="24"/>
          <w:highlight w:val="none"/>
        </w:rPr>
        <w:t>投标单位（</w:t>
      </w:r>
      <w:r>
        <w:rPr>
          <w:rFonts w:hint="eastAsia" w:ascii="宋体" w:hAnsi="宋体" w:eastAsia="宋体" w:cs="宋体"/>
          <w:b/>
          <w:sz w:val="24"/>
          <w:highlight w:val="none"/>
        </w:rPr>
        <w:t>盖公章</w:t>
      </w:r>
      <w:r>
        <w:rPr>
          <w:rFonts w:hint="eastAsia" w:ascii="宋体" w:hAnsi="宋体" w:eastAsia="宋体" w:cs="宋体"/>
          <w:sz w:val="24"/>
          <w:highlight w:val="none"/>
        </w:rPr>
        <w:t>）：</w:t>
      </w:r>
    </w:p>
    <w:p>
      <w:pPr>
        <w:jc w:val="left"/>
        <w:rPr>
          <w:rFonts w:hint="eastAsia" w:ascii="宋体" w:hAnsi="宋体" w:eastAsia="宋体" w:cs="宋体"/>
          <w:sz w:val="24"/>
          <w:highlight w:val="none"/>
        </w:rPr>
      </w:pPr>
    </w:p>
    <w:p>
      <w:pPr>
        <w:jc w:val="right"/>
        <w:rPr>
          <w:rFonts w:hint="eastAsia" w:ascii="宋体" w:hAnsi="宋体" w:eastAsia="宋体" w:cs="宋体"/>
          <w:sz w:val="24"/>
          <w:highlight w:val="none"/>
        </w:rPr>
      </w:pPr>
      <w:r>
        <w:rPr>
          <w:rFonts w:hint="eastAsia" w:ascii="宋体" w:hAnsi="宋体" w:eastAsia="宋体" w:cs="宋体"/>
          <w:sz w:val="24"/>
          <w:highlight w:val="none"/>
        </w:rPr>
        <w:t>日期：    年  月  日</w:t>
      </w:r>
    </w:p>
    <w:p>
      <w:pPr>
        <w:snapToGrid w:val="0"/>
        <w:ind w:firstLine="4080" w:firstLineChars="1700"/>
        <w:rPr>
          <w:rFonts w:hint="eastAsia" w:ascii="宋体" w:hAnsi="宋体" w:eastAsia="宋体" w:cs="宋体"/>
          <w:bCs/>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-116205</wp:posOffset>
                </wp:positionH>
                <wp:positionV relativeFrom="paragraph">
                  <wp:posOffset>121920</wp:posOffset>
                </wp:positionV>
                <wp:extent cx="5575935" cy="1768475"/>
                <wp:effectExtent l="4445" t="5080" r="20320" b="17145"/>
                <wp:wrapNone/>
                <wp:docPr id="10" name="矩形 5"/>
                <wp:cNvGraphicFramePr/>
                <a:graphic xmlns:a="http://schemas.openxmlformats.org/drawingml/2006/main">
                  <a:graphicData uri="http://schemas.microsoft.com/office/word/2010/wordprocessingShape">
                    <wps:wsp>
                      <wps:cNvSpPr/>
                      <wps:spPr>
                        <a:xfrm>
                          <a:off x="0" y="0"/>
                          <a:ext cx="5575935" cy="1768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rPr>
                                <w:rFonts w:ascii="宋体" w:hAnsi="宋体" w:cs="Arial"/>
                                <w:bCs/>
                                <w:sz w:val="24"/>
                              </w:rPr>
                            </w:pPr>
                            <w:r>
                              <w:rPr>
                                <w:rFonts w:hint="eastAsia" w:ascii="宋体" w:hAnsi="宋体" w:cs="Arial"/>
                                <w:bCs/>
                                <w:sz w:val="24"/>
                              </w:rPr>
                              <w:t xml:space="preserve">法定代表人身份证正反面复印件    </w:t>
                            </w:r>
                          </w:p>
                          <w:p>
                            <w:pPr>
                              <w:snapToGrid w:val="0"/>
                              <w:rPr>
                                <w:rFonts w:ascii="宋体" w:hAnsi="宋体" w:cs="Arial"/>
                                <w:bCs/>
                                <w:sz w:val="24"/>
                              </w:rPr>
                            </w:pPr>
                            <w:r>
                              <w:rPr>
                                <w:rFonts w:hint="eastAsia" w:ascii="宋体" w:hAnsi="宋体" w:cs="Arial"/>
                                <w:bCs/>
                                <w:sz w:val="24"/>
                              </w:rPr>
                              <w:t xml:space="preserve">（粘贴此处）              </w:t>
                            </w:r>
                          </w:p>
                          <w:p/>
                        </w:txbxContent>
                      </wps:txbx>
                      <wps:bodyPr upright="1"/>
                    </wps:wsp>
                  </a:graphicData>
                </a:graphic>
              </wp:anchor>
            </w:drawing>
          </mc:Choice>
          <mc:Fallback>
            <w:pict>
              <v:rect id="矩形 5" o:spid="_x0000_s1026" o:spt="1" style="position:absolute;left:0pt;margin-left:-9.15pt;margin-top:9.6pt;height:139.25pt;width:439.05pt;z-index:251659264;mso-width-relative:page;mso-height-relative:page;" fillcolor="#FFFFFF" filled="t" stroked="t" coordsize="21600,21600" o:gfxdata="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sDl2AAAAAoBAAAPAAAAAAAAAAEAIAAAACIA&#10;AABkcnMvZG93bnJldi54bWxQSwECFAAUAAAACACHTuJAJ5luGgkCAAA5BAAADgAAAAAAAAABACAA&#10;AAAnAQAAZHJzL2Uyb0RvYy54bWxQSwUGAAAAAAYABgBZAQAAogUAAAAA&#10;">
                <v:fill on="t" focussize="0,0"/>
                <v:stroke color="#000000" joinstyle="miter"/>
                <v:imagedata o:title=""/>
                <o:lock v:ext="edit" aspectratio="f"/>
                <v:textbox>
                  <w:txbxContent>
                    <w:p>
                      <w:pPr>
                        <w:snapToGrid w:val="0"/>
                        <w:rPr>
                          <w:rFonts w:ascii="宋体" w:hAnsi="宋体" w:cs="Arial"/>
                          <w:bCs/>
                          <w:sz w:val="24"/>
                        </w:rPr>
                      </w:pPr>
                      <w:r>
                        <w:rPr>
                          <w:rFonts w:hint="eastAsia" w:ascii="宋体" w:hAnsi="宋体" w:cs="Arial"/>
                          <w:bCs/>
                          <w:sz w:val="24"/>
                        </w:rPr>
                        <w:t xml:space="preserve">法定代表人身份证正反面复印件    </w:t>
                      </w:r>
                    </w:p>
                    <w:p>
                      <w:pPr>
                        <w:snapToGrid w:val="0"/>
                        <w:rPr>
                          <w:rFonts w:ascii="宋体" w:hAnsi="宋体" w:cs="Arial"/>
                          <w:bCs/>
                          <w:sz w:val="24"/>
                        </w:rPr>
                      </w:pPr>
                      <w:r>
                        <w:rPr>
                          <w:rFonts w:hint="eastAsia" w:ascii="宋体" w:hAnsi="宋体" w:cs="Arial"/>
                          <w:bCs/>
                          <w:sz w:val="24"/>
                        </w:rPr>
                        <w:t xml:space="preserve">（粘贴此处）              </w:t>
                      </w:r>
                    </w:p>
                    <w:p/>
                  </w:txbxContent>
                </v:textbox>
              </v:rect>
            </w:pict>
          </mc:Fallback>
        </mc:AlternateContent>
      </w:r>
    </w:p>
    <w:p>
      <w:pPr>
        <w:snapToGrid w:val="0"/>
        <w:ind w:firstLine="4080" w:firstLineChars="1700"/>
        <w:rPr>
          <w:rFonts w:hint="eastAsia" w:ascii="宋体" w:hAnsi="宋体" w:eastAsia="宋体" w:cs="宋体"/>
          <w:bCs/>
          <w:sz w:val="24"/>
          <w:highlight w:val="none"/>
        </w:rPr>
      </w:pPr>
    </w:p>
    <w:p>
      <w:pPr>
        <w:snapToGrid w:val="0"/>
        <w:ind w:firstLine="4080" w:firstLineChars="1700"/>
        <w:rPr>
          <w:rFonts w:hint="eastAsia" w:ascii="宋体" w:hAnsi="宋体" w:eastAsia="宋体" w:cs="宋体"/>
          <w:bCs/>
          <w:sz w:val="24"/>
          <w:highlight w:val="none"/>
        </w:rPr>
      </w:pPr>
    </w:p>
    <w:p>
      <w:pPr>
        <w:snapToGrid w:val="0"/>
        <w:ind w:firstLine="4080" w:firstLineChars="1700"/>
        <w:rPr>
          <w:rFonts w:hint="eastAsia" w:ascii="宋体" w:hAnsi="宋体" w:eastAsia="宋体" w:cs="宋体"/>
          <w:bCs/>
          <w:sz w:val="24"/>
          <w:highlight w:val="none"/>
        </w:rPr>
      </w:pPr>
    </w:p>
    <w:p>
      <w:pPr>
        <w:snapToGrid w:val="0"/>
        <w:ind w:firstLine="4080" w:firstLineChars="1700"/>
        <w:rPr>
          <w:rFonts w:hint="eastAsia" w:ascii="宋体" w:hAnsi="宋体" w:eastAsia="宋体" w:cs="宋体"/>
          <w:bCs/>
          <w:sz w:val="24"/>
          <w:highlight w:val="none"/>
        </w:rPr>
      </w:pPr>
    </w:p>
    <w:p>
      <w:pPr>
        <w:snapToGrid w:val="0"/>
        <w:ind w:firstLine="4080" w:firstLineChars="1700"/>
        <w:rPr>
          <w:rFonts w:hint="eastAsia" w:ascii="宋体" w:hAnsi="宋体" w:eastAsia="宋体" w:cs="宋体"/>
          <w:bCs/>
          <w:sz w:val="24"/>
          <w:highlight w:val="none"/>
        </w:rPr>
      </w:pPr>
    </w:p>
    <w:p>
      <w:pPr>
        <w:snapToGrid w:val="0"/>
        <w:ind w:firstLine="4080" w:firstLineChars="1700"/>
        <w:rPr>
          <w:rFonts w:hint="eastAsia" w:ascii="宋体" w:hAnsi="宋体" w:eastAsia="宋体" w:cs="宋体"/>
          <w:bCs/>
          <w:sz w:val="24"/>
          <w:highlight w:val="none"/>
        </w:rPr>
      </w:pPr>
    </w:p>
    <w:p>
      <w:pPr>
        <w:snapToGrid w:val="0"/>
        <w:ind w:firstLine="4080" w:firstLineChars="1700"/>
        <w:rPr>
          <w:rFonts w:hint="eastAsia" w:ascii="宋体" w:hAnsi="宋体" w:eastAsia="宋体" w:cs="宋体"/>
          <w:bCs/>
          <w:sz w:val="24"/>
          <w:highlight w:val="none"/>
        </w:rPr>
      </w:pPr>
    </w:p>
    <w:p>
      <w:pPr>
        <w:snapToGrid w:val="0"/>
        <w:ind w:firstLine="4080" w:firstLineChars="1700"/>
        <w:rPr>
          <w:rFonts w:hint="eastAsia" w:ascii="宋体" w:hAnsi="宋体" w:eastAsia="宋体" w:cs="宋体"/>
          <w:bCs/>
          <w:sz w:val="24"/>
          <w:highlight w:val="none"/>
        </w:rPr>
      </w:pPr>
    </w:p>
    <w:p>
      <w:pPr>
        <w:snapToGrid w:val="0"/>
        <w:ind w:firstLine="4080" w:firstLineChars="1700"/>
        <w:rPr>
          <w:rFonts w:hint="eastAsia" w:ascii="宋体" w:hAnsi="宋体" w:eastAsia="宋体" w:cs="宋体"/>
          <w:bCs/>
          <w:sz w:val="24"/>
          <w:highlight w:val="none"/>
        </w:rPr>
      </w:pPr>
    </w:p>
    <w:p>
      <w:pPr>
        <w:snapToGrid w:val="0"/>
        <w:ind w:left="735" w:hanging="735" w:hangingChars="350"/>
        <w:rPr>
          <w:rFonts w:hint="eastAsia" w:ascii="宋体" w:hAnsi="宋体" w:eastAsia="宋体" w:cs="宋体"/>
          <w:bCs/>
          <w:szCs w:val="21"/>
          <w:highlight w:val="none"/>
        </w:rPr>
      </w:pPr>
      <w:r>
        <w:rPr>
          <w:rFonts w:hint="eastAsia" w:ascii="宋体" w:hAnsi="宋体" w:eastAsia="宋体" w:cs="宋体"/>
          <w:bCs/>
          <w:szCs w:val="21"/>
          <w:highlight w:val="none"/>
        </w:rPr>
        <w:t>说明：</w:t>
      </w:r>
    </w:p>
    <w:p>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 本证明书要求投标人提供</w:t>
      </w:r>
      <w:r>
        <w:rPr>
          <w:rFonts w:hint="eastAsia" w:ascii="宋体" w:hAnsi="宋体" w:eastAsia="宋体" w:cs="宋体"/>
          <w:b/>
          <w:bCs/>
          <w:szCs w:val="21"/>
          <w:highlight w:val="none"/>
        </w:rPr>
        <w:t>加盖公章</w:t>
      </w:r>
      <w:r>
        <w:rPr>
          <w:rFonts w:hint="eastAsia" w:ascii="宋体" w:hAnsi="宋体" w:eastAsia="宋体" w:cs="宋体"/>
          <w:bCs/>
          <w:szCs w:val="21"/>
          <w:highlight w:val="none"/>
        </w:rPr>
        <w:t>后的原件方为有效；</w:t>
      </w:r>
    </w:p>
    <w:p>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2. 须提供法定代表人的身份证复印件（粘贴上述指定位置）。</w:t>
      </w:r>
    </w:p>
    <w:p>
      <w:pPr>
        <w:pStyle w:val="8"/>
        <w:spacing w:line="276" w:lineRule="auto"/>
        <w:jc w:val="center"/>
        <w:rPr>
          <w:rFonts w:hint="eastAsia" w:ascii="宋体" w:hAnsi="宋体" w:eastAsia="宋体" w:cs="宋体"/>
          <w:b w:val="0"/>
          <w:sz w:val="28"/>
          <w:highlight w:val="none"/>
        </w:rPr>
      </w:pPr>
      <w:r>
        <w:rPr>
          <w:rFonts w:hint="eastAsia" w:ascii="宋体" w:hAnsi="宋体" w:eastAsia="宋体" w:cs="宋体"/>
          <w:highlight w:val="none"/>
        </w:rPr>
        <w:br w:type="page"/>
      </w:r>
      <w:bookmarkStart w:id="424" w:name="_Toc1812"/>
      <w:bookmarkStart w:id="425" w:name="_Toc20139"/>
      <w:bookmarkStart w:id="426" w:name="_Toc91598752"/>
      <w:bookmarkStart w:id="427" w:name="_Toc27115"/>
      <w:bookmarkStart w:id="428" w:name="_Toc18220"/>
      <w:bookmarkStart w:id="429" w:name="_Toc18234"/>
      <w:bookmarkStart w:id="430" w:name="_Toc133706533"/>
      <w:bookmarkStart w:id="431" w:name="_Toc91600745"/>
      <w:bookmarkStart w:id="432" w:name="_Toc19110"/>
      <w:bookmarkStart w:id="433" w:name="_Toc12696"/>
      <w:bookmarkStart w:id="434" w:name="_Toc28421"/>
      <w:bookmarkStart w:id="435" w:name="_Toc9309"/>
      <w:bookmarkStart w:id="436" w:name="_Toc13852"/>
      <w:bookmarkStart w:id="437" w:name="_Toc16882"/>
      <w:bookmarkStart w:id="438" w:name="_Toc9642"/>
      <w:bookmarkStart w:id="439" w:name="_Toc133706209"/>
      <w:bookmarkStart w:id="440" w:name="_Toc13904"/>
      <w:bookmarkStart w:id="441" w:name="_Toc2750"/>
      <w:bookmarkStart w:id="442" w:name="_Toc133706679"/>
      <w:bookmarkStart w:id="443" w:name="_Toc133705467"/>
      <w:bookmarkStart w:id="444" w:name="_Toc18626"/>
      <w:bookmarkStart w:id="445" w:name="_Toc510191344"/>
      <w:bookmarkStart w:id="446" w:name="_Toc480496534"/>
      <w:r>
        <w:rPr>
          <w:rFonts w:hint="eastAsia" w:ascii="宋体" w:hAnsi="宋体" w:eastAsia="宋体" w:cs="宋体"/>
          <w:sz w:val="24"/>
          <w:szCs w:val="24"/>
          <w:highlight w:val="none"/>
        </w:rPr>
        <w:t>法定代表人授权委托书</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rPr>
          <w:rFonts w:hint="eastAsia" w:ascii="宋体" w:hAnsi="宋体" w:eastAsia="宋体" w:cs="宋体"/>
          <w:bCs/>
          <w:sz w:val="24"/>
          <w:highlight w:val="none"/>
        </w:rPr>
      </w:pPr>
    </w:p>
    <w:p>
      <w:pPr>
        <w:rPr>
          <w:rFonts w:hint="eastAsia" w:ascii="宋体" w:hAnsi="宋体" w:eastAsia="宋体" w:cs="宋体"/>
          <w:bCs/>
          <w:sz w:val="24"/>
          <w:highlight w:val="none"/>
        </w:rPr>
      </w:pPr>
      <w:r>
        <w:rPr>
          <w:rFonts w:hint="eastAsia" w:ascii="宋体" w:hAnsi="宋体" w:eastAsia="宋体" w:cs="宋体"/>
          <w:bCs/>
          <w:sz w:val="24"/>
          <w:highlight w:val="none"/>
        </w:rPr>
        <w:t>致</w:t>
      </w:r>
      <w:r>
        <w:rPr>
          <w:rFonts w:hint="eastAsia" w:ascii="宋体" w:hAnsi="宋体" w:cs="宋体"/>
          <w:bCs/>
          <w:sz w:val="24"/>
          <w:highlight w:val="none"/>
          <w:lang w:eastAsia="zh-CN"/>
        </w:rPr>
        <w:t>深圳市环水建设工程有限公司</w:t>
      </w:r>
      <w:r>
        <w:rPr>
          <w:rFonts w:hint="eastAsia" w:ascii="宋体" w:hAnsi="宋体" w:eastAsia="宋体" w:cs="宋体"/>
          <w:bCs/>
          <w:sz w:val="24"/>
          <w:highlight w:val="none"/>
        </w:rPr>
        <w:t>：</w:t>
      </w:r>
    </w:p>
    <w:p>
      <w:pPr>
        <w:rPr>
          <w:rFonts w:hint="eastAsia" w:ascii="宋体" w:hAnsi="宋体" w:eastAsia="宋体" w:cs="宋体"/>
          <w:bCs/>
          <w:sz w:val="24"/>
          <w:highlight w:val="none"/>
        </w:rPr>
      </w:pPr>
    </w:p>
    <w:p>
      <w:pPr>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u w:val="single"/>
        </w:rPr>
        <w:t xml:space="preserve">          （投标人全称）     </w:t>
      </w:r>
      <w:r>
        <w:rPr>
          <w:rFonts w:hint="eastAsia" w:ascii="宋体" w:hAnsi="宋体" w:eastAsia="宋体" w:cs="宋体"/>
          <w:bCs/>
          <w:sz w:val="24"/>
          <w:highlight w:val="none"/>
        </w:rPr>
        <w:t xml:space="preserve"> 法定代表人</w:t>
      </w:r>
      <w:r>
        <w:rPr>
          <w:rFonts w:hint="eastAsia" w:ascii="宋体" w:hAnsi="宋体" w:eastAsia="宋体" w:cs="宋体"/>
          <w:bCs/>
          <w:sz w:val="24"/>
          <w:highlight w:val="none"/>
          <w:u w:val="single"/>
        </w:rPr>
        <w:t xml:space="preserve">  （姓名、职务）              </w:t>
      </w:r>
      <w:r>
        <w:rPr>
          <w:rFonts w:hint="eastAsia" w:ascii="宋体" w:hAnsi="宋体" w:eastAsia="宋体" w:cs="宋体"/>
          <w:bCs/>
          <w:sz w:val="24"/>
          <w:highlight w:val="none"/>
        </w:rPr>
        <w:t xml:space="preserve">授权 </w:t>
      </w:r>
      <w:r>
        <w:rPr>
          <w:rFonts w:hint="eastAsia" w:ascii="宋体" w:hAnsi="宋体" w:eastAsia="宋体" w:cs="宋体"/>
          <w:bCs/>
          <w:sz w:val="24"/>
          <w:highlight w:val="none"/>
          <w:u w:val="single"/>
        </w:rPr>
        <w:t xml:space="preserve">  （被授权代表姓名、职务）              </w:t>
      </w:r>
      <w:r>
        <w:rPr>
          <w:rFonts w:hint="eastAsia" w:ascii="宋体" w:hAnsi="宋体" w:eastAsia="宋体" w:cs="宋体"/>
          <w:bCs/>
          <w:sz w:val="24"/>
          <w:highlight w:val="none"/>
        </w:rPr>
        <w:t>为本公司合法代理人，参加贵招标代理公司组织的</w:t>
      </w:r>
      <w:r>
        <w:rPr>
          <w:rFonts w:hint="eastAsia" w:ascii="宋体" w:hAnsi="宋体" w:eastAsia="宋体" w:cs="宋体"/>
          <w:bCs/>
          <w:sz w:val="24"/>
          <w:highlight w:val="none"/>
          <w:u w:val="single"/>
        </w:rPr>
        <w:t xml:space="preserve">   (项目名称)（项目编号）                      </w:t>
      </w:r>
      <w:r>
        <w:rPr>
          <w:rFonts w:hint="eastAsia" w:ascii="宋体" w:hAnsi="宋体" w:eastAsia="宋体" w:cs="宋体"/>
          <w:bCs/>
          <w:sz w:val="24"/>
          <w:highlight w:val="none"/>
        </w:rPr>
        <w:t xml:space="preserve"> 项目的招标投标活动，代表本公司处理招标投标活动中的一切事宜。包括但不限于：投标、参与开标、谈判、签约等。投标人代表在投标过程中所签署的一切文件和处理与之有关的一切事务，本公司均予以认可并对此承担责任。投标人代表无转委权。特此授权。</w:t>
      </w:r>
    </w:p>
    <w:p>
      <w:pPr>
        <w:rPr>
          <w:rFonts w:hint="eastAsia" w:ascii="宋体" w:hAnsi="宋体" w:eastAsia="宋体" w:cs="宋体"/>
          <w:bCs/>
          <w:sz w:val="24"/>
          <w:highlight w:val="none"/>
        </w:rPr>
      </w:pPr>
      <w:r>
        <w:rPr>
          <w:rFonts w:hint="eastAsia" w:ascii="宋体" w:hAnsi="宋体" w:eastAsia="宋体" w:cs="宋体"/>
          <w:bCs/>
          <w:sz w:val="24"/>
          <w:highlight w:val="none"/>
        </w:rPr>
        <w:t xml:space="preserve">     本授权书于</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年</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月</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日签字生效,特此声明。</w:t>
      </w:r>
    </w:p>
    <w:p>
      <w:pPr>
        <w:rPr>
          <w:rFonts w:hint="eastAsia" w:ascii="宋体" w:hAnsi="宋体" w:eastAsia="宋体" w:cs="宋体"/>
          <w:bCs/>
          <w:sz w:val="24"/>
          <w:highlight w:val="none"/>
        </w:rPr>
      </w:pPr>
    </w:p>
    <w:p>
      <w:pPr>
        <w:ind w:firstLine="120" w:firstLineChars="50"/>
        <w:rPr>
          <w:rFonts w:hint="eastAsia" w:ascii="宋体" w:hAnsi="宋体" w:eastAsia="宋体" w:cs="宋体"/>
          <w:bCs/>
          <w:sz w:val="24"/>
          <w:highlight w:val="none"/>
          <w:u w:val="single"/>
        </w:rPr>
      </w:pPr>
      <w:r>
        <w:rPr>
          <w:rFonts w:hint="eastAsia" w:ascii="宋体" w:hAnsi="宋体" w:eastAsia="宋体" w:cs="宋体"/>
          <w:bCs/>
          <w:sz w:val="24"/>
          <w:highlight w:val="none"/>
        </w:rPr>
        <w:t>被授权人：</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 xml:space="preserve">   职务：</w:t>
      </w:r>
      <w:r>
        <w:rPr>
          <w:rFonts w:hint="eastAsia" w:ascii="宋体" w:hAnsi="宋体" w:eastAsia="宋体" w:cs="宋体"/>
          <w:bCs/>
          <w:sz w:val="24"/>
          <w:highlight w:val="none"/>
          <w:u w:val="single"/>
        </w:rPr>
        <w:t xml:space="preserve">                  </w:t>
      </w:r>
    </w:p>
    <w:p>
      <w:pPr>
        <w:ind w:firstLine="120" w:firstLineChars="50"/>
        <w:rPr>
          <w:rFonts w:hint="eastAsia" w:ascii="宋体" w:hAnsi="宋体" w:eastAsia="宋体" w:cs="宋体"/>
          <w:bCs/>
          <w:sz w:val="24"/>
          <w:highlight w:val="none"/>
          <w:u w:val="single"/>
        </w:rPr>
      </w:pPr>
      <w:r>
        <w:rPr>
          <w:rFonts w:hint="eastAsia" w:ascii="宋体" w:hAnsi="宋体" w:eastAsia="宋体" w:cs="宋体"/>
          <w:bCs/>
          <w:sz w:val="24"/>
          <w:highlight w:val="none"/>
        </w:rPr>
        <w:t>联系电话：</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rPr>
        <w:t xml:space="preserve">   手机：</w:t>
      </w:r>
      <w:r>
        <w:rPr>
          <w:rFonts w:hint="eastAsia" w:ascii="宋体" w:hAnsi="宋体" w:eastAsia="宋体" w:cs="宋体"/>
          <w:bCs/>
          <w:sz w:val="24"/>
          <w:highlight w:val="none"/>
          <w:u w:val="single"/>
        </w:rPr>
        <w:t xml:space="preserve">                  </w:t>
      </w:r>
    </w:p>
    <w:p>
      <w:pPr>
        <w:ind w:firstLine="120" w:firstLineChars="50"/>
        <w:rPr>
          <w:rFonts w:hint="eastAsia" w:ascii="宋体" w:hAnsi="宋体" w:eastAsia="宋体" w:cs="宋体"/>
          <w:bCs/>
          <w:sz w:val="24"/>
          <w:highlight w:val="none"/>
        </w:rPr>
      </w:pPr>
      <w:r>
        <w:rPr>
          <w:rFonts w:hint="eastAsia" w:ascii="宋体" w:hAnsi="宋体" w:eastAsia="宋体" w:cs="宋体"/>
          <w:bCs/>
          <w:sz w:val="24"/>
          <w:highlight w:val="none"/>
        </w:rPr>
        <w:t>身份证号码：</w:t>
      </w:r>
      <w:r>
        <w:rPr>
          <w:rFonts w:hint="eastAsia" w:ascii="宋体" w:hAnsi="宋体" w:eastAsia="宋体" w:cs="宋体"/>
          <w:bCs/>
          <w:sz w:val="24"/>
          <w:highlight w:val="none"/>
          <w:u w:val="single"/>
        </w:rPr>
        <w:t xml:space="preserve">                                           </w:t>
      </w:r>
    </w:p>
    <w:p>
      <w:pPr>
        <w:ind w:firstLine="120" w:firstLineChars="50"/>
        <w:rPr>
          <w:rFonts w:hint="eastAsia" w:ascii="宋体" w:hAnsi="宋体" w:eastAsia="宋体" w:cs="宋体"/>
          <w:bCs/>
          <w:sz w:val="24"/>
          <w:highlight w:val="none"/>
          <w:u w:val="single"/>
        </w:rPr>
      </w:pPr>
      <w:r>
        <w:rPr>
          <w:rFonts w:hint="eastAsia" w:ascii="宋体" w:hAnsi="宋体" w:eastAsia="宋体" w:cs="宋体"/>
          <w:bCs/>
          <w:sz w:val="24"/>
          <w:highlight w:val="none"/>
        </w:rPr>
        <w:t>投标单位</w:t>
      </w:r>
      <w:r>
        <w:rPr>
          <w:rFonts w:hint="eastAsia" w:ascii="宋体" w:hAnsi="宋体" w:eastAsia="宋体" w:cs="宋体"/>
          <w:b/>
          <w:bCs/>
          <w:sz w:val="24"/>
          <w:highlight w:val="none"/>
        </w:rPr>
        <w:t>（盖公章）</w:t>
      </w:r>
      <w:r>
        <w:rPr>
          <w:rFonts w:hint="eastAsia" w:ascii="宋体" w:hAnsi="宋体" w:eastAsia="宋体" w:cs="宋体"/>
          <w:bCs/>
          <w:sz w:val="24"/>
          <w:highlight w:val="none"/>
        </w:rPr>
        <w:t>：</w:t>
      </w:r>
      <w:r>
        <w:rPr>
          <w:rFonts w:hint="eastAsia" w:ascii="宋体" w:hAnsi="宋体" w:eastAsia="宋体" w:cs="宋体"/>
          <w:bCs/>
          <w:sz w:val="24"/>
          <w:highlight w:val="none"/>
          <w:u w:val="single"/>
        </w:rPr>
        <w:t xml:space="preserve">                                        </w:t>
      </w:r>
    </w:p>
    <w:p>
      <w:pPr>
        <w:ind w:firstLine="120" w:firstLineChars="50"/>
        <w:rPr>
          <w:rFonts w:hint="eastAsia" w:ascii="宋体" w:hAnsi="宋体" w:eastAsia="宋体" w:cs="宋体"/>
          <w:bCs/>
          <w:sz w:val="24"/>
          <w:highlight w:val="none"/>
          <w:u w:val="single"/>
        </w:rPr>
      </w:pPr>
      <w:r>
        <w:rPr>
          <w:rFonts w:hint="eastAsia" w:ascii="宋体" w:hAnsi="宋体" w:eastAsia="宋体" w:cs="宋体"/>
          <w:bCs/>
          <w:sz w:val="24"/>
          <w:highlight w:val="none"/>
        </w:rPr>
        <w:t>法定代表人</w:t>
      </w:r>
      <w:r>
        <w:rPr>
          <w:rFonts w:hint="eastAsia" w:ascii="宋体" w:hAnsi="宋体" w:eastAsia="宋体" w:cs="宋体"/>
          <w:b/>
          <w:bCs/>
          <w:sz w:val="24"/>
          <w:highlight w:val="none"/>
        </w:rPr>
        <w:t>（签名或签章）</w:t>
      </w:r>
      <w:r>
        <w:rPr>
          <w:rFonts w:hint="eastAsia" w:ascii="宋体" w:hAnsi="宋体" w:eastAsia="宋体" w:cs="宋体"/>
          <w:bCs/>
          <w:sz w:val="24"/>
          <w:highlight w:val="none"/>
        </w:rPr>
        <w:t>：</w:t>
      </w:r>
      <w:r>
        <w:rPr>
          <w:rFonts w:hint="eastAsia" w:ascii="宋体" w:hAnsi="宋体" w:eastAsia="宋体" w:cs="宋体"/>
          <w:bCs/>
          <w:sz w:val="24"/>
          <w:highlight w:val="none"/>
          <w:u w:val="single"/>
        </w:rPr>
        <w:t xml:space="preserve">                                    </w:t>
      </w:r>
    </w:p>
    <w:p>
      <w:pPr>
        <w:ind w:firstLine="120" w:firstLineChars="50"/>
        <w:rPr>
          <w:rFonts w:hint="eastAsia" w:ascii="宋体" w:hAnsi="宋体" w:eastAsia="宋体" w:cs="宋体"/>
          <w:bCs/>
          <w:sz w:val="24"/>
          <w:highlight w:val="none"/>
          <w:u w:val="single"/>
        </w:rPr>
      </w:pPr>
      <w:r>
        <w:rPr>
          <w:rFonts w:hint="eastAsia" w:ascii="宋体" w:hAnsi="宋体" w:eastAsia="宋体" w:cs="宋体"/>
          <w:bCs/>
          <w:sz w:val="24"/>
          <w:highlight w:val="none"/>
        </w:rPr>
        <w:t>被授权人</w:t>
      </w:r>
      <w:r>
        <w:rPr>
          <w:rFonts w:hint="eastAsia" w:ascii="宋体" w:hAnsi="宋体" w:eastAsia="宋体" w:cs="宋体"/>
          <w:b/>
          <w:bCs/>
          <w:sz w:val="24"/>
          <w:highlight w:val="none"/>
        </w:rPr>
        <w:t>（签名或签章）</w:t>
      </w:r>
      <w:r>
        <w:rPr>
          <w:rFonts w:hint="eastAsia" w:ascii="宋体" w:hAnsi="宋体" w:eastAsia="宋体" w:cs="宋体"/>
          <w:bCs/>
          <w:sz w:val="24"/>
          <w:highlight w:val="none"/>
        </w:rPr>
        <w:t>：</w:t>
      </w:r>
      <w:r>
        <w:rPr>
          <w:rFonts w:hint="eastAsia" w:ascii="宋体" w:hAnsi="宋体" w:eastAsia="宋体" w:cs="宋体"/>
          <w:bCs/>
          <w:sz w:val="24"/>
          <w:highlight w:val="none"/>
          <w:u w:val="single"/>
        </w:rPr>
        <w:t xml:space="preserve">                                      </w:t>
      </w:r>
    </w:p>
    <w:p>
      <w:pPr>
        <w:rPr>
          <w:rFonts w:hint="eastAsia" w:ascii="宋体" w:hAnsi="宋体" w:eastAsia="宋体" w:cs="宋体"/>
          <w:bCs/>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191770</wp:posOffset>
                </wp:positionV>
                <wp:extent cx="5575935" cy="1923415"/>
                <wp:effectExtent l="4445" t="5080" r="20320" b="14605"/>
                <wp:wrapNone/>
                <wp:docPr id="9" name="矩形 4"/>
                <wp:cNvGraphicFramePr/>
                <a:graphic xmlns:a="http://schemas.openxmlformats.org/drawingml/2006/main">
                  <a:graphicData uri="http://schemas.microsoft.com/office/word/2010/wordprocessingShape">
                    <wps:wsp>
                      <wps:cNvSpPr/>
                      <wps:spPr>
                        <a:xfrm>
                          <a:off x="0" y="0"/>
                          <a:ext cx="5575935" cy="1923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rPr>
                                <w:rFonts w:ascii="宋体" w:hAnsi="宋体" w:cs="Arial"/>
                                <w:bCs/>
                                <w:sz w:val="24"/>
                              </w:rPr>
                            </w:pPr>
                            <w:r>
                              <w:rPr>
                                <w:rFonts w:hint="eastAsia" w:ascii="宋体" w:hAnsi="宋体" w:cs="Arial"/>
                                <w:bCs/>
                                <w:sz w:val="24"/>
                              </w:rPr>
                              <w:t xml:space="preserve">被授权人的身份证正反面复印件    </w:t>
                            </w:r>
                          </w:p>
                          <w:p>
                            <w:pPr>
                              <w:snapToGrid w:val="0"/>
                              <w:rPr>
                                <w:rFonts w:ascii="宋体" w:hAnsi="宋体" w:cs="Arial"/>
                                <w:bCs/>
                                <w:sz w:val="24"/>
                              </w:rPr>
                            </w:pPr>
                            <w:r>
                              <w:rPr>
                                <w:rFonts w:hint="eastAsia" w:ascii="宋体" w:hAnsi="宋体" w:cs="Arial"/>
                                <w:bCs/>
                                <w:sz w:val="24"/>
                              </w:rPr>
                              <w:t xml:space="preserve">（粘贴此处）              </w:t>
                            </w:r>
                          </w:p>
                          <w:p/>
                        </w:txbxContent>
                      </wps:txbx>
                      <wps:bodyPr upright="1"/>
                    </wps:wsp>
                  </a:graphicData>
                </a:graphic>
              </wp:anchor>
            </w:drawing>
          </mc:Choice>
          <mc:Fallback>
            <w:pict>
              <v:rect id="矩形 4" o:spid="_x0000_s1026" o:spt="1" style="position:absolute;left:0pt;margin-left:-7.1pt;margin-top:15.1pt;height:151.45pt;width:439.05pt;z-index:251659264;mso-width-relative:page;mso-height-relative:page;" fillcolor="#FFFFFF" filled="t" stroked="t" coordsize="21600,21600" o:gfxdata="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2ZvKXYAAAACgEAAA8AAAAAAAAAAQAgAAAAIgAAAGRy&#10;cy9kb3ducmV2LnhtbFBLAQIUABQAAAAIAIdO4kAVAVZLBQIAADgEAAAOAAAAAAAAAAEAIAAAACcB&#10;AABkcnMvZTJvRG9jLnhtbFBLBQYAAAAABgAGAFkBAACeBQAAAAA=&#10;">
                <v:fill on="t" focussize="0,0"/>
                <v:stroke color="#000000" joinstyle="miter"/>
                <v:imagedata o:title=""/>
                <o:lock v:ext="edit" aspectratio="f"/>
                <v:textbox>
                  <w:txbxContent>
                    <w:p>
                      <w:pPr>
                        <w:snapToGrid w:val="0"/>
                        <w:rPr>
                          <w:rFonts w:ascii="宋体" w:hAnsi="宋体" w:cs="Arial"/>
                          <w:bCs/>
                          <w:sz w:val="24"/>
                        </w:rPr>
                      </w:pPr>
                      <w:r>
                        <w:rPr>
                          <w:rFonts w:hint="eastAsia" w:ascii="宋体" w:hAnsi="宋体" w:cs="Arial"/>
                          <w:bCs/>
                          <w:sz w:val="24"/>
                        </w:rPr>
                        <w:t xml:space="preserve">被授权人的身份证正反面复印件    </w:t>
                      </w:r>
                    </w:p>
                    <w:p>
                      <w:pPr>
                        <w:snapToGrid w:val="0"/>
                        <w:rPr>
                          <w:rFonts w:ascii="宋体" w:hAnsi="宋体" w:cs="Arial"/>
                          <w:bCs/>
                          <w:sz w:val="24"/>
                        </w:rPr>
                      </w:pPr>
                      <w:r>
                        <w:rPr>
                          <w:rFonts w:hint="eastAsia" w:ascii="宋体" w:hAnsi="宋体" w:cs="Arial"/>
                          <w:bCs/>
                          <w:sz w:val="24"/>
                        </w:rPr>
                        <w:t xml:space="preserve">（粘贴此处）              </w:t>
                      </w:r>
                    </w:p>
                    <w:p/>
                  </w:txbxContent>
                </v:textbox>
              </v:rect>
            </w:pict>
          </mc:Fallback>
        </mc:AlternateContent>
      </w:r>
    </w:p>
    <w:p>
      <w:pPr>
        <w:rPr>
          <w:rFonts w:hint="eastAsia" w:ascii="宋体" w:hAnsi="宋体" w:eastAsia="宋体" w:cs="宋体"/>
          <w:bCs/>
          <w:sz w:val="24"/>
          <w:highlight w:val="none"/>
        </w:rPr>
      </w:pPr>
    </w:p>
    <w:p>
      <w:pPr>
        <w:rPr>
          <w:rFonts w:hint="eastAsia" w:ascii="宋体" w:hAnsi="宋体" w:eastAsia="宋体" w:cs="宋体"/>
          <w:bCs/>
          <w:sz w:val="24"/>
          <w:highlight w:val="none"/>
        </w:rPr>
      </w:pPr>
    </w:p>
    <w:p>
      <w:pPr>
        <w:rPr>
          <w:rFonts w:hint="eastAsia" w:ascii="宋体" w:hAnsi="宋体" w:eastAsia="宋体" w:cs="宋体"/>
          <w:bCs/>
          <w:sz w:val="24"/>
          <w:highlight w:val="none"/>
        </w:rPr>
      </w:pPr>
    </w:p>
    <w:p>
      <w:pPr>
        <w:rPr>
          <w:rFonts w:hint="eastAsia" w:ascii="宋体" w:hAnsi="宋体" w:eastAsia="宋体" w:cs="宋体"/>
          <w:bCs/>
          <w:sz w:val="24"/>
          <w:highlight w:val="none"/>
        </w:rPr>
      </w:pPr>
    </w:p>
    <w:p>
      <w:pPr>
        <w:rPr>
          <w:rFonts w:hint="eastAsia" w:ascii="宋体" w:hAnsi="宋体" w:eastAsia="宋体" w:cs="宋体"/>
          <w:bCs/>
          <w:sz w:val="24"/>
          <w:highlight w:val="none"/>
        </w:rPr>
      </w:pPr>
    </w:p>
    <w:p>
      <w:pPr>
        <w:rPr>
          <w:rFonts w:hint="eastAsia" w:ascii="宋体" w:hAnsi="宋体" w:eastAsia="宋体" w:cs="宋体"/>
          <w:bCs/>
          <w:sz w:val="24"/>
          <w:highlight w:val="none"/>
        </w:rPr>
      </w:pPr>
    </w:p>
    <w:p>
      <w:pPr>
        <w:rPr>
          <w:rFonts w:hint="eastAsia" w:ascii="宋体" w:hAnsi="宋体" w:eastAsia="宋体" w:cs="宋体"/>
          <w:bCs/>
          <w:sz w:val="24"/>
          <w:highlight w:val="none"/>
        </w:rPr>
      </w:pPr>
    </w:p>
    <w:p>
      <w:pPr>
        <w:rPr>
          <w:rFonts w:hint="eastAsia" w:ascii="宋体" w:hAnsi="宋体" w:eastAsia="宋体" w:cs="宋体"/>
          <w:bCs/>
          <w:sz w:val="24"/>
          <w:highlight w:val="none"/>
        </w:rPr>
      </w:pPr>
    </w:p>
    <w:p>
      <w:pPr>
        <w:rPr>
          <w:rFonts w:hint="eastAsia" w:ascii="宋体" w:hAnsi="宋体" w:eastAsia="宋体" w:cs="宋体"/>
          <w:bCs/>
          <w:sz w:val="24"/>
          <w:highlight w:val="none"/>
        </w:rPr>
      </w:pPr>
    </w:p>
    <w:p>
      <w:pPr>
        <w:rPr>
          <w:rFonts w:hint="eastAsia" w:ascii="宋体" w:hAnsi="宋体" w:eastAsia="宋体" w:cs="宋体"/>
          <w:bCs/>
          <w:sz w:val="24"/>
          <w:highlight w:val="none"/>
        </w:rPr>
      </w:pPr>
    </w:p>
    <w:p>
      <w:pPr>
        <w:rPr>
          <w:rFonts w:hint="eastAsia" w:ascii="宋体" w:hAnsi="宋体" w:eastAsia="宋体" w:cs="宋体"/>
          <w:bCs/>
          <w:sz w:val="24"/>
          <w:highlight w:val="none"/>
        </w:rPr>
      </w:pPr>
    </w:p>
    <w:p>
      <w:pPr>
        <w:rPr>
          <w:rFonts w:hint="eastAsia" w:ascii="宋体" w:hAnsi="宋体" w:eastAsia="宋体" w:cs="宋体"/>
          <w:bCs/>
          <w:szCs w:val="21"/>
          <w:highlight w:val="none"/>
        </w:rPr>
      </w:pPr>
      <w:r>
        <w:rPr>
          <w:rFonts w:hint="eastAsia" w:ascii="宋体" w:hAnsi="宋体" w:eastAsia="宋体" w:cs="宋体"/>
          <w:bCs/>
          <w:szCs w:val="21"/>
          <w:highlight w:val="none"/>
        </w:rPr>
        <w:t>说明：</w:t>
      </w:r>
    </w:p>
    <w:p>
      <w:pPr>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1.本授权委托书要求投标人提供有</w:t>
      </w:r>
      <w:r>
        <w:rPr>
          <w:rFonts w:hint="eastAsia" w:ascii="宋体" w:hAnsi="宋体" w:eastAsia="宋体" w:cs="宋体"/>
          <w:b/>
          <w:bCs/>
          <w:szCs w:val="21"/>
          <w:highlight w:val="none"/>
        </w:rPr>
        <w:t>被授权人签字（或签章）、法定代表人的签字（或签章）和加盖公章</w:t>
      </w:r>
      <w:r>
        <w:rPr>
          <w:rFonts w:hint="eastAsia" w:ascii="宋体" w:hAnsi="宋体" w:eastAsia="宋体" w:cs="宋体"/>
          <w:bCs/>
          <w:szCs w:val="21"/>
          <w:highlight w:val="none"/>
        </w:rPr>
        <w:t>后的原件方为有效；</w:t>
      </w:r>
    </w:p>
    <w:p>
      <w:pPr>
        <w:rPr>
          <w:rFonts w:hint="eastAsia" w:ascii="宋体" w:hAnsi="宋体" w:eastAsia="宋体" w:cs="宋体"/>
          <w:bCs/>
          <w:szCs w:val="21"/>
          <w:highlight w:val="none"/>
        </w:rPr>
      </w:pPr>
      <w:r>
        <w:rPr>
          <w:rFonts w:hint="eastAsia" w:ascii="宋体" w:hAnsi="宋体" w:eastAsia="宋体" w:cs="宋体"/>
          <w:szCs w:val="21"/>
          <w:highlight w:val="none"/>
        </w:rPr>
        <w:t xml:space="preserve">    2.提供被授权人的身份证复印件（粘贴上述指定位置）。</w:t>
      </w:r>
      <w:bookmarkEnd w:id="445"/>
      <w:bookmarkEnd w:id="446"/>
    </w:p>
    <w:p>
      <w:pPr>
        <w:pStyle w:val="25"/>
        <w:rPr>
          <w:rFonts w:hint="eastAsia" w:ascii="宋体" w:hAnsi="宋体" w:eastAsia="宋体" w:cs="宋体"/>
          <w:snapToGrid w:val="0"/>
          <w:sz w:val="22"/>
          <w:highlight w:val="none"/>
        </w:rPr>
      </w:pPr>
    </w:p>
    <w:p>
      <w:pPr>
        <w:pStyle w:val="25"/>
        <w:jc w:val="center"/>
        <w:rPr>
          <w:rFonts w:hint="eastAsia" w:ascii="宋体" w:hAnsi="宋体" w:eastAsia="宋体" w:cs="宋体"/>
          <w:b/>
          <w:bCs/>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p>
    <w:p>
      <w:pPr>
        <w:pStyle w:val="25"/>
        <w:jc w:val="center"/>
        <w:rPr>
          <w:rFonts w:hint="eastAsia" w:ascii="宋体" w:hAnsi="宋体" w:eastAsia="宋体" w:cs="宋体"/>
          <w:sz w:val="28"/>
          <w:highlight w:val="none"/>
        </w:rPr>
      </w:pPr>
      <w:r>
        <w:rPr>
          <w:rFonts w:hint="eastAsia" w:ascii="宋体" w:hAnsi="宋体" w:eastAsia="宋体" w:cs="宋体"/>
          <w:b/>
          <w:bCs/>
          <w:snapToGrid w:val="0"/>
          <w:sz w:val="30"/>
          <w:szCs w:val="30"/>
          <w:highlight w:val="none"/>
        </w:rPr>
        <w:t>其他</w:t>
      </w:r>
    </w:p>
    <w:p>
      <w:pPr>
        <w:spacing w:line="360" w:lineRule="auto"/>
        <w:jc w:val="center"/>
        <w:rPr>
          <w:rFonts w:hint="eastAsia" w:ascii="宋体" w:hAnsi="宋体" w:eastAsia="宋体" w:cs="宋体"/>
          <w:b/>
          <w:snapToGrid w:val="0"/>
          <w:highlight w:val="none"/>
        </w:rPr>
      </w:pPr>
      <w:r>
        <w:rPr>
          <w:rFonts w:hint="eastAsia" w:ascii="宋体" w:hAnsi="宋体" w:eastAsia="宋体" w:cs="宋体"/>
          <w:b/>
          <w:snapToGrid w:val="0"/>
          <w:highlight w:val="none"/>
        </w:rPr>
        <w:t>（招标人要求提供的与投标人条件审查有关的其他资格证明材料）</w:t>
      </w:r>
    </w:p>
    <w:p>
      <w:pPr>
        <w:tabs>
          <w:tab w:val="left" w:pos="7560"/>
        </w:tabs>
        <w:spacing w:line="360" w:lineRule="auto"/>
        <w:rPr>
          <w:rFonts w:hint="eastAsia" w:ascii="宋体" w:hAnsi="宋体" w:eastAsia="宋体" w:cs="宋体"/>
          <w:sz w:val="20"/>
          <w:szCs w:val="21"/>
          <w:highlight w:val="none"/>
        </w:rPr>
      </w:pPr>
      <w:r>
        <w:rPr>
          <w:rFonts w:hint="eastAsia" w:ascii="宋体" w:hAnsi="宋体" w:eastAsia="宋体" w:cs="宋体"/>
          <w:highlight w:val="none"/>
        </w:rPr>
        <w:br w:type="page"/>
      </w:r>
    </w:p>
    <w:p>
      <w:pPr>
        <w:tabs>
          <w:tab w:val="left" w:pos="7560"/>
        </w:tabs>
        <w:spacing w:line="360" w:lineRule="auto"/>
        <w:rPr>
          <w:rFonts w:hint="eastAsia" w:ascii="宋体" w:hAnsi="宋体" w:eastAsia="宋体" w:cs="宋体"/>
          <w:sz w:val="20"/>
          <w:szCs w:val="21"/>
          <w:highlight w:val="none"/>
        </w:rPr>
      </w:pPr>
    </w:p>
    <w:p>
      <w:pPr>
        <w:adjustRightInd w:val="0"/>
        <w:snapToGrid w:val="0"/>
        <w:spacing w:line="360" w:lineRule="auto"/>
        <w:jc w:val="center"/>
        <w:rPr>
          <w:rFonts w:hint="eastAsia" w:ascii="宋体" w:hAnsi="宋体" w:eastAsia="宋体" w:cs="宋体"/>
          <w:snapToGrid w:val="0"/>
          <w:sz w:val="36"/>
          <w:szCs w:val="36"/>
          <w:highlight w:val="none"/>
        </w:rPr>
      </w:pPr>
      <w:r>
        <w:rPr>
          <w:rFonts w:hint="eastAsia" w:ascii="宋体" w:hAnsi="宋体" w:cs="宋体"/>
          <w:snapToGrid w:val="0"/>
          <w:sz w:val="36"/>
          <w:szCs w:val="36"/>
          <w:highlight w:val="none"/>
          <w:lang w:eastAsia="zh-CN"/>
        </w:rPr>
        <w:t>深圳会计进修学院生活用水市政接驳工程（一体化加压设备）</w:t>
      </w:r>
      <w:r>
        <w:rPr>
          <w:rFonts w:hint="eastAsia" w:ascii="宋体" w:hAnsi="宋体" w:eastAsia="宋体" w:cs="宋体"/>
          <w:snapToGrid w:val="0"/>
          <w:sz w:val="36"/>
          <w:szCs w:val="36"/>
          <w:highlight w:val="none"/>
        </w:rPr>
        <w:t>项目</w:t>
      </w:r>
    </w:p>
    <w:p>
      <w:pPr>
        <w:adjustRightInd w:val="0"/>
        <w:snapToGrid w:val="0"/>
        <w:spacing w:line="360" w:lineRule="auto"/>
        <w:jc w:val="center"/>
        <w:rPr>
          <w:rFonts w:hint="eastAsia" w:ascii="宋体" w:hAnsi="宋体" w:eastAsia="宋体" w:cs="宋体"/>
          <w:snapToGrid w:val="0"/>
          <w:sz w:val="36"/>
          <w:szCs w:val="36"/>
          <w:highlight w:val="none"/>
        </w:rPr>
      </w:pPr>
    </w:p>
    <w:p>
      <w:pPr>
        <w:adjustRightInd w:val="0"/>
        <w:snapToGrid w:val="0"/>
        <w:spacing w:line="360" w:lineRule="auto"/>
        <w:jc w:val="center"/>
        <w:rPr>
          <w:rFonts w:hint="eastAsia" w:ascii="宋体" w:hAnsi="宋体" w:eastAsia="宋体" w:cs="宋体"/>
          <w:snapToGrid w:val="0"/>
          <w:sz w:val="52"/>
          <w:szCs w:val="52"/>
          <w:highlight w:val="none"/>
        </w:rPr>
      </w:pPr>
      <w:r>
        <w:rPr>
          <w:rFonts w:hint="eastAsia" w:ascii="宋体" w:hAnsi="宋体" w:eastAsia="宋体" w:cs="宋体"/>
          <w:snapToGrid w:val="0"/>
          <w:sz w:val="52"/>
          <w:szCs w:val="52"/>
          <w:highlight w:val="none"/>
        </w:rPr>
        <w:t>投标文件</w:t>
      </w:r>
    </w:p>
    <w:p>
      <w:pPr>
        <w:adjustRightInd w:val="0"/>
        <w:snapToGrid w:val="0"/>
        <w:spacing w:line="360" w:lineRule="auto"/>
        <w:jc w:val="center"/>
        <w:rPr>
          <w:rFonts w:hint="eastAsia" w:ascii="宋体" w:hAnsi="宋体" w:eastAsia="宋体" w:cs="宋体"/>
          <w:snapToGrid w:val="0"/>
          <w:sz w:val="52"/>
          <w:szCs w:val="52"/>
          <w:highlight w:val="none"/>
        </w:rPr>
      </w:pPr>
    </w:p>
    <w:p>
      <w:pPr>
        <w:adjustRightInd w:val="0"/>
        <w:snapToGrid w:val="0"/>
        <w:spacing w:line="360" w:lineRule="auto"/>
        <w:jc w:val="center"/>
        <w:rPr>
          <w:rFonts w:hint="eastAsia" w:ascii="宋体" w:hAnsi="宋体" w:eastAsia="宋体" w:cs="宋体"/>
          <w:snapToGrid w:val="0"/>
          <w:sz w:val="52"/>
          <w:szCs w:val="52"/>
          <w:highlight w:val="none"/>
        </w:rPr>
      </w:pPr>
    </w:p>
    <w:p>
      <w:pPr>
        <w:pStyle w:val="7"/>
        <w:jc w:val="center"/>
        <w:rPr>
          <w:rFonts w:hint="eastAsia" w:ascii="宋体" w:hAnsi="宋体" w:eastAsia="宋体" w:cs="宋体"/>
          <w:sz w:val="40"/>
          <w:highlight w:val="none"/>
        </w:rPr>
      </w:pPr>
      <w:bookmarkStart w:id="447" w:name="_Toc12787"/>
      <w:bookmarkStart w:id="448" w:name="_Toc133706534"/>
      <w:bookmarkStart w:id="449" w:name="_Toc26414"/>
      <w:bookmarkStart w:id="450" w:name="_Toc10920"/>
      <w:bookmarkStart w:id="451" w:name="_Toc10541"/>
      <w:bookmarkStart w:id="452" w:name="_Toc24830"/>
      <w:bookmarkStart w:id="453" w:name="_Toc133705468"/>
      <w:bookmarkStart w:id="454" w:name="_Toc133706210"/>
      <w:bookmarkStart w:id="455" w:name="_Toc11051"/>
      <w:bookmarkStart w:id="456" w:name="_Toc19680"/>
      <w:bookmarkStart w:id="457" w:name="_Toc26051"/>
      <w:bookmarkStart w:id="458" w:name="_Toc23231"/>
      <w:bookmarkStart w:id="459" w:name="_Toc91598753"/>
      <w:bookmarkStart w:id="460" w:name="_Toc21812"/>
      <w:bookmarkStart w:id="461" w:name="_Toc10022"/>
      <w:bookmarkStart w:id="462" w:name="_Toc7758"/>
      <w:bookmarkStart w:id="463" w:name="_Toc8573"/>
      <w:bookmarkStart w:id="464" w:name="_Toc2022"/>
      <w:bookmarkStart w:id="465" w:name="_Toc133706680"/>
      <w:r>
        <w:rPr>
          <w:rFonts w:hint="eastAsia" w:ascii="宋体" w:hAnsi="宋体" w:eastAsia="宋体" w:cs="宋体"/>
          <w:sz w:val="40"/>
          <w:highlight w:val="none"/>
        </w:rPr>
        <w:t>商务标</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adjustRightInd w:val="0"/>
        <w:snapToGrid w:val="0"/>
        <w:spacing w:line="360" w:lineRule="auto"/>
        <w:jc w:val="center"/>
        <w:rPr>
          <w:rFonts w:hint="eastAsia" w:ascii="宋体" w:hAnsi="宋体" w:eastAsia="宋体" w:cs="宋体"/>
          <w:snapToGrid w:val="0"/>
          <w:sz w:val="44"/>
          <w:szCs w:val="44"/>
          <w:highlight w:val="none"/>
        </w:rPr>
      </w:pPr>
    </w:p>
    <w:p>
      <w:pPr>
        <w:adjustRightInd w:val="0"/>
        <w:snapToGrid w:val="0"/>
        <w:spacing w:line="360" w:lineRule="auto"/>
        <w:jc w:val="center"/>
        <w:rPr>
          <w:rFonts w:hint="eastAsia" w:ascii="宋体" w:hAnsi="宋体" w:eastAsia="宋体" w:cs="宋体"/>
          <w:snapToGrid w:val="0"/>
          <w:sz w:val="44"/>
          <w:szCs w:val="44"/>
          <w:highlight w:val="none"/>
        </w:rPr>
      </w:pPr>
    </w:p>
    <w:p>
      <w:pPr>
        <w:adjustRightInd w:val="0"/>
        <w:snapToGrid w:val="0"/>
        <w:spacing w:line="360" w:lineRule="auto"/>
        <w:jc w:val="center"/>
        <w:rPr>
          <w:rFonts w:hint="eastAsia" w:ascii="宋体" w:hAnsi="宋体" w:eastAsia="宋体" w:cs="宋体"/>
          <w:snapToGrid w:val="0"/>
          <w:sz w:val="44"/>
          <w:szCs w:val="44"/>
          <w:highlight w:val="none"/>
        </w:rPr>
      </w:pPr>
    </w:p>
    <w:p>
      <w:pPr>
        <w:adjustRightInd w:val="0"/>
        <w:snapToGrid w:val="0"/>
        <w:spacing w:line="360" w:lineRule="auto"/>
        <w:rPr>
          <w:rFonts w:hint="eastAsia" w:ascii="宋体" w:hAnsi="宋体" w:eastAsia="宋体" w:cs="宋体"/>
          <w:snapToGrid w:val="0"/>
          <w:sz w:val="44"/>
          <w:szCs w:val="44"/>
          <w:highlight w:val="none"/>
        </w:rPr>
      </w:pPr>
    </w:p>
    <w:p>
      <w:pPr>
        <w:adjustRightInd w:val="0"/>
        <w:snapToGrid w:val="0"/>
        <w:spacing w:line="360" w:lineRule="auto"/>
        <w:jc w:val="center"/>
        <w:rPr>
          <w:rFonts w:hint="eastAsia" w:ascii="宋体" w:hAnsi="宋体" w:eastAsia="宋体" w:cs="宋体"/>
          <w:snapToGrid w:val="0"/>
          <w:sz w:val="44"/>
          <w:szCs w:val="44"/>
          <w:highlight w:val="none"/>
        </w:rPr>
      </w:pPr>
    </w:p>
    <w:p>
      <w:pPr>
        <w:adjustRightInd w:val="0"/>
        <w:snapToGrid w:val="0"/>
        <w:spacing w:line="360" w:lineRule="auto"/>
        <w:ind w:firstLine="1400" w:firstLineChars="500"/>
        <w:jc w:val="left"/>
        <w:rPr>
          <w:rFonts w:hint="eastAsia" w:ascii="宋体" w:hAnsi="宋体" w:eastAsia="宋体" w:cs="宋体"/>
          <w:snapToGrid w:val="0"/>
          <w:sz w:val="28"/>
          <w:szCs w:val="28"/>
          <w:highlight w:val="none"/>
        </w:rPr>
      </w:pPr>
    </w:p>
    <w:p>
      <w:pPr>
        <w:adjustRightInd w:val="0"/>
        <w:snapToGrid w:val="0"/>
        <w:spacing w:line="360" w:lineRule="auto"/>
        <w:ind w:firstLine="1400" w:firstLineChars="500"/>
        <w:jc w:val="left"/>
        <w:rPr>
          <w:rFonts w:hint="eastAsia" w:ascii="宋体" w:hAnsi="宋体" w:eastAsia="宋体" w:cs="宋体"/>
          <w:snapToGrid w:val="0"/>
          <w:sz w:val="28"/>
          <w:szCs w:val="28"/>
          <w:highlight w:val="none"/>
        </w:rPr>
      </w:pPr>
      <w:r>
        <w:rPr>
          <w:rFonts w:hint="eastAsia" w:ascii="宋体" w:hAnsi="宋体" w:eastAsia="宋体" w:cs="宋体"/>
          <w:snapToGrid w:val="0"/>
          <w:sz w:val="28"/>
          <w:szCs w:val="28"/>
          <w:highlight w:val="none"/>
        </w:rPr>
        <w:t>投标人名称：___________________________</w:t>
      </w:r>
    </w:p>
    <w:p>
      <w:pPr>
        <w:adjustRightInd w:val="0"/>
        <w:snapToGrid w:val="0"/>
        <w:spacing w:line="360" w:lineRule="auto"/>
        <w:ind w:firstLine="1400" w:firstLineChars="500"/>
        <w:jc w:val="left"/>
        <w:rPr>
          <w:rFonts w:hint="eastAsia" w:ascii="宋体" w:hAnsi="宋体" w:eastAsia="宋体" w:cs="宋体"/>
          <w:snapToGrid w:val="0"/>
          <w:sz w:val="28"/>
          <w:szCs w:val="28"/>
          <w:highlight w:val="none"/>
        </w:rPr>
      </w:pPr>
      <w:r>
        <w:rPr>
          <w:rFonts w:hint="eastAsia" w:ascii="宋体" w:hAnsi="宋体" w:eastAsia="宋体" w:cs="宋体"/>
          <w:snapToGrid w:val="0"/>
          <w:sz w:val="28"/>
          <w:szCs w:val="28"/>
          <w:highlight w:val="none"/>
        </w:rPr>
        <w:t>投标人代表：___________________________</w:t>
      </w:r>
    </w:p>
    <w:p>
      <w:pPr>
        <w:spacing w:line="360" w:lineRule="auto"/>
        <w:ind w:firstLine="1400" w:firstLineChars="500"/>
        <w:rPr>
          <w:rFonts w:hint="eastAsia" w:ascii="宋体" w:hAnsi="宋体" w:eastAsia="宋体" w:cs="宋体"/>
          <w:b/>
          <w:snapToGrid w:val="0"/>
          <w:sz w:val="30"/>
          <w:szCs w:val="30"/>
          <w:highlight w:val="none"/>
        </w:rPr>
      </w:pPr>
      <w:r>
        <w:rPr>
          <w:rFonts w:hint="eastAsia" w:ascii="宋体" w:hAnsi="宋体" w:eastAsia="宋体" w:cs="宋体"/>
          <w:snapToGrid w:val="0"/>
          <w:sz w:val="28"/>
          <w:szCs w:val="28"/>
          <w:highlight w:val="none"/>
        </w:rPr>
        <w:t>投标日期：___________年______月_____</w:t>
      </w:r>
      <w:bookmarkStart w:id="466" w:name="_Toc25082"/>
    </w:p>
    <w:bookmarkEnd w:id="466"/>
    <w:p>
      <w:pPr>
        <w:pStyle w:val="8"/>
        <w:tabs>
          <w:tab w:val="left" w:pos="3143"/>
          <w:tab w:val="center" w:pos="4153"/>
        </w:tabs>
        <w:spacing w:line="276" w:lineRule="auto"/>
        <w:jc w:val="center"/>
        <w:rPr>
          <w:rFonts w:ascii="宋体" w:hAnsi="宋体" w:cs="宋体"/>
          <w:b w:val="0"/>
          <w:snapToGrid w:val="0"/>
          <w:sz w:val="30"/>
          <w:szCs w:val="30"/>
          <w:highlight w:val="none"/>
        </w:rPr>
      </w:pPr>
      <w:bookmarkStart w:id="467" w:name="_Toc152852449"/>
      <w:r>
        <w:rPr>
          <w:rFonts w:hint="eastAsia" w:ascii="宋体" w:hAnsi="宋体" w:cs="宋体"/>
          <w:sz w:val="28"/>
          <w:highlight w:val="none"/>
        </w:rPr>
        <w:t>一、投标函</w:t>
      </w:r>
      <w:bookmarkEnd w:id="467"/>
    </w:p>
    <w:p>
      <w:pPr>
        <w:spacing w:after="312" w:afterLines="100" w:line="360" w:lineRule="auto"/>
        <w:jc w:val="left"/>
        <w:rPr>
          <w:rFonts w:ascii="宋体" w:hAnsi="宋体" w:cs="宋体"/>
          <w:b/>
          <w:bCs/>
          <w:snapToGrid w:val="0"/>
          <w:kern w:val="0"/>
          <w:szCs w:val="21"/>
          <w:highlight w:val="none"/>
        </w:rPr>
      </w:pPr>
      <w:r>
        <w:rPr>
          <w:rFonts w:hint="eastAsia" w:ascii="宋体" w:hAnsi="宋体" w:cs="宋体"/>
          <w:b/>
          <w:bCs/>
          <w:snapToGrid w:val="0"/>
          <w:kern w:val="0"/>
          <w:szCs w:val="21"/>
          <w:highlight w:val="none"/>
        </w:rPr>
        <w:t>致</w:t>
      </w:r>
      <w:r>
        <w:rPr>
          <w:rFonts w:hint="eastAsia" w:ascii="宋体" w:hAnsi="宋体" w:cs="宋体"/>
          <w:b/>
          <w:bCs/>
          <w:szCs w:val="21"/>
          <w:highlight w:val="none"/>
          <w:u w:val="single"/>
        </w:rPr>
        <w:t>深圳市环水建设工程有限公司</w:t>
      </w:r>
      <w:r>
        <w:rPr>
          <w:rFonts w:hint="eastAsia" w:ascii="宋体" w:hAnsi="宋体" w:cs="宋体"/>
          <w:b/>
          <w:bCs/>
          <w:snapToGrid w:val="0"/>
          <w:kern w:val="0"/>
          <w:szCs w:val="21"/>
          <w:highlight w:val="none"/>
        </w:rPr>
        <w:t>：</w:t>
      </w:r>
    </w:p>
    <w:p>
      <w:pPr>
        <w:pStyle w:val="19"/>
        <w:snapToGrid w:val="0"/>
        <w:spacing w:line="480" w:lineRule="auto"/>
        <w:rPr>
          <w:rFonts w:ascii="宋体" w:hAnsi="宋体" w:cs="宋体"/>
          <w:snapToGrid w:val="0"/>
          <w:sz w:val="21"/>
          <w:szCs w:val="22"/>
          <w:highlight w:val="none"/>
        </w:rPr>
      </w:pPr>
      <w:r>
        <w:rPr>
          <w:rFonts w:hint="eastAsia" w:ascii="宋体" w:hAnsi="宋体"/>
          <w:snapToGrid w:val="0"/>
          <w:sz w:val="21"/>
          <w:szCs w:val="22"/>
          <w:highlight w:val="none"/>
        </w:rPr>
        <w:t>根据贵方的项目编号为</w:t>
      </w:r>
      <w:r>
        <w:rPr>
          <w:rFonts w:hint="eastAsia" w:ascii="宋体" w:hAnsi="宋体"/>
          <w:b/>
          <w:bCs/>
          <w:snapToGrid w:val="0"/>
          <w:sz w:val="21"/>
          <w:szCs w:val="22"/>
          <w:highlight w:val="none"/>
          <w:u w:val="single"/>
        </w:rPr>
        <w:t>环水建设招（投）标字[202</w:t>
      </w:r>
      <w:r>
        <w:rPr>
          <w:rFonts w:hint="eastAsia" w:ascii="宋体" w:hAnsi="宋体"/>
          <w:b/>
          <w:bCs/>
          <w:snapToGrid w:val="0"/>
          <w:sz w:val="21"/>
          <w:szCs w:val="22"/>
          <w:highlight w:val="none"/>
          <w:u w:val="single"/>
          <w:lang w:val="en-US" w:eastAsia="zh-CN"/>
        </w:rPr>
        <w:t>4</w:t>
      </w:r>
      <w:r>
        <w:rPr>
          <w:rFonts w:hint="eastAsia" w:ascii="宋体" w:hAnsi="宋体"/>
          <w:b/>
          <w:bCs/>
          <w:snapToGrid w:val="0"/>
          <w:sz w:val="21"/>
          <w:szCs w:val="22"/>
          <w:highlight w:val="none"/>
          <w:u w:val="single"/>
        </w:rPr>
        <w:t>]</w:t>
      </w:r>
      <w:r>
        <w:rPr>
          <w:rFonts w:hint="eastAsia" w:ascii="宋体" w:hAnsi="宋体"/>
          <w:b/>
          <w:bCs/>
          <w:snapToGrid w:val="0"/>
          <w:sz w:val="21"/>
          <w:szCs w:val="22"/>
          <w:highlight w:val="none"/>
          <w:u w:val="single"/>
          <w:lang w:val="en-US" w:eastAsia="zh-CN"/>
        </w:rPr>
        <w:t>21</w:t>
      </w:r>
      <w:r>
        <w:rPr>
          <w:rFonts w:hint="eastAsia" w:ascii="宋体" w:hAnsi="宋体"/>
          <w:b/>
          <w:bCs/>
          <w:snapToGrid w:val="0"/>
          <w:sz w:val="21"/>
          <w:szCs w:val="22"/>
          <w:highlight w:val="none"/>
          <w:u w:val="single"/>
        </w:rPr>
        <w:t>号</w:t>
      </w:r>
      <w:r>
        <w:rPr>
          <w:rFonts w:hint="eastAsia" w:ascii="宋体" w:hAnsi="宋体"/>
          <w:snapToGrid w:val="0"/>
          <w:sz w:val="21"/>
          <w:szCs w:val="22"/>
          <w:highlight w:val="none"/>
        </w:rPr>
        <w:t>的</w:t>
      </w:r>
      <w:r>
        <w:rPr>
          <w:rFonts w:hint="eastAsia" w:ascii="宋体" w:hAnsi="宋体"/>
          <w:b/>
          <w:bCs/>
          <w:snapToGrid w:val="0"/>
          <w:sz w:val="21"/>
          <w:szCs w:val="22"/>
          <w:highlight w:val="none"/>
          <w:u w:val="single"/>
          <w:lang w:eastAsia="zh-CN"/>
        </w:rPr>
        <w:t>深圳会计进修学院生活用水市政接驳工程（一体化加压设备）</w:t>
      </w:r>
      <w:r>
        <w:rPr>
          <w:rFonts w:hint="eastAsia" w:ascii="宋体" w:hAnsi="宋体"/>
          <w:snapToGrid w:val="0"/>
          <w:sz w:val="21"/>
          <w:szCs w:val="22"/>
          <w:highlight w:val="none"/>
        </w:rPr>
        <w:t>项目</w:t>
      </w:r>
      <w:r>
        <w:rPr>
          <w:rFonts w:hint="eastAsia" w:ascii="宋体" w:hAnsi="宋体"/>
          <w:bCs/>
          <w:snapToGrid w:val="0"/>
          <w:sz w:val="21"/>
          <w:szCs w:val="22"/>
          <w:highlight w:val="none"/>
        </w:rPr>
        <w:t>的</w:t>
      </w:r>
      <w:r>
        <w:rPr>
          <w:rFonts w:hint="eastAsia" w:ascii="宋体" w:hAnsi="宋体"/>
          <w:snapToGrid w:val="0"/>
          <w:sz w:val="21"/>
          <w:szCs w:val="22"/>
          <w:highlight w:val="none"/>
        </w:rPr>
        <w:t>招标文件及本次招标的补遗文件，我方经研究上述招标文件及相关附件后，我方愿以招标文件规定的付费方法及标准，接受贵方招标文件所提出的任务要求</w:t>
      </w:r>
      <w:r>
        <w:rPr>
          <w:rFonts w:hint="eastAsia" w:ascii="宋体" w:hAnsi="宋体" w:cs="宋体"/>
          <w:snapToGrid w:val="0"/>
          <w:sz w:val="21"/>
          <w:szCs w:val="22"/>
          <w:highlight w:val="none"/>
        </w:rPr>
        <w:t>。</w:t>
      </w:r>
    </w:p>
    <w:p>
      <w:pPr>
        <w:spacing w:line="360" w:lineRule="auto"/>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1.我方已详细审核了全部招标文件，包括澄清、修改、补充文件（如有时）及有关附件，对招标文件的要求完全理解。</w:t>
      </w:r>
    </w:p>
    <w:p>
      <w:pPr>
        <w:spacing w:line="360" w:lineRule="auto"/>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2.我方认同招标文件规定的评审规则，遵守评标委员会的裁决结果，并且不会采取妨碍项目进展的行为。我方理解你方没有必须接受你方可能收到的最低标或任何投标的义务。</w:t>
      </w:r>
    </w:p>
    <w:p>
      <w:pPr>
        <w:spacing w:line="360" w:lineRule="auto"/>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3.我方同意所递交的投标文件在招标文件规定的投标有效期限内有效，在此期间内我方的投标有可能中标，我方将受此约束。如果在投标有效期内撤回投标或放弃中标资格，我方的投标担保将全部被没收。</w:t>
      </w:r>
    </w:p>
    <w:p>
      <w:pPr>
        <w:spacing w:line="360" w:lineRule="auto"/>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4.如果我方中标，完全响应贵方供货期要求，在供货期内完成货物及其它相关配套设施的供应、技术支持等工作，按贵方要求分批到货，具体到货时间以贵方通知为准。并按招标文件的规定履行合同责任和义务</w:t>
      </w:r>
      <w:r>
        <w:rPr>
          <w:rFonts w:hint="eastAsia" w:ascii="宋体" w:hAnsi="宋体" w:cs="宋体"/>
          <w:bCs/>
          <w:kern w:val="0"/>
          <w:szCs w:val="21"/>
          <w:highlight w:val="none"/>
        </w:rPr>
        <w:t>。</w:t>
      </w:r>
    </w:p>
    <w:p>
      <w:pPr>
        <w:spacing w:line="360" w:lineRule="auto"/>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5.如果我方中标，我方保证按照招标文件规定的时间完成任务，并将按招标文件的规定履行合同责任和义务。</w:t>
      </w:r>
    </w:p>
    <w:p>
      <w:pPr>
        <w:spacing w:line="360" w:lineRule="auto"/>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6.如果我方中标，我方将按照投标文件承诺组建项目组，由投标文件所承诺的人员完成本项目的全部工作。如未经招标人同意更换项目组成员，招标人有权取消我单位的中标资格或单方面终止合同，由此造成的违约责任由我单位承担。</w:t>
      </w:r>
    </w:p>
    <w:p>
      <w:pPr>
        <w:spacing w:line="360" w:lineRule="auto"/>
        <w:ind w:firstLine="420" w:firstLineChars="200"/>
        <w:jc w:val="left"/>
        <w:rPr>
          <w:rFonts w:ascii="宋体" w:hAnsi="宋体" w:cs="宋体"/>
          <w:snapToGrid w:val="0"/>
          <w:kern w:val="0"/>
          <w:highlight w:val="none"/>
        </w:rPr>
      </w:pPr>
      <w:r>
        <w:rPr>
          <w:rFonts w:hint="eastAsia" w:ascii="宋体" w:hAnsi="宋体" w:cs="宋体"/>
          <w:snapToGrid w:val="0"/>
          <w:kern w:val="0"/>
          <w:highlight w:val="none"/>
        </w:rPr>
        <w:t>7.如果我方中标，我方将按照招标文件中规定的金额提交经招标人认可的履约保函。</w:t>
      </w:r>
    </w:p>
    <w:p>
      <w:pPr>
        <w:spacing w:line="360" w:lineRule="auto"/>
        <w:ind w:firstLine="420" w:firstLineChars="200"/>
        <w:jc w:val="left"/>
        <w:rPr>
          <w:rFonts w:ascii="宋体" w:hAnsi="宋体" w:cs="宋体"/>
          <w:snapToGrid w:val="0"/>
          <w:kern w:val="0"/>
          <w:highlight w:val="none"/>
        </w:rPr>
      </w:pPr>
      <w:r>
        <w:rPr>
          <w:rFonts w:hint="eastAsia" w:ascii="宋体" w:hAnsi="宋体" w:cs="宋体"/>
          <w:snapToGrid w:val="0"/>
          <w:kern w:val="0"/>
          <w:highlight w:val="none"/>
        </w:rPr>
        <w:t>8.我方保证投标文件内容无任何虚假。若评定标过程中查有虚假，同意作无效或废标处理，并被没收投标担保；若中标之后查有虚假，同意被废除授标并被没收投标担保。</w:t>
      </w:r>
    </w:p>
    <w:p>
      <w:pPr>
        <w:spacing w:line="360" w:lineRule="auto"/>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9.在正式合同签署并生效之前，贵方的中标通知书和本投标函将成为约束双方的合同文件的组成部分。</w:t>
      </w:r>
    </w:p>
    <w:p>
      <w:pPr>
        <w:spacing w:line="360" w:lineRule="auto"/>
        <w:jc w:val="left"/>
        <w:rPr>
          <w:rFonts w:ascii="宋体" w:hAnsi="宋体" w:cs="宋体"/>
          <w:b/>
          <w:snapToGrid w:val="0"/>
          <w:kern w:val="0"/>
          <w:highlight w:val="none"/>
        </w:rPr>
      </w:pPr>
    </w:p>
    <w:p>
      <w:pPr>
        <w:spacing w:line="360" w:lineRule="auto"/>
        <w:ind w:firstLine="420" w:firstLineChars="200"/>
        <w:jc w:val="left"/>
        <w:rPr>
          <w:rFonts w:ascii="宋体" w:hAnsi="宋体" w:cs="宋体"/>
          <w:snapToGrid w:val="0"/>
          <w:kern w:val="0"/>
          <w:highlight w:val="none"/>
        </w:rPr>
      </w:pPr>
      <w:r>
        <w:rPr>
          <w:rFonts w:hint="eastAsia" w:ascii="宋体" w:hAnsi="宋体" w:cs="宋体"/>
          <w:snapToGrid w:val="0"/>
          <w:kern w:val="0"/>
          <w:highlight w:val="none"/>
        </w:rPr>
        <w:t>投标人：</w:t>
      </w:r>
      <w:r>
        <w:rPr>
          <w:rFonts w:hint="eastAsia" w:ascii="宋体" w:hAnsi="宋体" w:cs="宋体"/>
          <w:snapToGrid w:val="0"/>
          <w:kern w:val="0"/>
          <w:highlight w:val="none"/>
          <w:u w:val="single"/>
        </w:rPr>
        <w:t xml:space="preserve">                   （公章）</w:t>
      </w:r>
    </w:p>
    <w:p>
      <w:pPr>
        <w:spacing w:line="360" w:lineRule="auto"/>
        <w:ind w:firstLine="420" w:firstLineChars="200"/>
        <w:jc w:val="left"/>
        <w:rPr>
          <w:rFonts w:ascii="宋体" w:hAnsi="宋体" w:cs="宋体"/>
          <w:snapToGrid w:val="0"/>
          <w:kern w:val="0"/>
          <w:highlight w:val="none"/>
        </w:rPr>
      </w:pPr>
      <w:r>
        <w:rPr>
          <w:rFonts w:hint="eastAsia" w:ascii="宋体" w:hAnsi="宋体" w:cs="宋体"/>
          <w:snapToGrid w:val="0"/>
          <w:kern w:val="0"/>
          <w:highlight w:val="none"/>
        </w:rPr>
        <w:t>法定代表人或授权委托人（签名或签章）：</w:t>
      </w:r>
      <w:r>
        <w:rPr>
          <w:rFonts w:hint="eastAsia" w:ascii="宋体" w:hAnsi="宋体" w:cs="宋体"/>
          <w:snapToGrid w:val="0"/>
          <w:kern w:val="0"/>
          <w:highlight w:val="none"/>
          <w:u w:val="single"/>
        </w:rPr>
        <w:t xml:space="preserve">               </w:t>
      </w:r>
    </w:p>
    <w:p>
      <w:pPr>
        <w:spacing w:line="360" w:lineRule="auto"/>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单位地址：</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 xml:space="preserve"> </w:t>
      </w:r>
    </w:p>
    <w:p>
      <w:pPr>
        <w:spacing w:line="360" w:lineRule="auto"/>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联系电话：</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 xml:space="preserve"> </w:t>
      </w:r>
    </w:p>
    <w:p>
      <w:pPr>
        <w:spacing w:line="360" w:lineRule="auto"/>
        <w:ind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日    期：</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年</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月</w:t>
      </w:r>
      <w:r>
        <w:rPr>
          <w:rFonts w:hint="eastAsia" w:ascii="宋体" w:hAnsi="宋体" w:cs="宋体"/>
          <w:snapToGrid w:val="0"/>
          <w:kern w:val="0"/>
          <w:szCs w:val="21"/>
          <w:highlight w:val="none"/>
          <w:u w:val="single"/>
        </w:rPr>
        <w:t xml:space="preserve">     </w:t>
      </w:r>
      <w:r>
        <w:rPr>
          <w:rFonts w:hint="eastAsia" w:ascii="宋体" w:hAnsi="宋体" w:cs="宋体"/>
          <w:snapToGrid w:val="0"/>
          <w:kern w:val="0"/>
          <w:szCs w:val="21"/>
          <w:highlight w:val="none"/>
        </w:rPr>
        <w:t>日</w:t>
      </w:r>
    </w:p>
    <w:p>
      <w:pPr>
        <w:pStyle w:val="8"/>
        <w:spacing w:line="276" w:lineRule="auto"/>
        <w:rPr>
          <w:rFonts w:ascii="宋体" w:hAnsi="宋体" w:cs="宋体"/>
          <w:snapToGrid w:val="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bookmarkStart w:id="468" w:name="_Toc30518"/>
      <w:bookmarkStart w:id="469" w:name="_Toc28002"/>
      <w:bookmarkStart w:id="470" w:name="_Toc14444"/>
    </w:p>
    <w:p>
      <w:pPr>
        <w:pStyle w:val="8"/>
        <w:spacing w:line="276" w:lineRule="auto"/>
        <w:jc w:val="center"/>
        <w:rPr>
          <w:rFonts w:ascii="宋体" w:hAnsi="宋体" w:cs="宋体"/>
          <w:highlight w:val="none"/>
        </w:rPr>
      </w:pPr>
      <w:bookmarkStart w:id="471" w:name="_Toc6042"/>
      <w:bookmarkStart w:id="472" w:name="_Toc21691"/>
      <w:bookmarkStart w:id="473" w:name="_Toc104213459"/>
      <w:bookmarkStart w:id="474" w:name="_Toc152852450"/>
      <w:bookmarkStart w:id="475" w:name="_Toc20579"/>
      <w:bookmarkStart w:id="476" w:name="_Toc14551"/>
      <w:bookmarkStart w:id="477" w:name="_Toc18031"/>
      <w:r>
        <w:rPr>
          <w:rFonts w:hint="eastAsia" w:ascii="宋体" w:hAnsi="宋体" w:cs="宋体"/>
          <w:sz w:val="28"/>
          <w:highlight w:val="none"/>
        </w:rPr>
        <w:t>二、投标报价一览表</w:t>
      </w:r>
      <w:bookmarkEnd w:id="468"/>
      <w:bookmarkEnd w:id="469"/>
      <w:bookmarkEnd w:id="470"/>
      <w:bookmarkEnd w:id="471"/>
      <w:bookmarkEnd w:id="472"/>
      <w:bookmarkEnd w:id="473"/>
      <w:bookmarkEnd w:id="474"/>
      <w:bookmarkEnd w:id="475"/>
      <w:bookmarkEnd w:id="476"/>
      <w:bookmarkEnd w:id="477"/>
    </w:p>
    <w:tbl>
      <w:tblPr>
        <w:tblStyle w:val="5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610"/>
        <w:gridCol w:w="28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2006" w:type="dxa"/>
            <w:tcBorders>
              <w:top w:val="single" w:color="auto" w:sz="4" w:space="0"/>
              <w:left w:val="single" w:color="auto" w:sz="4" w:space="0"/>
              <w:bottom w:val="single" w:color="auto" w:sz="4" w:space="0"/>
              <w:right w:val="single" w:color="auto" w:sz="4" w:space="0"/>
            </w:tcBorders>
            <w:shd w:val="clear" w:color="auto" w:fill="DEEBF6" w:themeFill="accent1" w:themeFillTint="32"/>
            <w:vAlign w:val="center"/>
          </w:tcPr>
          <w:p>
            <w:pPr>
              <w:tabs>
                <w:tab w:val="left" w:pos="654"/>
                <w:tab w:val="left" w:pos="1734"/>
                <w:tab w:val="left" w:pos="2814"/>
                <w:tab w:val="left" w:pos="3894"/>
                <w:tab w:val="left" w:pos="5334"/>
                <w:tab w:val="left" w:pos="6414"/>
                <w:tab w:val="left" w:pos="7254"/>
                <w:tab w:val="left" w:pos="8574"/>
                <w:tab w:val="left" w:pos="9654"/>
              </w:tabs>
              <w:spacing w:before="156" w:beforeLines="50" w:after="156" w:afterLines="50" w:line="360" w:lineRule="auto"/>
              <w:jc w:val="center"/>
              <w:rPr>
                <w:rFonts w:ascii="宋体" w:hAnsi="宋体" w:cs="宋体"/>
                <w:b/>
                <w:szCs w:val="21"/>
                <w:highlight w:val="none"/>
              </w:rPr>
            </w:pPr>
            <w:r>
              <w:rPr>
                <w:rFonts w:hint="eastAsia" w:ascii="宋体" w:hAnsi="宋体" w:cs="宋体"/>
                <w:b/>
                <w:szCs w:val="21"/>
                <w:highlight w:val="none"/>
              </w:rPr>
              <w:t>项目名称</w:t>
            </w:r>
          </w:p>
        </w:tc>
        <w:tc>
          <w:tcPr>
            <w:tcW w:w="2610" w:type="dxa"/>
            <w:tcBorders>
              <w:left w:val="single" w:color="auto" w:sz="4" w:space="0"/>
            </w:tcBorders>
            <w:shd w:val="clear" w:color="auto" w:fill="DEEBF6" w:themeFill="accent1" w:themeFillTint="32"/>
            <w:vAlign w:val="center"/>
          </w:tcPr>
          <w:p>
            <w:pPr>
              <w:tabs>
                <w:tab w:val="left" w:pos="654"/>
                <w:tab w:val="left" w:pos="1734"/>
                <w:tab w:val="left" w:pos="2814"/>
                <w:tab w:val="left" w:pos="3894"/>
                <w:tab w:val="left" w:pos="5334"/>
                <w:tab w:val="left" w:pos="6414"/>
                <w:tab w:val="left" w:pos="7254"/>
                <w:tab w:val="left" w:pos="8574"/>
                <w:tab w:val="left" w:pos="9654"/>
              </w:tabs>
              <w:spacing w:before="156" w:beforeLines="50" w:after="156" w:afterLines="50" w:line="360" w:lineRule="auto"/>
              <w:jc w:val="center"/>
              <w:rPr>
                <w:rFonts w:ascii="宋体" w:hAnsi="宋体" w:cs="宋体"/>
                <w:b/>
                <w:szCs w:val="21"/>
                <w:highlight w:val="none"/>
              </w:rPr>
            </w:pPr>
            <w:r>
              <w:rPr>
                <w:rFonts w:hint="eastAsia" w:ascii="宋体" w:hAnsi="宋体" w:cs="宋体"/>
                <w:b/>
                <w:szCs w:val="21"/>
                <w:highlight w:val="none"/>
              </w:rPr>
              <w:t>投标报价（元）</w:t>
            </w:r>
          </w:p>
        </w:tc>
        <w:tc>
          <w:tcPr>
            <w:tcW w:w="2892" w:type="dxa"/>
            <w:shd w:val="clear" w:color="auto" w:fill="DEEBF6" w:themeFill="accent1" w:themeFillTint="32"/>
            <w:vAlign w:val="center"/>
          </w:tcPr>
          <w:p>
            <w:pPr>
              <w:tabs>
                <w:tab w:val="left" w:pos="654"/>
                <w:tab w:val="left" w:pos="1734"/>
                <w:tab w:val="left" w:pos="2814"/>
                <w:tab w:val="left" w:pos="3894"/>
                <w:tab w:val="left" w:pos="5334"/>
                <w:tab w:val="left" w:pos="6414"/>
                <w:tab w:val="left" w:pos="7254"/>
                <w:tab w:val="left" w:pos="8574"/>
                <w:tab w:val="left" w:pos="9654"/>
              </w:tabs>
              <w:spacing w:before="156" w:beforeLines="50" w:after="156" w:afterLines="50" w:line="360" w:lineRule="auto"/>
              <w:jc w:val="center"/>
              <w:rPr>
                <w:rFonts w:ascii="宋体" w:hAnsi="宋体" w:cs="宋体"/>
                <w:b/>
                <w:szCs w:val="21"/>
                <w:highlight w:val="none"/>
              </w:rPr>
            </w:pPr>
            <w:r>
              <w:rPr>
                <w:rFonts w:hint="eastAsia" w:ascii="宋体" w:hAnsi="宋体" w:eastAsiaTheme="minorEastAsia" w:cstheme="minorBidi"/>
                <w:b/>
                <w:szCs w:val="21"/>
                <w:highlight w:val="none"/>
              </w:rPr>
              <w:t>供货期（日历天）</w:t>
            </w:r>
          </w:p>
        </w:tc>
        <w:tc>
          <w:tcPr>
            <w:tcW w:w="992" w:type="dxa"/>
            <w:shd w:val="clear" w:color="auto" w:fill="DEEBF6" w:themeFill="accent1" w:themeFillTint="32"/>
            <w:vAlign w:val="center"/>
          </w:tcPr>
          <w:p>
            <w:pPr>
              <w:tabs>
                <w:tab w:val="left" w:pos="654"/>
                <w:tab w:val="left" w:pos="1734"/>
                <w:tab w:val="left" w:pos="2814"/>
                <w:tab w:val="left" w:pos="3894"/>
                <w:tab w:val="left" w:pos="5334"/>
                <w:tab w:val="left" w:pos="6414"/>
                <w:tab w:val="left" w:pos="7254"/>
                <w:tab w:val="left" w:pos="8574"/>
                <w:tab w:val="left" w:pos="9654"/>
              </w:tabs>
              <w:spacing w:before="156" w:beforeLines="50" w:after="156" w:afterLines="50" w:line="360" w:lineRule="auto"/>
              <w:jc w:val="center"/>
              <w:rPr>
                <w:rFonts w:ascii="宋体" w:hAnsi="宋体" w:cs="宋体"/>
                <w:b/>
                <w:szCs w:val="21"/>
                <w:highlight w:val="none"/>
              </w:rPr>
            </w:pPr>
            <w:r>
              <w:rPr>
                <w:rFonts w:hint="eastAsia" w:ascii="宋体" w:hAnsi="宋体" w:cs="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2006"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before="156" w:beforeLines="50" w:after="156" w:afterLines="50" w:line="360" w:lineRule="auto"/>
              <w:jc w:val="center"/>
              <w:rPr>
                <w:rFonts w:ascii="宋体" w:hAnsi="宋体" w:cs="宋体"/>
                <w:szCs w:val="21"/>
                <w:highlight w:val="none"/>
              </w:rPr>
            </w:pPr>
            <w:r>
              <w:rPr>
                <w:rFonts w:hint="eastAsia" w:ascii="宋体" w:hAnsi="宋体" w:cs="宋体"/>
                <w:szCs w:val="21"/>
                <w:highlight w:val="none"/>
                <w:lang w:eastAsia="zh-CN"/>
              </w:rPr>
              <w:t>深圳会计进修学院生活用水市政接驳工程（一体化加压设备）</w:t>
            </w:r>
          </w:p>
        </w:tc>
        <w:tc>
          <w:tcPr>
            <w:tcW w:w="2610" w:type="dxa"/>
            <w:tcBorders>
              <w:lef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before="156" w:beforeLines="50" w:after="156" w:afterLines="50" w:line="360" w:lineRule="auto"/>
              <w:jc w:val="left"/>
              <w:rPr>
                <w:rFonts w:ascii="宋体" w:hAnsi="宋体" w:cs="宋体"/>
                <w:szCs w:val="21"/>
                <w:highlight w:val="none"/>
              </w:rPr>
            </w:pPr>
            <w:r>
              <w:rPr>
                <w:rFonts w:hint="eastAsia" w:ascii="宋体" w:hAnsi="宋体" w:cs="宋体"/>
                <w:szCs w:val="21"/>
                <w:highlight w:val="none"/>
              </w:rPr>
              <w:t xml:space="preserve">大写： </w:t>
            </w:r>
            <w:r>
              <w:rPr>
                <w:rFonts w:hint="eastAsia" w:ascii="宋体" w:hAnsi="宋体" w:cs="宋体"/>
                <w:szCs w:val="21"/>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before="156" w:beforeLines="50" w:after="156" w:afterLines="50" w:line="360" w:lineRule="auto"/>
              <w:rPr>
                <w:rFonts w:ascii="宋体" w:hAnsi="宋体" w:cs="宋体"/>
                <w:szCs w:val="21"/>
                <w:highlight w:val="none"/>
                <w:u w:val="single"/>
              </w:rPr>
            </w:pPr>
            <w:r>
              <w:rPr>
                <w:rFonts w:hint="eastAsia" w:ascii="宋体" w:hAnsi="宋体" w:cs="宋体"/>
                <w:szCs w:val="21"/>
                <w:highlight w:val="none"/>
              </w:rPr>
              <w:t xml:space="preserve">小写：¥ </w:t>
            </w:r>
            <w:r>
              <w:rPr>
                <w:rFonts w:hint="eastAsia" w:ascii="宋体" w:hAnsi="宋体" w:cs="宋体"/>
                <w:szCs w:val="21"/>
                <w:highlight w:val="none"/>
                <w:u w:val="single"/>
              </w:rPr>
              <w:t xml:space="preserve">               </w:t>
            </w:r>
          </w:p>
        </w:tc>
        <w:tc>
          <w:tcPr>
            <w:tcW w:w="2892" w:type="dxa"/>
            <w:vAlign w:val="center"/>
          </w:tcPr>
          <w:p>
            <w:pPr>
              <w:tabs>
                <w:tab w:val="left" w:pos="654"/>
                <w:tab w:val="left" w:pos="1734"/>
                <w:tab w:val="left" w:pos="2814"/>
                <w:tab w:val="left" w:pos="3894"/>
                <w:tab w:val="left" w:pos="5334"/>
                <w:tab w:val="left" w:pos="6414"/>
                <w:tab w:val="left" w:pos="7254"/>
                <w:tab w:val="left" w:pos="8574"/>
                <w:tab w:val="left" w:pos="9654"/>
              </w:tabs>
              <w:spacing w:before="156" w:beforeLines="50" w:after="156" w:afterLines="50" w:line="360" w:lineRule="auto"/>
              <w:jc w:val="center"/>
              <w:rPr>
                <w:rFonts w:ascii="宋体" w:hAnsi="宋体" w:cs="宋体"/>
                <w:szCs w:val="21"/>
                <w:highlight w:val="none"/>
              </w:rPr>
            </w:pPr>
          </w:p>
        </w:tc>
        <w:tc>
          <w:tcPr>
            <w:tcW w:w="992" w:type="dxa"/>
            <w:vAlign w:val="center"/>
          </w:tcPr>
          <w:p>
            <w:pPr>
              <w:tabs>
                <w:tab w:val="left" w:pos="654"/>
                <w:tab w:val="left" w:pos="1734"/>
                <w:tab w:val="left" w:pos="2814"/>
                <w:tab w:val="left" w:pos="3894"/>
                <w:tab w:val="left" w:pos="5334"/>
                <w:tab w:val="left" w:pos="6414"/>
                <w:tab w:val="left" w:pos="7254"/>
                <w:tab w:val="left" w:pos="8574"/>
                <w:tab w:val="left" w:pos="9654"/>
              </w:tabs>
              <w:spacing w:before="156" w:beforeLines="50" w:after="156" w:afterLines="50" w:line="360" w:lineRule="auto"/>
              <w:jc w:val="center"/>
              <w:rPr>
                <w:rFonts w:ascii="宋体" w:hAnsi="宋体" w:cs="宋体"/>
                <w:szCs w:val="21"/>
                <w:highlight w:val="none"/>
              </w:rPr>
            </w:pPr>
          </w:p>
        </w:tc>
      </w:tr>
    </w:tbl>
    <w:p>
      <w:pPr>
        <w:pStyle w:val="72"/>
        <w:spacing w:after="0" w:line="240" w:lineRule="auto"/>
        <w:ind w:left="0" w:leftChars="0" w:firstLine="0" w:firstLineChars="0"/>
        <w:rPr>
          <w:highlight w:val="none"/>
        </w:rPr>
      </w:pPr>
    </w:p>
    <w:p>
      <w:pPr>
        <w:spacing w:line="360" w:lineRule="auto"/>
        <w:ind w:left="420" w:leftChars="200" w:right="315" w:rightChars="150"/>
        <w:jc w:val="left"/>
        <w:rPr>
          <w:rFonts w:ascii="宋体" w:hAnsi="宋体" w:cs="宋体"/>
          <w:highlight w:val="none"/>
        </w:rPr>
      </w:pPr>
      <w:r>
        <w:rPr>
          <w:rFonts w:hint="eastAsia" w:ascii="宋体" w:hAnsi="宋体" w:cs="宋体"/>
          <w:highlight w:val="none"/>
        </w:rPr>
        <w:t>备注：</w:t>
      </w:r>
    </w:p>
    <w:p>
      <w:pPr>
        <w:spacing w:line="360" w:lineRule="auto"/>
        <w:ind w:left="420" w:leftChars="200" w:right="315" w:rightChars="150"/>
        <w:jc w:val="left"/>
        <w:rPr>
          <w:rFonts w:ascii="宋体" w:hAnsi="宋体" w:cs="宋体"/>
          <w:snapToGrid w:val="0"/>
          <w:kern w:val="0"/>
          <w:szCs w:val="21"/>
          <w:highlight w:val="none"/>
        </w:rPr>
      </w:pPr>
      <w:r>
        <w:rPr>
          <w:rFonts w:hint="eastAsia" w:ascii="宋体" w:hAnsi="宋体" w:cs="宋体"/>
          <w:snapToGrid w:val="0"/>
          <w:kern w:val="0"/>
          <w:szCs w:val="21"/>
          <w:highlight w:val="none"/>
        </w:rPr>
        <w:t>1.本项目投标报价上限为</w:t>
      </w:r>
      <w:r>
        <w:rPr>
          <w:rFonts w:hint="eastAsia" w:ascii="宋体" w:hAnsi="宋体" w:cs="宋体"/>
          <w:b/>
          <w:bCs/>
          <w:snapToGrid w:val="0"/>
          <w:kern w:val="0"/>
          <w:szCs w:val="21"/>
          <w:highlight w:val="none"/>
          <w:lang w:val="en-US" w:eastAsia="zh-CN"/>
        </w:rPr>
        <w:t>1086965.42</w:t>
      </w:r>
      <w:r>
        <w:rPr>
          <w:rFonts w:hint="eastAsia" w:ascii="宋体" w:hAnsi="宋体" w:cs="宋体"/>
          <w:snapToGrid w:val="0"/>
          <w:kern w:val="0"/>
          <w:szCs w:val="21"/>
          <w:highlight w:val="none"/>
        </w:rPr>
        <w:t>元；</w:t>
      </w:r>
    </w:p>
    <w:p>
      <w:pPr>
        <w:spacing w:line="360" w:lineRule="auto"/>
        <w:ind w:right="315" w:rightChars="150" w:firstLine="420" w:firstLineChars="200"/>
        <w:jc w:val="left"/>
        <w:rPr>
          <w:rFonts w:ascii="宋体" w:hAnsi="宋体" w:cs="宋体"/>
          <w:b/>
          <w:bCs/>
          <w:snapToGrid w:val="0"/>
          <w:color w:val="FF0000"/>
          <w:kern w:val="0"/>
          <w:szCs w:val="21"/>
          <w:highlight w:val="none"/>
        </w:rPr>
      </w:pPr>
      <w:r>
        <w:rPr>
          <w:rFonts w:hint="eastAsia" w:ascii="宋体" w:hAnsi="宋体" w:cs="宋体"/>
          <w:snapToGrid w:val="0"/>
          <w:kern w:val="0"/>
          <w:szCs w:val="21"/>
          <w:highlight w:val="none"/>
        </w:rPr>
        <w:t>2.投标人投标报价采用自主报价的方式，投标报价不得超过</w:t>
      </w:r>
      <w:r>
        <w:rPr>
          <w:rFonts w:hint="eastAsia" w:ascii="宋体" w:hAnsi="宋体" w:cs="宋体"/>
          <w:b/>
          <w:bCs/>
          <w:snapToGrid w:val="0"/>
          <w:kern w:val="0"/>
          <w:szCs w:val="21"/>
          <w:highlight w:val="none"/>
        </w:rPr>
        <w:t>投标报价上限</w:t>
      </w:r>
      <w:r>
        <w:rPr>
          <w:rFonts w:hint="eastAsia" w:ascii="宋体" w:hAnsi="宋体" w:cs="宋体"/>
          <w:snapToGrid w:val="0"/>
          <w:kern w:val="0"/>
          <w:szCs w:val="21"/>
          <w:highlight w:val="none"/>
        </w:rPr>
        <w:t>；</w:t>
      </w:r>
      <w:r>
        <w:rPr>
          <w:rFonts w:hint="eastAsia" w:ascii="宋体" w:hAnsi="宋体" w:cs="宋体"/>
          <w:b/>
          <w:bCs/>
          <w:snapToGrid w:val="0"/>
          <w:color w:val="FF0000"/>
          <w:kern w:val="0"/>
          <w:szCs w:val="21"/>
          <w:highlight w:val="none"/>
        </w:rPr>
        <w:t xml:space="preserve"> </w:t>
      </w:r>
    </w:p>
    <w:p>
      <w:pPr>
        <w:spacing w:line="360" w:lineRule="auto"/>
        <w:ind w:right="315" w:rightChars="150"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3.本项目投标报价单位均为“元”，投标人所填报的投标报价均保留至小数点后两位；</w:t>
      </w:r>
    </w:p>
    <w:p>
      <w:pPr>
        <w:spacing w:line="360" w:lineRule="auto"/>
        <w:ind w:right="315" w:rightChars="150"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4</w:t>
      </w:r>
      <w:r>
        <w:rPr>
          <w:rFonts w:ascii="宋体" w:hAnsi="宋体" w:cs="宋体"/>
          <w:snapToGrid w:val="0"/>
          <w:kern w:val="0"/>
          <w:szCs w:val="21"/>
          <w:highlight w:val="none"/>
        </w:rPr>
        <w:t>.</w:t>
      </w:r>
      <w:r>
        <w:rPr>
          <w:rFonts w:hint="eastAsia" w:ascii="宋体" w:hAnsi="宋体" w:cs="宋体"/>
          <w:snapToGrid w:val="0"/>
          <w:kern w:val="0"/>
          <w:szCs w:val="21"/>
          <w:highlight w:val="none"/>
        </w:rPr>
        <w:t xml:space="preserve"> 供货期：货物运抵现场时间自中标通知书发放之日起</w:t>
      </w:r>
      <w:r>
        <w:rPr>
          <w:rFonts w:hint="eastAsia" w:ascii="宋体" w:hAnsi="宋体" w:cs="宋体"/>
          <w:snapToGrid w:val="0"/>
          <w:kern w:val="0"/>
          <w:szCs w:val="21"/>
          <w:highlight w:val="none"/>
          <w:lang w:val="en-US" w:eastAsia="zh-CN"/>
        </w:rPr>
        <w:t>6</w:t>
      </w:r>
      <w:r>
        <w:rPr>
          <w:rFonts w:hint="eastAsia" w:ascii="宋体" w:hAnsi="宋体" w:cs="宋体"/>
          <w:snapToGrid w:val="0"/>
          <w:kern w:val="0"/>
          <w:szCs w:val="21"/>
          <w:highlight w:val="none"/>
        </w:rPr>
        <w:t>0个日历日内（乙方需在供货期内完成货物及其他相关配套设施的供应、技术支持等工作，并按甲方要求分批到货，具体供货时间以甲方通知为准）。</w:t>
      </w:r>
    </w:p>
    <w:p>
      <w:pPr>
        <w:pStyle w:val="25"/>
        <w:rPr>
          <w:highlight w:val="none"/>
        </w:rPr>
      </w:pPr>
    </w:p>
    <w:p>
      <w:pPr>
        <w:pStyle w:val="333"/>
        <w:widowControl w:val="0"/>
        <w:adjustRightInd w:val="0"/>
        <w:snapToGrid w:val="0"/>
        <w:spacing w:before="0" w:beforeAutospacing="0" w:after="0" w:afterAutospacing="0" w:line="360" w:lineRule="auto"/>
        <w:ind w:firstLine="480" w:firstLineChars="200"/>
        <w:rPr>
          <w:snapToGrid w:val="0"/>
          <w:sz w:val="21"/>
          <w:szCs w:val="21"/>
          <w:highlight w:val="none"/>
        </w:rPr>
      </w:pPr>
      <w:r>
        <w:rPr>
          <w:rFonts w:hint="eastAsia"/>
          <w:szCs w:val="21"/>
          <w:highlight w:val="none"/>
        </w:rPr>
        <w:t>（投标人认为应补充提供的其他文件资料或说明）</w:t>
      </w:r>
    </w:p>
    <w:p>
      <w:pPr>
        <w:pStyle w:val="333"/>
        <w:widowControl w:val="0"/>
        <w:adjustRightInd w:val="0"/>
        <w:snapToGrid w:val="0"/>
        <w:spacing w:before="0" w:beforeAutospacing="0" w:after="0" w:afterAutospacing="0" w:line="360" w:lineRule="auto"/>
        <w:ind w:firstLine="1050" w:firstLineChars="500"/>
        <w:rPr>
          <w:snapToGrid w:val="0"/>
          <w:sz w:val="21"/>
          <w:szCs w:val="21"/>
          <w:highlight w:val="none"/>
        </w:rPr>
      </w:pPr>
    </w:p>
    <w:p>
      <w:pPr>
        <w:pStyle w:val="333"/>
        <w:widowControl w:val="0"/>
        <w:adjustRightInd w:val="0"/>
        <w:snapToGrid w:val="0"/>
        <w:spacing w:before="0" w:beforeAutospacing="0" w:after="0" w:afterAutospacing="0" w:line="360" w:lineRule="auto"/>
        <w:ind w:firstLine="420" w:firstLineChars="200"/>
        <w:rPr>
          <w:snapToGrid w:val="0"/>
          <w:sz w:val="21"/>
          <w:szCs w:val="21"/>
          <w:highlight w:val="none"/>
        </w:rPr>
      </w:pPr>
    </w:p>
    <w:p>
      <w:pPr>
        <w:pStyle w:val="333"/>
        <w:widowControl w:val="0"/>
        <w:adjustRightInd w:val="0"/>
        <w:snapToGrid w:val="0"/>
        <w:spacing w:before="0" w:beforeAutospacing="0" w:after="0" w:afterAutospacing="0" w:line="360" w:lineRule="auto"/>
        <w:jc w:val="center"/>
        <w:rPr>
          <w:snapToGrid w:val="0"/>
          <w:sz w:val="21"/>
          <w:szCs w:val="21"/>
          <w:highlight w:val="none"/>
        </w:rPr>
      </w:pPr>
      <w:r>
        <w:rPr>
          <w:rFonts w:hint="eastAsia"/>
          <w:snapToGrid w:val="0"/>
          <w:sz w:val="21"/>
          <w:szCs w:val="21"/>
          <w:highlight w:val="none"/>
        </w:rPr>
        <w:t xml:space="preserve">投标单位（盖章）：                        </w:t>
      </w:r>
    </w:p>
    <w:p>
      <w:pPr>
        <w:pStyle w:val="205"/>
        <w:jc w:val="center"/>
        <w:rPr>
          <w:rFonts w:ascii="宋体" w:hAnsi="宋体" w:cs="宋体"/>
          <w:snapToGrid w:val="0"/>
          <w:szCs w:val="21"/>
          <w:highlight w:val="none"/>
        </w:rPr>
      </w:pPr>
      <w:r>
        <w:rPr>
          <w:rFonts w:hint="eastAsia" w:ascii="宋体" w:hAnsi="宋体" w:cs="宋体"/>
          <w:snapToGrid w:val="0"/>
          <w:szCs w:val="21"/>
          <w:highlight w:val="none"/>
        </w:rPr>
        <w:t xml:space="preserve">                     法定代表人或委托代理人（签名或签章）：</w:t>
      </w:r>
    </w:p>
    <w:p>
      <w:pPr>
        <w:pStyle w:val="205"/>
        <w:jc w:val="center"/>
        <w:rPr>
          <w:rFonts w:ascii="宋体" w:hAnsi="宋体" w:cs="宋体"/>
          <w:snapToGrid w:val="0"/>
          <w:szCs w:val="21"/>
          <w:highlight w:val="none"/>
        </w:rPr>
      </w:pPr>
    </w:p>
    <w:p>
      <w:pPr>
        <w:pStyle w:val="174"/>
        <w:spacing w:line="360"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 xml:space="preserve">                                            日   期：  年   月   日</w:t>
      </w:r>
    </w:p>
    <w:p>
      <w:pPr>
        <w:rPr>
          <w:rFonts w:ascii="宋体" w:hAnsi="宋体" w:cs="宋体"/>
          <w:sz w:val="28"/>
          <w:highlight w:val="none"/>
        </w:rPr>
      </w:pPr>
      <w:r>
        <w:rPr>
          <w:rFonts w:hint="eastAsia" w:ascii="宋体" w:hAnsi="宋体" w:cs="宋体"/>
          <w:sz w:val="28"/>
          <w:highlight w:val="none"/>
        </w:rPr>
        <w:br w:type="page"/>
      </w:r>
    </w:p>
    <w:p>
      <w:pPr>
        <w:pStyle w:val="8"/>
        <w:jc w:val="center"/>
        <w:rPr>
          <w:rFonts w:hint="eastAsia"/>
          <w:highlight w:val="none"/>
        </w:rPr>
      </w:pPr>
      <w:bookmarkStart w:id="478" w:name="_Toc152852451"/>
      <w:r>
        <w:rPr>
          <w:rFonts w:hint="eastAsia"/>
          <w:highlight w:val="none"/>
        </w:rPr>
        <w:t>三、报价明细表</w:t>
      </w:r>
      <w:bookmarkEnd w:id="478"/>
    </w:p>
    <w:tbl>
      <w:tblPr>
        <w:tblW w:w="54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49"/>
        <w:gridCol w:w="960"/>
        <w:gridCol w:w="1425"/>
        <w:gridCol w:w="2625"/>
        <w:gridCol w:w="945"/>
        <w:gridCol w:w="600"/>
        <w:gridCol w:w="585"/>
        <w:gridCol w:w="81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51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部位</w:t>
            </w: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名称</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规格</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材质</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widowControl/>
              <w:jc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b w:val="0"/>
                <w:bCs w:val="0"/>
                <w:kern w:val="0"/>
                <w:sz w:val="18"/>
                <w:szCs w:val="18"/>
                <w:highlight w:val="none"/>
              </w:rPr>
              <w:t>含税单价（元）</w:t>
            </w: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widowControl/>
              <w:jc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b w:val="0"/>
                <w:bCs w:val="0"/>
                <w:kern w:val="0"/>
                <w:sz w:val="18"/>
                <w:szCs w:val="18"/>
                <w:highlight w:val="none"/>
              </w:rPr>
              <w:t>含税总价（元）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51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1号泵房设备明细表</w:t>
            </w: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1#泵房变频泵组</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规格型号:主泵Q=15m3A，H=45m(两用一备)；</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辅泵Q=5m3/h，H=45m (一用)。</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箱体</w:t>
            </w:r>
          </w:p>
        </w:tc>
        <w:tc>
          <w:tcPr>
            <w:tcW w:w="14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整体尺寸 (LxBxH=8.5x3.5x3.0m)</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电气系统</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详见图纸</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PLC/安防柜</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2000*800*600</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(1)DN100 PN1.0 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(1)DN100 PN1.0Mpa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(1)DN100 PN1.0Mpa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(1)DN100 PN1.0Mpa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多功能水泵控制阀</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(1)DN100 PN1.0Mpa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(1)DN80 PN1.0 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(1)DN80 PN1.0 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(1)DN80 PN1.0 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(1)DN80 PN1.0 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多功能水泵控制阀</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(1)DN80 PN1.0 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压力表</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量程 0~1.6Mpa</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51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1号泵房水池出水侧</w:t>
            </w: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(1)DN100 PN1.0 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紫外线消毒器</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(1)Q=36m3/h  P=510W (2)PN1.0Mpa</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法兰阀门</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复合式排气阀 DN25  (2)</w:t>
            </w:r>
            <w:r>
              <w:rPr>
                <w:rFonts w:hint="eastAsia" w:ascii="宋体" w:hAnsi="宋体" w:eastAsia="宋体" w:cs="宋体"/>
                <w:i w:val="0"/>
                <w:iCs w:val="0"/>
                <w:color w:val="000000"/>
                <w:kern w:val="0"/>
                <w:sz w:val="18"/>
                <w:szCs w:val="18"/>
                <w:u w:val="none"/>
                <w:bdr w:val="none" w:color="auto" w:sz="0" w:space="0"/>
                <w:lang w:val="en-US" w:eastAsia="zh-CN" w:bidi="ar"/>
              </w:rPr>
              <w:t>法兰连接 PN1.0Mpa</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Y型过滤器</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(1)DN100 PN1.0 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电接点压力表</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量程 0~1.6Mpa</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压力变送器</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(1)PN0~2.5Mpa </w:t>
            </w:r>
            <w:r>
              <w:rPr>
                <w:rFonts w:hint="eastAsia" w:ascii="宋体" w:hAnsi="宋体" w:eastAsia="宋体" w:cs="宋体"/>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）输出信号4~20mA</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(1)DN100 PN1.6Mpa / PN2.5Mpa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(1)DN100 PN1.6Mpa / PN2.5Mpa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51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1号泵房水池（箱）进水管</w:t>
            </w: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(1)DN80 PN2.5 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Y型过滤器</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(1)DN80 PN2.5 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水表</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(1)DN50 PN2.5Mpa</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电动蝶阀</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(1)DN80 PN2.5 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压力变送器</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(1)PN0~2.5Mpa </w:t>
            </w:r>
            <w:r>
              <w:rPr>
                <w:rFonts w:hint="eastAsia" w:ascii="宋体" w:hAnsi="宋体" w:eastAsia="宋体" w:cs="宋体"/>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 xml:space="preserve">）4-20mA </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液压水位控制阀</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(1)DN80  0.05~1.6Mpa</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水池（箱）</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水箱V有效=12.6m3(LxBxH=3.5x3.0x3.0m)</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S31603</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(1)DN80  PN1.0 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旋流防止器</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(1)DN100  </w:t>
            </w:r>
            <w:r>
              <w:rPr>
                <w:rFonts w:hint="eastAsia" w:ascii="宋体" w:hAnsi="宋体" w:eastAsia="宋体" w:cs="宋体"/>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）吸水口</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超声波液位计</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(1)0~5m</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5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1号泵房内附属设施</w:t>
            </w: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磷酸铵盐干粉灭火器</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5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1号泵房通风设施</w:t>
            </w: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挂壁式空调</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r>
              <w:rPr>
                <w:rFonts w:hint="eastAsia" w:ascii="宋体" w:hAnsi="宋体" w:eastAsia="宋体" w:cs="宋体"/>
                <w:i w:val="0"/>
                <w:iCs w:val="0"/>
                <w:color w:val="000000"/>
                <w:kern w:val="0"/>
                <w:sz w:val="18"/>
                <w:szCs w:val="18"/>
                <w:u w:val="none"/>
                <w:bdr w:val="none" w:color="auto" w:sz="0" w:space="0"/>
                <w:lang w:val="en-US" w:eastAsia="zh-CN" w:bidi="ar"/>
              </w:rPr>
              <w:t>匹</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517" w:type="pct"/>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1号泵房</w:t>
            </w:r>
          </w:p>
        </w:tc>
        <w:tc>
          <w:tcPr>
            <w:tcW w:w="7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不锈钢管</w:t>
            </w:r>
          </w:p>
        </w:tc>
        <w:tc>
          <w:tcPr>
            <w:tcW w:w="14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泵房外一米以内的管材</w:t>
            </w:r>
          </w:p>
        </w:tc>
        <w:tc>
          <w:tcPr>
            <w:tcW w:w="50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w:t>
            </w:r>
          </w:p>
        </w:tc>
        <w:tc>
          <w:tcPr>
            <w:tcW w:w="31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517" w:type="pct"/>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安装调试费</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51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2号泵房设备明细表</w:t>
            </w: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工频泵组</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Q=6.5m3/h</w:t>
            </w:r>
            <w:r>
              <w:rPr>
                <w:rFonts w:hint="eastAsia" w:ascii="宋体" w:hAnsi="宋体" w:eastAsia="宋体" w:cs="宋体"/>
                <w:i w:val="0"/>
                <w:iCs w:val="0"/>
                <w:color w:val="000000"/>
                <w:kern w:val="0"/>
                <w:sz w:val="18"/>
                <w:szCs w:val="18"/>
                <w:u w:val="none"/>
                <w:bdr w:val="none" w:color="auto" w:sz="0" w:space="0"/>
                <w:lang w:val="en-US" w:eastAsia="zh-CN" w:bidi="ar"/>
              </w:rPr>
              <w:t>，H=125m</w:t>
            </w:r>
            <w:r>
              <w:rPr>
                <w:rFonts w:hint="eastAsia" w:ascii="宋体" w:hAnsi="宋体" w:eastAsia="宋体" w:cs="宋体"/>
                <w:i w:val="0"/>
                <w:iCs w:val="0"/>
                <w:color w:val="000000"/>
                <w:kern w:val="0"/>
                <w:sz w:val="18"/>
                <w:szCs w:val="18"/>
                <w:u w:val="none"/>
                <w:bdr w:val="none" w:color="auto" w:sz="0" w:space="0"/>
                <w:lang w:val="en-US" w:eastAsia="zh-CN" w:bidi="ar"/>
              </w:rPr>
              <w:t>（一用一备）</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箱体</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整体尺寸（</w:t>
            </w:r>
            <w:r>
              <w:rPr>
                <w:rFonts w:hint="eastAsia" w:ascii="宋体" w:hAnsi="宋体" w:eastAsia="宋体" w:cs="宋体"/>
                <w:i w:val="0"/>
                <w:iCs w:val="0"/>
                <w:color w:val="000000"/>
                <w:kern w:val="0"/>
                <w:sz w:val="18"/>
                <w:szCs w:val="18"/>
                <w:u w:val="none"/>
                <w:bdr w:val="none" w:color="auto" w:sz="0" w:space="0"/>
                <w:lang w:val="en-US" w:eastAsia="zh-CN" w:bidi="ar"/>
              </w:rPr>
              <w:t>L×B×H=4×2.5×3.0m</w:t>
            </w: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电气系统</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详见图纸</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PLC/安防柜</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2000*800*600</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(1)DN100 PN1.0 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(1)DN100 PN1.0Mpa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(1)DN80 PN2.5Mpa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(1)DN80 PN2.5Mpa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多功能水泵控制阀</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(1)DN80 PN2.5Mpa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压力表</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r>
              <w:rPr>
                <w:rFonts w:hint="eastAsia" w:ascii="宋体" w:hAnsi="宋体" w:eastAsia="宋体" w:cs="宋体"/>
                <w:i w:val="0"/>
                <w:iCs w:val="0"/>
                <w:color w:val="000000"/>
                <w:kern w:val="0"/>
                <w:sz w:val="18"/>
                <w:szCs w:val="18"/>
                <w:u w:val="none"/>
                <w:bdr w:val="none" w:color="auto" w:sz="0" w:space="0"/>
                <w:lang w:val="en-US" w:eastAsia="zh-CN" w:bidi="ar"/>
              </w:rPr>
              <w:t>量程 0~2.5Mpa</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51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2号泵房水池进水侧</w:t>
            </w: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(1)DN100 PN1.0Mpa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Y型过滤器</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(1)DN100 PN1.0Mpa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水表</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(1)DN80 PN1.0Mpa</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压力变送器</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(1)PN0~1.0Mpa </w:t>
            </w:r>
            <w:r>
              <w:rPr>
                <w:rFonts w:hint="eastAsia" w:ascii="宋体" w:hAnsi="宋体" w:eastAsia="宋体" w:cs="宋体"/>
                <w:i w:val="0"/>
                <w:iCs w:val="0"/>
                <w:color w:val="000000"/>
                <w:kern w:val="0"/>
                <w:sz w:val="18"/>
                <w:szCs w:val="18"/>
                <w:u w:val="none"/>
                <w:bdr w:val="none" w:color="auto" w:sz="0" w:space="0"/>
                <w:lang w:val="en-US" w:eastAsia="zh-CN" w:bidi="ar"/>
              </w:rPr>
              <w:t>（2</w:t>
            </w:r>
            <w:r>
              <w:rPr>
                <w:rFonts w:hint="eastAsia" w:ascii="宋体" w:hAnsi="宋体" w:eastAsia="宋体" w:cs="宋体"/>
                <w:i w:val="0"/>
                <w:iCs w:val="0"/>
                <w:color w:val="000000"/>
                <w:kern w:val="0"/>
                <w:sz w:val="18"/>
                <w:szCs w:val="18"/>
                <w:u w:val="none"/>
                <w:bdr w:val="none" w:color="auto" w:sz="0" w:space="0"/>
                <w:lang w:val="en-US" w:eastAsia="zh-CN" w:bidi="ar"/>
              </w:rPr>
              <w:t xml:space="preserve">）4-20mA </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51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2号泵房水池（箱）出水管</w:t>
            </w: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(1)DN80  PN2.5 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(1)DN80  PN2.5 Mpa (2)</w:t>
            </w:r>
            <w:r>
              <w:rPr>
                <w:rFonts w:hint="eastAsia" w:ascii="宋体" w:hAnsi="宋体" w:eastAsia="宋体" w:cs="宋体"/>
                <w:i w:val="0"/>
                <w:iCs w:val="0"/>
                <w:color w:val="000000"/>
                <w:kern w:val="0"/>
                <w:sz w:val="18"/>
                <w:szCs w:val="18"/>
                <w:u w:val="none"/>
                <w:bdr w:val="none" w:color="auto" w:sz="0" w:space="0"/>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5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泵房内附属设施</w:t>
            </w: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磷酸铵盐干粉灭火器</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5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2号泵房通风设施</w:t>
            </w:r>
          </w:p>
        </w:tc>
        <w:tc>
          <w:tcPr>
            <w:tcW w:w="76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挂壁式空调</w:t>
            </w:r>
          </w:p>
        </w:tc>
        <w:tc>
          <w:tcPr>
            <w:tcW w:w="141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r>
              <w:rPr>
                <w:rFonts w:hint="eastAsia" w:ascii="宋体" w:hAnsi="宋体" w:eastAsia="宋体" w:cs="宋体"/>
                <w:i w:val="0"/>
                <w:iCs w:val="0"/>
                <w:color w:val="000000"/>
                <w:kern w:val="0"/>
                <w:sz w:val="18"/>
                <w:szCs w:val="18"/>
                <w:u w:val="none"/>
                <w:bdr w:val="none" w:color="auto" w:sz="0" w:space="0"/>
                <w:lang w:val="en-US" w:eastAsia="zh-CN" w:bidi="ar"/>
              </w:rPr>
              <w:t>匹</w:t>
            </w:r>
          </w:p>
        </w:tc>
        <w:tc>
          <w:tcPr>
            <w:tcW w:w="50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3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w:t>
            </w:r>
          </w:p>
        </w:tc>
        <w:tc>
          <w:tcPr>
            <w:tcW w:w="51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2号泵房</w:t>
            </w:r>
          </w:p>
        </w:tc>
        <w:tc>
          <w:tcPr>
            <w:tcW w:w="7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不锈钢管</w:t>
            </w:r>
          </w:p>
        </w:tc>
        <w:tc>
          <w:tcPr>
            <w:tcW w:w="1414"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泵房外一米以内的管材</w:t>
            </w:r>
          </w:p>
        </w:tc>
        <w:tc>
          <w:tcPr>
            <w:tcW w:w="50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批</w:t>
            </w:r>
          </w:p>
        </w:tc>
        <w:tc>
          <w:tcPr>
            <w:tcW w:w="31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w:t>
            </w:r>
          </w:p>
        </w:tc>
        <w:tc>
          <w:tcPr>
            <w:tcW w:w="51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安装调试费用</w:t>
            </w:r>
          </w:p>
        </w:tc>
        <w:tc>
          <w:tcPr>
            <w:tcW w:w="1414"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31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79" w:type="dxa"/>
            <w:gridSpan w:val="9"/>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kern w:val="0"/>
                <w:sz w:val="18"/>
                <w:szCs w:val="18"/>
                <w:highlight w:val="none"/>
              </w:rPr>
              <w:t>合同价款（含13%增值税）总额（大写）：</w:t>
            </w:r>
            <w:r>
              <w:rPr>
                <w:rFonts w:hint="eastAsia" w:ascii="宋体" w:hAnsi="宋体" w:eastAsia="宋体" w:cs="宋体"/>
                <w:kern w:val="0"/>
                <w:sz w:val="18"/>
                <w:szCs w:val="18"/>
                <w:highlight w:val="none"/>
                <w:lang w:val="en-US" w:eastAsia="zh-CN"/>
              </w:rPr>
              <w:t xml:space="preserve">            </w:t>
            </w:r>
            <w:r>
              <w:rPr>
                <w:rFonts w:hint="eastAsia" w:ascii="宋体" w:hAnsi="宋体" w:eastAsia="宋体" w:cs="宋体"/>
                <w:kern w:val="0"/>
                <w:sz w:val="18"/>
                <w:szCs w:val="18"/>
                <w:highlight w:val="none"/>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79" w:type="dxa"/>
            <w:gridSpan w:val="9"/>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kern w:val="0"/>
                <w:sz w:val="18"/>
                <w:szCs w:val="18"/>
                <w:highlight w:val="none"/>
              </w:rPr>
              <w:t xml:space="preserve">其中：不含税价款为：   ，增值税税金为：    </w:t>
            </w:r>
          </w:p>
        </w:tc>
      </w:tr>
    </w:tbl>
    <w:p>
      <w:pPr>
        <w:rPr>
          <w:rFonts w:hint="eastAsia" w:ascii="宋体" w:hAnsi="宋体" w:eastAsia="宋体" w:cs="宋体"/>
          <w:szCs w:val="21"/>
          <w:highlight w:val="none"/>
        </w:rPr>
      </w:pPr>
    </w:p>
    <w:p>
      <w:pPr>
        <w:rPr>
          <w:rFonts w:hint="eastAsia" w:ascii="宋体" w:hAnsi="宋体" w:eastAsia="宋体" w:cs="宋体"/>
          <w:kern w:val="0"/>
          <w:szCs w:val="21"/>
          <w:highlight w:val="none"/>
        </w:rPr>
      </w:pPr>
      <w:r>
        <w:rPr>
          <w:rFonts w:hint="eastAsia" w:ascii="宋体" w:hAnsi="宋体" w:eastAsia="宋体" w:cs="宋体"/>
          <w:szCs w:val="21"/>
          <w:highlight w:val="none"/>
        </w:rPr>
        <w:t>备注：</w:t>
      </w:r>
    </w:p>
    <w:p>
      <w:pPr>
        <w:topLinePunct/>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1、本项目投标报价上限为：</w:t>
      </w:r>
      <w:r>
        <w:rPr>
          <w:rFonts w:hint="eastAsia" w:ascii="宋体" w:hAnsi="宋体" w:cs="宋体"/>
          <w:b/>
          <w:bCs/>
          <w:snapToGrid w:val="0"/>
          <w:kern w:val="0"/>
          <w:szCs w:val="21"/>
          <w:highlight w:val="none"/>
          <w:lang w:val="en-US" w:eastAsia="zh-CN"/>
        </w:rPr>
        <w:t>1086965.42</w:t>
      </w:r>
      <w:r>
        <w:rPr>
          <w:rFonts w:hint="eastAsia" w:ascii="宋体" w:hAnsi="宋体" w:eastAsia="宋体" w:cs="宋体"/>
          <w:szCs w:val="21"/>
          <w:highlight w:val="none"/>
        </w:rPr>
        <w:t>元，投标报价（含税总价）不得高于投标报价上限，否则作废标处理；</w:t>
      </w:r>
    </w:p>
    <w:p>
      <w:pPr>
        <w:topLinePunct/>
        <w:adjustRightInd w:val="0"/>
        <w:snapToGrid w:val="0"/>
        <w:spacing w:line="360" w:lineRule="auto"/>
        <w:ind w:firstLine="420" w:firstLineChars="200"/>
        <w:jc w:val="left"/>
        <w:rPr>
          <w:rFonts w:hint="eastAsia" w:ascii="宋体" w:hAnsi="宋体" w:eastAsia="宋体" w:cs="宋体"/>
          <w:szCs w:val="21"/>
          <w:highlight w:val="none"/>
        </w:rPr>
      </w:pPr>
      <w:bookmarkStart w:id="479" w:name="_Toc11136_WPSOffice_Level2"/>
      <w:r>
        <w:rPr>
          <w:rFonts w:hint="eastAsia" w:ascii="宋体" w:hAnsi="宋体" w:eastAsia="宋体" w:cs="宋体"/>
          <w:szCs w:val="21"/>
          <w:highlight w:val="none"/>
        </w:rPr>
        <w:t>2、本项目投标报价单位均为“元”，投标人所填报的投标报价均保留至小数点后两位；</w:t>
      </w:r>
    </w:p>
    <w:p>
      <w:pPr>
        <w:topLinePunct/>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3、固定税率为13%，投标人不得更改（增值税为固定税率，由投标单位在“投标报价一览表”中填报增值税税率及金额；若投标人为小规模类型纳税人，须提供相关小规模类型纳税人证明文件，并自行填报符合国家规定的增值税税率）</w:t>
      </w:r>
      <w:bookmarkEnd w:id="479"/>
      <w:r>
        <w:rPr>
          <w:rFonts w:hint="eastAsia" w:ascii="宋体" w:hAnsi="宋体" w:eastAsia="宋体" w:cs="宋体"/>
          <w:szCs w:val="21"/>
          <w:highlight w:val="none"/>
        </w:rPr>
        <w:t>；</w:t>
      </w:r>
    </w:p>
    <w:p>
      <w:pPr>
        <w:topLinePunct/>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4、设备规格型号及技术要求满足第三章项目需求；</w:t>
      </w:r>
    </w:p>
    <w:p>
      <w:pPr>
        <w:topLinePunct/>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5、投标人应综合考虑企业自身情况及市场行情等因素，自主合理的填报报价。其中含税总价=含税单价×数量；投标合计总价=各分项含税总价之和；</w:t>
      </w:r>
    </w:p>
    <w:p>
      <w:pPr>
        <w:topLinePunct/>
        <w:adjustRightInd w:val="0"/>
        <w:snapToGrid w:val="0"/>
        <w:spacing w:line="360" w:lineRule="auto"/>
        <w:ind w:firstLine="420" w:firstLineChars="200"/>
        <w:jc w:val="left"/>
        <w:rPr>
          <w:rFonts w:hint="eastAsia" w:ascii="宋体" w:hAnsi="宋体" w:eastAsia="宋体" w:cs="宋体"/>
          <w:bCs/>
          <w:highlight w:val="none"/>
        </w:rPr>
      </w:pPr>
      <w:bookmarkStart w:id="480" w:name="_Toc15562_WPSOffice_Level2"/>
      <w:r>
        <w:rPr>
          <w:rFonts w:hint="eastAsia" w:ascii="宋体" w:hAnsi="宋体" w:eastAsia="宋体" w:cs="宋体"/>
          <w:bCs/>
          <w:highlight w:val="none"/>
        </w:rPr>
        <w:t>6、若投标合计总价与各分项含税总价之和金额不一致的，以各分项含税总价之和金额为准；若含税总价与经含税单价与数量的乘积金额不一致的，以含税单价计算后的价格为准；</w:t>
      </w:r>
    </w:p>
    <w:p>
      <w:pPr>
        <w:topLinePunct/>
        <w:adjustRightInd w:val="0"/>
        <w:snapToGrid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7、招标人不承诺选择投标报价最低的投</w:t>
      </w:r>
      <w:bookmarkEnd w:id="480"/>
      <w:r>
        <w:rPr>
          <w:rFonts w:hint="eastAsia" w:ascii="宋体" w:hAnsi="宋体" w:eastAsia="宋体" w:cs="宋体"/>
          <w:szCs w:val="21"/>
          <w:highlight w:val="none"/>
        </w:rPr>
        <w:t>标人；</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8、不得对采购清单的项目或数量进行修改。投标人的投标报价如果出现缺项、漏项或是修改了本招标项目“货物需求及数量一览表”中列明项目的数量情况的，招标人按照不利于该投标人的原则进行调整，且投标人不得因此提出任何异议。</w:t>
      </w:r>
    </w:p>
    <w:p>
      <w:pPr>
        <w:pStyle w:val="25"/>
        <w:rPr>
          <w:highlight w:val="none"/>
        </w:rPr>
      </w:pPr>
    </w:p>
    <w:p>
      <w:pPr>
        <w:pStyle w:val="333"/>
        <w:widowControl w:val="0"/>
        <w:adjustRightInd w:val="0"/>
        <w:snapToGrid w:val="0"/>
        <w:spacing w:before="0" w:beforeAutospacing="0" w:after="0" w:afterAutospacing="0" w:line="360" w:lineRule="auto"/>
        <w:jc w:val="center"/>
        <w:rPr>
          <w:snapToGrid w:val="0"/>
          <w:sz w:val="21"/>
          <w:szCs w:val="21"/>
          <w:highlight w:val="none"/>
        </w:rPr>
      </w:pPr>
      <w:r>
        <w:rPr>
          <w:rFonts w:hint="eastAsia"/>
          <w:snapToGrid w:val="0"/>
          <w:sz w:val="21"/>
          <w:szCs w:val="21"/>
          <w:highlight w:val="none"/>
        </w:rPr>
        <w:t xml:space="preserve">投标单位（盖章）：                        </w:t>
      </w:r>
    </w:p>
    <w:p>
      <w:pPr>
        <w:pStyle w:val="205"/>
        <w:jc w:val="center"/>
        <w:rPr>
          <w:rFonts w:ascii="宋体" w:hAnsi="宋体" w:cs="宋体"/>
          <w:snapToGrid w:val="0"/>
          <w:szCs w:val="21"/>
          <w:highlight w:val="none"/>
        </w:rPr>
      </w:pPr>
      <w:r>
        <w:rPr>
          <w:rFonts w:hint="eastAsia" w:ascii="宋体" w:hAnsi="宋体" w:cs="宋体"/>
          <w:snapToGrid w:val="0"/>
          <w:szCs w:val="21"/>
          <w:highlight w:val="none"/>
        </w:rPr>
        <w:t xml:space="preserve">                    法定代表人或委托代理人（签名或签章）：</w:t>
      </w:r>
    </w:p>
    <w:p>
      <w:pPr>
        <w:pStyle w:val="174"/>
        <w:spacing w:line="360" w:lineRule="auto"/>
        <w:ind w:firstLine="420" w:firstLineChars="200"/>
        <w:jc w:val="left"/>
        <w:rPr>
          <w:rFonts w:ascii="宋体" w:hAnsi="宋体" w:cs="宋体"/>
          <w:b/>
          <w:bCs/>
          <w:snapToGrid w:val="0"/>
          <w:sz w:val="30"/>
          <w:szCs w:val="30"/>
          <w:highlight w:val="none"/>
        </w:rPr>
      </w:pPr>
      <w:r>
        <w:rPr>
          <w:rFonts w:hint="eastAsia" w:ascii="宋体" w:hAnsi="宋体" w:cs="宋体"/>
          <w:snapToGrid w:val="0"/>
          <w:szCs w:val="21"/>
          <w:highlight w:val="none"/>
        </w:rPr>
        <w:t xml:space="preserve">                                            日   期：  年   月   日</w:t>
      </w:r>
    </w:p>
    <w:p>
      <w:pPr>
        <w:pStyle w:val="72"/>
        <w:ind w:firstLine="480"/>
        <w:rPr>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p>
    <w:p>
      <w:pPr>
        <w:pStyle w:val="8"/>
        <w:numPr>
          <w:ilvl w:val="0"/>
          <w:numId w:val="17"/>
        </w:numPr>
        <w:jc w:val="center"/>
        <w:rPr>
          <w:highlight w:val="none"/>
        </w:rPr>
      </w:pPr>
      <w:bookmarkStart w:id="481" w:name="_Toc152852452"/>
      <w:r>
        <w:rPr>
          <w:rFonts w:hint="eastAsia"/>
          <w:highlight w:val="none"/>
        </w:rPr>
        <w:t>投标品牌一览表</w:t>
      </w:r>
      <w:bookmarkEnd w:id="481"/>
    </w:p>
    <w:tbl>
      <w:tblPr>
        <w:tblStyle w:val="58"/>
        <w:tblW w:w="54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960"/>
        <w:gridCol w:w="1425"/>
        <w:gridCol w:w="2625"/>
        <w:gridCol w:w="945"/>
        <w:gridCol w:w="600"/>
        <w:gridCol w:w="585"/>
        <w:gridCol w:w="81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部位</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b w:val="0"/>
                <w:bCs w:val="0"/>
                <w:kern w:val="0"/>
                <w:sz w:val="18"/>
                <w:szCs w:val="18"/>
                <w:highlight w:val="none"/>
                <w:lang w:val="en-US" w:eastAsia="zh-CN"/>
              </w:rPr>
              <w:t>选用品牌</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val="0"/>
                <w:bCs w:val="0"/>
                <w:kern w:val="0"/>
                <w:sz w:val="18"/>
                <w:szCs w:val="18"/>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1号泵房设备明细表</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1#泵房变频泵组</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规格型号:主泵Q=15m3A，H=45m(两用一备)；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辅泵Q=5m3/h，H=45m (一用)。</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箱体</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整体尺寸 (LxBxH=8.5x3.5x3.0m)</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电气系统</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详见图纸</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PLC/安防柜</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2000*800*600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多功能水泵控制阀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多功能水泵控制阀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量程</w:t>
            </w:r>
            <w:r>
              <w:rPr>
                <w:rFonts w:hint="default" w:ascii="Times New Roman" w:hAnsi="Times New Roman" w:eastAsia="宋体" w:cs="Times New Roman"/>
                <w:i w:val="0"/>
                <w:iCs w:val="0"/>
                <w:color w:val="000000"/>
                <w:kern w:val="0"/>
                <w:sz w:val="18"/>
                <w:szCs w:val="18"/>
                <w:u w:val="none"/>
                <w:lang w:val="en-US" w:eastAsia="zh-CN" w:bidi="ar"/>
              </w:rPr>
              <w:t xml:space="preserve"> 0~1.6Mpa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1号泵房水池出水侧</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紫外线消毒器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(1)Q=36m3/h  P=510W (2)PN1.0Mpa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法兰阀门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复合式排气阀</w:t>
            </w:r>
            <w:r>
              <w:rPr>
                <w:rFonts w:hint="default" w:ascii="Times New Roman" w:hAnsi="Times New Roman" w:eastAsia="宋体" w:cs="Times New Roman"/>
                <w:i w:val="0"/>
                <w:iCs w:val="0"/>
                <w:color w:val="000000"/>
                <w:kern w:val="0"/>
                <w:sz w:val="18"/>
                <w:szCs w:val="18"/>
                <w:u w:val="none"/>
                <w:lang w:val="en-US" w:eastAsia="zh-CN" w:bidi="ar"/>
              </w:rPr>
              <w:t xml:space="preserve"> DN25  (2)</w:t>
            </w:r>
            <w:r>
              <w:rPr>
                <w:rFonts w:hint="eastAsia" w:ascii="宋体" w:hAnsi="宋体" w:eastAsia="宋体" w:cs="宋体"/>
                <w:i w:val="0"/>
                <w:iCs w:val="0"/>
                <w:color w:val="000000"/>
                <w:kern w:val="0"/>
                <w:sz w:val="18"/>
                <w:szCs w:val="18"/>
                <w:u w:val="none"/>
                <w:lang w:val="en-US" w:eastAsia="zh-CN" w:bidi="ar"/>
              </w:rPr>
              <w:t>法兰连接</w:t>
            </w:r>
            <w:r>
              <w:rPr>
                <w:rFonts w:hint="default" w:ascii="Times New Roman" w:hAnsi="Times New Roman" w:eastAsia="宋体" w:cs="Times New Roman"/>
                <w:i w:val="0"/>
                <w:iCs w:val="0"/>
                <w:color w:val="000000"/>
                <w:kern w:val="0"/>
                <w:sz w:val="18"/>
                <w:szCs w:val="18"/>
                <w:u w:val="none"/>
                <w:lang w:val="en-US" w:eastAsia="zh-CN" w:bidi="ar"/>
              </w:rPr>
              <w:t xml:space="preserve"> PN1.0Mpa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Y型过滤器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电接点压力表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量程</w:t>
            </w:r>
            <w:r>
              <w:rPr>
                <w:rFonts w:hint="default" w:ascii="Times New Roman" w:hAnsi="Times New Roman" w:eastAsia="宋体" w:cs="Times New Roman"/>
                <w:i w:val="0"/>
                <w:iCs w:val="0"/>
                <w:color w:val="000000"/>
                <w:kern w:val="0"/>
                <w:sz w:val="18"/>
                <w:szCs w:val="18"/>
                <w:u w:val="none"/>
                <w:lang w:val="en-US" w:eastAsia="zh-CN" w:bidi="ar"/>
              </w:rPr>
              <w:t xml:space="preserve"> 0~1.6Mpa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压力变送器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(1)PN0~2.5Mpa </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）输出信号</w:t>
            </w:r>
            <w:r>
              <w:rPr>
                <w:rFonts w:hint="default" w:ascii="Times New Roman" w:hAnsi="Times New Roman" w:eastAsia="宋体" w:cs="Times New Roman"/>
                <w:i w:val="0"/>
                <w:iCs w:val="0"/>
                <w:color w:val="000000"/>
                <w:kern w:val="0"/>
                <w:sz w:val="18"/>
                <w:szCs w:val="18"/>
                <w:u w:val="none"/>
                <w:lang w:val="en-US" w:eastAsia="zh-CN" w:bidi="ar"/>
              </w:rPr>
              <w:t>4~20mA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PN1.6Mpa / PN2.5Mpa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PN1.6Mpa / PN2.5Mpa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1号泵房水池（箱）进水管</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PN2.5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Y型过滤器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PN2.5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(1)DN50 PN2.5Mpa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电动蝶阀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PN2.5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压力变送器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(1)PN0~2.5Mpa </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4-20mA </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液压水位控制阀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0.05~1.6Mpa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水池（箱）</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水箱V有效=12.6m3(LxBxH=3.5x3.0x3.0m)</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S31603</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旋流防止器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(1)DN100  </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）吸水口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超声波液位计</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(1)0~5m</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1号泵房内附属设施</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磷酸铵盐干粉灭火器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1号泵房通风设施</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挂壁式空调</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1号泵房</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不锈钢管</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泵房外一米以内的管材</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安装调试费</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2号泵房设备明细表</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工频泵组</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Q=6.5m3/h</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H=125m</w:t>
            </w:r>
            <w:r>
              <w:rPr>
                <w:rFonts w:hint="eastAsia" w:ascii="宋体" w:hAnsi="宋体" w:eastAsia="宋体" w:cs="宋体"/>
                <w:i w:val="0"/>
                <w:iCs w:val="0"/>
                <w:color w:val="000000"/>
                <w:kern w:val="0"/>
                <w:sz w:val="18"/>
                <w:szCs w:val="18"/>
                <w:u w:val="none"/>
                <w:lang w:val="en-US" w:eastAsia="zh-CN" w:bidi="ar"/>
              </w:rPr>
              <w:t>（一用一备）</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箱体</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整体尺寸（</w:t>
            </w:r>
            <w:r>
              <w:rPr>
                <w:rFonts w:hint="default" w:ascii="Times New Roman" w:hAnsi="Times New Roman" w:eastAsia="宋体" w:cs="Times New Roman"/>
                <w:i w:val="0"/>
                <w:iCs w:val="0"/>
                <w:color w:val="000000"/>
                <w:kern w:val="0"/>
                <w:sz w:val="18"/>
                <w:szCs w:val="18"/>
                <w:u w:val="none"/>
                <w:lang w:val="en-US" w:eastAsia="zh-CN" w:bidi="ar"/>
              </w:rPr>
              <w:t>L×B×H=4×2.5×3.0m</w:t>
            </w:r>
            <w:r>
              <w:rPr>
                <w:rFonts w:hint="eastAsia" w:ascii="宋体" w:hAnsi="宋体" w:eastAsia="宋体" w:cs="宋体"/>
                <w:i w:val="0"/>
                <w:iCs w:val="0"/>
                <w:color w:val="000000"/>
                <w:kern w:val="0"/>
                <w:sz w:val="18"/>
                <w:szCs w:val="18"/>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电气系统</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详见图纸</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PLC/安防柜</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2000*800*600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PN2.5Mpa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PN2.5Mpa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多功能水泵控制阀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PN2.5Mpa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量程</w:t>
            </w:r>
            <w:r>
              <w:rPr>
                <w:rFonts w:hint="default" w:ascii="Times New Roman" w:hAnsi="Times New Roman" w:eastAsia="宋体" w:cs="Times New Roman"/>
                <w:i w:val="0"/>
                <w:iCs w:val="0"/>
                <w:color w:val="000000"/>
                <w:kern w:val="0"/>
                <w:sz w:val="18"/>
                <w:szCs w:val="18"/>
                <w:u w:val="none"/>
                <w:lang w:val="en-US" w:eastAsia="zh-CN" w:bidi="ar"/>
              </w:rPr>
              <w:t xml:space="preserve"> 0~2.5Mpa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2号泵房水池进水侧</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Y型过滤器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PN1.0Mpa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压力变送器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(1)PN0~1.0Mpa </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4-20mA </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2号泵房水池（箱）出水管</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PN2.5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PN2.5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泵房内附属设施</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磷酸铵盐干粉灭火器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2号泵房通风设施</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挂壁式空调</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2号泵房</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不锈钢管</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泵房外一米以内的管材</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安装调试费用</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spacing w:line="360" w:lineRule="auto"/>
        <w:ind w:firstLine="420" w:firstLineChars="200"/>
        <w:rPr>
          <w:szCs w:val="22"/>
          <w:highlight w:val="none"/>
        </w:rPr>
      </w:pPr>
      <w:bookmarkStart w:id="536" w:name="_GoBack"/>
      <w:bookmarkEnd w:id="536"/>
      <w:r>
        <w:rPr>
          <w:rFonts w:hint="eastAsia" w:ascii="宋体" w:hAnsi="宋体" w:cs="宋体"/>
          <w:kern w:val="0"/>
          <w:szCs w:val="21"/>
          <w:highlight w:val="none"/>
        </w:rPr>
        <w:t>注：</w:t>
      </w:r>
      <w:r>
        <w:rPr>
          <w:rFonts w:hint="eastAsia"/>
          <w:szCs w:val="22"/>
          <w:highlight w:val="none"/>
        </w:rPr>
        <w:t>投标人自主对表中每一类设备材料填报唯一品牌。后期如投标人中标，则须按所填报的设备材料品牌进行采购。（注：如投标人填报品牌未按招标文件规定执行，则所带来的任何不良影响均由投标人自行承担。）</w:t>
      </w:r>
    </w:p>
    <w:p>
      <w:pPr>
        <w:adjustRightInd w:val="0"/>
        <w:snapToGrid w:val="0"/>
        <w:spacing w:line="360" w:lineRule="auto"/>
        <w:jc w:val="center"/>
        <w:rPr>
          <w:rFonts w:hint="eastAsia" w:ascii="宋体" w:hAnsi="宋体" w:eastAsia="宋体" w:cs="宋体"/>
          <w:snapToGrid w:val="0"/>
          <w:sz w:val="52"/>
          <w:szCs w:val="52"/>
          <w:highlight w:val="none"/>
        </w:rPr>
      </w:pPr>
    </w:p>
    <w:p>
      <w:pPr>
        <w:adjustRightInd w:val="0"/>
        <w:snapToGrid w:val="0"/>
        <w:spacing w:line="360" w:lineRule="auto"/>
        <w:jc w:val="center"/>
        <w:rPr>
          <w:rFonts w:hint="eastAsia" w:ascii="宋体" w:hAnsi="宋体" w:eastAsia="宋体" w:cs="宋体"/>
          <w:snapToGrid w:val="0"/>
          <w:sz w:val="52"/>
          <w:szCs w:val="52"/>
          <w:highlight w:val="none"/>
        </w:rPr>
      </w:pPr>
    </w:p>
    <w:p>
      <w:pPr>
        <w:adjustRightInd w:val="0"/>
        <w:snapToGrid w:val="0"/>
        <w:spacing w:line="360" w:lineRule="auto"/>
        <w:jc w:val="center"/>
        <w:rPr>
          <w:rFonts w:hint="eastAsia" w:ascii="宋体" w:hAnsi="宋体" w:eastAsia="宋体" w:cs="宋体"/>
          <w:snapToGrid w:val="0"/>
          <w:sz w:val="44"/>
          <w:szCs w:val="44"/>
          <w:highlight w:val="none"/>
        </w:rPr>
      </w:pPr>
    </w:p>
    <w:p>
      <w:pPr>
        <w:pStyle w:val="8"/>
        <w:tabs>
          <w:tab w:val="left" w:pos="3143"/>
          <w:tab w:val="center" w:pos="4153"/>
        </w:tabs>
        <w:spacing w:line="276" w:lineRule="auto"/>
        <w:jc w:val="center"/>
        <w:rPr>
          <w:rFonts w:hint="eastAsia" w:ascii="宋体" w:hAnsi="宋体" w:eastAsia="宋体" w:cs="宋体"/>
          <w:sz w:val="28"/>
          <w:szCs w:val="28"/>
          <w:highlight w:val="none"/>
        </w:rPr>
      </w:pPr>
      <w:bookmarkStart w:id="482" w:name="_Toc29142"/>
      <w:bookmarkStart w:id="483" w:name="_Toc1392"/>
      <w:bookmarkStart w:id="484" w:name="_Toc28522"/>
      <w:bookmarkStart w:id="485" w:name="_Toc30943"/>
      <w:bookmarkStart w:id="486" w:name="_Toc41471743"/>
      <w:bookmarkStart w:id="487" w:name="_Toc91598758"/>
      <w:bookmarkStart w:id="488" w:name="_Toc10678"/>
      <w:bookmarkStart w:id="489" w:name="_Toc23850"/>
      <w:bookmarkStart w:id="490" w:name="_Toc23481"/>
      <w:bookmarkStart w:id="491" w:name="_Toc3076"/>
      <w:bookmarkStart w:id="492" w:name="_Toc133706684"/>
      <w:bookmarkStart w:id="493" w:name="_Toc16446"/>
      <w:bookmarkStart w:id="494" w:name="_Toc28713"/>
      <w:bookmarkStart w:id="495" w:name="_Toc31427"/>
      <w:bookmarkStart w:id="496" w:name="_Toc18258"/>
      <w:bookmarkStart w:id="497" w:name="_Toc16253"/>
      <w:bookmarkStart w:id="498" w:name="_Toc133706538"/>
      <w:bookmarkStart w:id="499" w:name="_Toc2745"/>
      <w:bookmarkStart w:id="500" w:name="_Toc133706214"/>
      <w:bookmarkStart w:id="501" w:name="_Toc133705472"/>
      <w:r>
        <w:rPr>
          <w:rFonts w:hint="eastAsia" w:ascii="宋体" w:hAnsi="宋体" w:eastAsia="宋体" w:cs="宋体"/>
          <w:snapToGrid w:val="0"/>
          <w:sz w:val="24"/>
          <w:highlight w:val="none"/>
        </w:rPr>
        <w:br w:type="page"/>
      </w:r>
      <w:r>
        <w:rPr>
          <w:rFonts w:hint="eastAsia" w:ascii="宋体" w:hAnsi="宋体" w:eastAsia="宋体" w:cs="宋体"/>
          <w:sz w:val="28"/>
          <w:szCs w:val="28"/>
          <w:highlight w:val="none"/>
        </w:rPr>
        <w:t>其他</w:t>
      </w:r>
    </w:p>
    <w:p>
      <w:pPr>
        <w:rPr>
          <w:rFonts w:hint="eastAsia" w:ascii="宋体" w:hAnsi="宋体" w:eastAsia="宋体" w:cs="宋体"/>
          <w:highlight w:val="none"/>
        </w:rPr>
      </w:pPr>
    </w:p>
    <w:p>
      <w:pPr>
        <w:pStyle w:val="202"/>
        <w:widowControl w:val="0"/>
        <w:spacing w:before="0" w:beforeAutospacing="0" w:after="0" w:afterAutospacing="0" w:line="360" w:lineRule="auto"/>
        <w:jc w:val="center"/>
        <w:rPr>
          <w:rFonts w:hint="eastAsia" w:ascii="宋体" w:hAnsi="宋体" w:eastAsia="宋体" w:cs="宋体"/>
          <w:b/>
          <w:bCs/>
          <w:snapToGrid w:val="0"/>
          <w:sz w:val="21"/>
          <w:szCs w:val="21"/>
          <w:highlight w:val="none"/>
        </w:rPr>
      </w:pPr>
      <w:r>
        <w:rPr>
          <w:rFonts w:hint="eastAsia" w:ascii="宋体" w:hAnsi="宋体" w:eastAsia="宋体" w:cs="宋体"/>
          <w:b/>
          <w:bCs/>
          <w:snapToGrid w:val="0"/>
          <w:sz w:val="21"/>
          <w:szCs w:val="21"/>
          <w:highlight w:val="none"/>
        </w:rPr>
        <w:t>（投标人认为应补充提供的其他文件资料或说明）</w:t>
      </w:r>
    </w:p>
    <w:p>
      <w:pPr>
        <w:adjustRightInd w:val="0"/>
        <w:snapToGrid w:val="0"/>
        <w:spacing w:line="360" w:lineRule="auto"/>
        <w:ind w:firstLine="420" w:firstLineChars="200"/>
        <w:jc w:val="left"/>
        <w:rPr>
          <w:rFonts w:hint="eastAsia" w:ascii="宋体" w:hAnsi="宋体" w:eastAsia="宋体" w:cs="宋体"/>
          <w:highlight w:val="none"/>
        </w:rPr>
      </w:pPr>
    </w:p>
    <w:p>
      <w:pPr>
        <w:rPr>
          <w:rFonts w:hint="eastAsia" w:ascii="宋体" w:hAnsi="宋体" w:eastAsia="宋体" w:cs="宋体"/>
          <w:b/>
          <w:bCs/>
          <w:snapToGrid w:val="0"/>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p>
    <w:p>
      <w:pPr>
        <w:rPr>
          <w:highlight w:val="none"/>
        </w:rPr>
      </w:pPr>
    </w:p>
    <w:p>
      <w:pPr>
        <w:pStyle w:val="7"/>
        <w:jc w:val="center"/>
        <w:rPr>
          <w:rFonts w:hint="eastAsia" w:ascii="宋体" w:hAnsi="宋体" w:eastAsia="宋体" w:cs="宋体"/>
          <w:sz w:val="40"/>
          <w:highlight w:val="none"/>
        </w:rPr>
      </w:pPr>
      <w:r>
        <w:rPr>
          <w:rFonts w:hint="eastAsia" w:ascii="宋体" w:hAnsi="宋体" w:eastAsia="宋体" w:cs="宋体"/>
          <w:sz w:val="40"/>
          <w:highlight w:val="none"/>
        </w:rPr>
        <w:t>资信标</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adjustRightInd w:val="0"/>
        <w:snapToGrid w:val="0"/>
        <w:spacing w:line="360" w:lineRule="auto"/>
        <w:jc w:val="center"/>
        <w:rPr>
          <w:rFonts w:hint="eastAsia" w:ascii="宋体" w:hAnsi="宋体" w:eastAsia="宋体" w:cs="宋体"/>
          <w:snapToGrid w:val="0"/>
          <w:sz w:val="44"/>
          <w:szCs w:val="44"/>
          <w:highlight w:val="none"/>
        </w:rPr>
      </w:pPr>
    </w:p>
    <w:p>
      <w:pPr>
        <w:adjustRightInd w:val="0"/>
        <w:snapToGrid w:val="0"/>
        <w:spacing w:line="360" w:lineRule="auto"/>
        <w:jc w:val="center"/>
        <w:rPr>
          <w:rFonts w:hint="eastAsia" w:ascii="宋体" w:hAnsi="宋体" w:eastAsia="宋体" w:cs="宋体"/>
          <w:snapToGrid w:val="0"/>
          <w:sz w:val="44"/>
          <w:szCs w:val="44"/>
          <w:highlight w:val="none"/>
        </w:rPr>
      </w:pPr>
    </w:p>
    <w:p>
      <w:pPr>
        <w:adjustRightInd w:val="0"/>
        <w:snapToGrid w:val="0"/>
        <w:spacing w:line="360" w:lineRule="auto"/>
        <w:jc w:val="center"/>
        <w:rPr>
          <w:rFonts w:hint="eastAsia" w:ascii="宋体" w:hAnsi="宋体" w:eastAsia="宋体" w:cs="宋体"/>
          <w:snapToGrid w:val="0"/>
          <w:sz w:val="44"/>
          <w:szCs w:val="44"/>
          <w:highlight w:val="none"/>
        </w:rPr>
      </w:pPr>
    </w:p>
    <w:p>
      <w:pPr>
        <w:adjustRightInd w:val="0"/>
        <w:snapToGrid w:val="0"/>
        <w:spacing w:line="360" w:lineRule="auto"/>
        <w:jc w:val="center"/>
        <w:rPr>
          <w:rFonts w:hint="eastAsia" w:ascii="宋体" w:hAnsi="宋体" w:eastAsia="宋体" w:cs="宋体"/>
          <w:snapToGrid w:val="0"/>
          <w:sz w:val="44"/>
          <w:szCs w:val="44"/>
          <w:highlight w:val="none"/>
        </w:rPr>
      </w:pPr>
    </w:p>
    <w:p>
      <w:pPr>
        <w:adjustRightInd w:val="0"/>
        <w:snapToGrid w:val="0"/>
        <w:spacing w:line="360" w:lineRule="auto"/>
        <w:ind w:firstLine="1400" w:firstLineChars="500"/>
        <w:jc w:val="left"/>
        <w:rPr>
          <w:rFonts w:hint="eastAsia" w:ascii="宋体" w:hAnsi="宋体" w:eastAsia="宋体" w:cs="宋体"/>
          <w:snapToGrid w:val="0"/>
          <w:sz w:val="28"/>
          <w:szCs w:val="28"/>
          <w:highlight w:val="none"/>
        </w:rPr>
      </w:pPr>
    </w:p>
    <w:p>
      <w:pPr>
        <w:adjustRightInd w:val="0"/>
        <w:snapToGrid w:val="0"/>
        <w:spacing w:line="360" w:lineRule="auto"/>
        <w:ind w:firstLine="1400" w:firstLineChars="500"/>
        <w:jc w:val="left"/>
        <w:rPr>
          <w:rFonts w:hint="eastAsia" w:ascii="宋体" w:hAnsi="宋体" w:eastAsia="宋体" w:cs="宋体"/>
          <w:snapToGrid w:val="0"/>
          <w:sz w:val="28"/>
          <w:szCs w:val="28"/>
          <w:highlight w:val="none"/>
        </w:rPr>
      </w:pPr>
      <w:r>
        <w:rPr>
          <w:rFonts w:hint="eastAsia" w:ascii="宋体" w:hAnsi="宋体" w:eastAsia="宋体" w:cs="宋体"/>
          <w:snapToGrid w:val="0"/>
          <w:sz w:val="28"/>
          <w:szCs w:val="28"/>
          <w:highlight w:val="none"/>
        </w:rPr>
        <w:t>投标人名称：___________________________</w:t>
      </w:r>
    </w:p>
    <w:p>
      <w:pPr>
        <w:adjustRightInd w:val="0"/>
        <w:snapToGrid w:val="0"/>
        <w:spacing w:line="360" w:lineRule="auto"/>
        <w:ind w:firstLine="1400" w:firstLineChars="500"/>
        <w:jc w:val="left"/>
        <w:rPr>
          <w:rFonts w:hint="eastAsia" w:ascii="宋体" w:hAnsi="宋体" w:eastAsia="宋体" w:cs="宋体"/>
          <w:snapToGrid w:val="0"/>
          <w:sz w:val="28"/>
          <w:szCs w:val="28"/>
          <w:highlight w:val="none"/>
        </w:rPr>
      </w:pPr>
      <w:r>
        <w:rPr>
          <w:rFonts w:hint="eastAsia" w:ascii="宋体" w:hAnsi="宋体" w:eastAsia="宋体" w:cs="宋体"/>
          <w:snapToGrid w:val="0"/>
          <w:sz w:val="28"/>
          <w:szCs w:val="28"/>
          <w:highlight w:val="none"/>
        </w:rPr>
        <w:t>投标人代表：___________________________</w:t>
      </w:r>
    </w:p>
    <w:p>
      <w:pPr>
        <w:pStyle w:val="2"/>
        <w:ind w:firstLine="980" w:firstLineChars="350"/>
        <w:rPr>
          <w:rFonts w:hint="eastAsia" w:ascii="宋体" w:hAnsi="宋体" w:eastAsia="宋体" w:cs="宋体"/>
          <w:highlight w:val="none"/>
        </w:rPr>
      </w:pPr>
      <w:r>
        <w:rPr>
          <w:rFonts w:hint="eastAsia" w:ascii="宋体" w:hAnsi="宋体" w:eastAsia="宋体" w:cs="宋体"/>
          <w:snapToGrid w:val="0"/>
          <w:sz w:val="28"/>
          <w:szCs w:val="28"/>
          <w:highlight w:val="none"/>
        </w:rPr>
        <w:t>投标日期：___________年______月______日</w:t>
      </w:r>
      <w:r>
        <w:rPr>
          <w:rFonts w:hint="eastAsia" w:ascii="宋体" w:hAnsi="宋体" w:eastAsia="宋体" w:cs="宋体"/>
          <w:highlight w:val="none"/>
        </w:rPr>
        <w:br w:type="page"/>
      </w:r>
    </w:p>
    <w:p>
      <w:pPr>
        <w:pStyle w:val="8"/>
        <w:spacing w:line="276" w:lineRule="auto"/>
        <w:jc w:val="center"/>
        <w:rPr>
          <w:rFonts w:hint="eastAsia" w:ascii="宋体" w:hAnsi="宋体" w:eastAsia="宋体" w:cs="宋体"/>
          <w:highlight w:val="none"/>
        </w:rPr>
      </w:pPr>
      <w:bookmarkStart w:id="502" w:name="_Toc954"/>
      <w:bookmarkStart w:id="503" w:name="_Toc109661361"/>
      <w:bookmarkStart w:id="504" w:name="_Toc3643"/>
      <w:bookmarkStart w:id="505" w:name="_Toc17294"/>
      <w:bookmarkStart w:id="506" w:name="_Toc133706215"/>
      <w:bookmarkStart w:id="507" w:name="_Toc4710"/>
      <w:bookmarkStart w:id="508" w:name="_Toc31151"/>
      <w:bookmarkStart w:id="509" w:name="_Toc133706539"/>
      <w:bookmarkStart w:id="510" w:name="_Toc133706685"/>
      <w:bookmarkStart w:id="511" w:name="_Toc22167"/>
      <w:bookmarkStart w:id="512" w:name="_Toc23686"/>
      <w:bookmarkStart w:id="513" w:name="_Toc23293"/>
      <w:bookmarkStart w:id="514" w:name="_Toc32319"/>
      <w:bookmarkStart w:id="515" w:name="_Toc10118"/>
      <w:bookmarkStart w:id="516" w:name="_Toc27990"/>
      <w:bookmarkStart w:id="517" w:name="_Toc996"/>
      <w:bookmarkStart w:id="518" w:name="_Toc2794"/>
      <w:bookmarkStart w:id="519" w:name="_Toc133705473"/>
      <w:bookmarkStart w:id="520" w:name="_Toc91600752"/>
      <w:bookmarkStart w:id="521" w:name="_Toc91598759"/>
      <w:bookmarkStart w:id="522" w:name="_Toc294"/>
      <w:r>
        <w:rPr>
          <w:rFonts w:hint="eastAsia" w:ascii="宋体" w:hAnsi="宋体" w:eastAsia="宋体" w:cs="宋体"/>
          <w:sz w:val="28"/>
          <w:highlight w:val="none"/>
        </w:rPr>
        <w:t>一、企业基本情况表</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tbl>
      <w:tblPr>
        <w:tblStyle w:val="58"/>
        <w:tblW w:w="9214" w:type="dxa"/>
        <w:tblInd w:w="-147" w:type="dxa"/>
        <w:tblLayout w:type="autofit"/>
        <w:tblCellMar>
          <w:top w:w="0" w:type="dxa"/>
          <w:left w:w="108" w:type="dxa"/>
          <w:bottom w:w="0" w:type="dxa"/>
          <w:right w:w="108" w:type="dxa"/>
        </w:tblCellMar>
      </w:tblPr>
      <w:tblGrid>
        <w:gridCol w:w="1560"/>
        <w:gridCol w:w="2835"/>
        <w:gridCol w:w="1547"/>
        <w:gridCol w:w="3272"/>
      </w:tblGrid>
      <w:tr>
        <w:tblPrEx>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企业名称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（投标人填写）</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成立时间</w:t>
            </w:r>
          </w:p>
        </w:tc>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（投标人填写）</w:t>
            </w:r>
          </w:p>
        </w:tc>
      </w:tr>
      <w:tr>
        <w:tblPrEx>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企业类型</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（投标人勾选）</w:t>
            </w:r>
          </w:p>
          <w:p>
            <w:pPr>
              <w:widowControl/>
              <w:jc w:val="center"/>
              <w:rPr>
                <w:rFonts w:hint="eastAsia" w:ascii="宋体" w:hAnsi="宋体" w:eastAsia="宋体" w:cs="宋体"/>
                <w:kern w:val="0"/>
                <w:szCs w:val="21"/>
                <w:highlight w:val="none"/>
              </w:rPr>
            </w:pPr>
            <w:r>
              <w:rPr>
                <w:rFonts w:hint="eastAsia" w:ascii="宋体" w:hAnsi="宋体" w:eastAsia="宋体" w:cs="宋体"/>
                <w:bCs/>
                <w:szCs w:val="21"/>
                <w:highlight w:val="none"/>
              </w:rPr>
              <w:t>□</w:t>
            </w:r>
            <w:r>
              <w:rPr>
                <w:rFonts w:hint="eastAsia" w:ascii="宋体" w:hAnsi="宋体" w:eastAsia="宋体" w:cs="宋体"/>
                <w:kern w:val="0"/>
                <w:szCs w:val="21"/>
                <w:highlight w:val="none"/>
              </w:rPr>
              <w:t xml:space="preserve">制造商 </w:t>
            </w:r>
            <w:r>
              <w:rPr>
                <w:rFonts w:hint="eastAsia" w:ascii="宋体" w:hAnsi="宋体" w:eastAsia="宋体" w:cs="宋体"/>
                <w:bCs/>
                <w:szCs w:val="21"/>
                <w:highlight w:val="none"/>
              </w:rPr>
              <w:t>□</w:t>
            </w:r>
            <w:r>
              <w:rPr>
                <w:rFonts w:hint="eastAsia" w:ascii="宋体" w:hAnsi="宋体" w:eastAsia="宋体" w:cs="宋体"/>
                <w:kern w:val="0"/>
                <w:szCs w:val="21"/>
                <w:highlight w:val="none"/>
              </w:rPr>
              <w:t>代理商</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注册资本</w:t>
            </w:r>
          </w:p>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（万元）</w:t>
            </w:r>
          </w:p>
        </w:tc>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（投标人填写）</w:t>
            </w:r>
          </w:p>
        </w:tc>
      </w:tr>
      <w:tr>
        <w:tblPrEx>
          <w:tblCellMar>
            <w:top w:w="0" w:type="dxa"/>
            <w:left w:w="108" w:type="dxa"/>
            <w:bottom w:w="0" w:type="dxa"/>
            <w:right w:w="108" w:type="dxa"/>
          </w:tblCellMar>
        </w:tblPrEx>
        <w:trPr>
          <w:trHeight w:val="57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企业性质</w:t>
            </w:r>
          </w:p>
        </w:tc>
        <w:tc>
          <w:tcPr>
            <w:tcW w:w="7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（投标人勾选）</w:t>
            </w:r>
          </w:p>
          <w:p>
            <w:pPr>
              <w:widowControl/>
              <w:ind w:firstLine="2940" w:firstLineChars="1400"/>
              <w:jc w:val="left"/>
              <w:rPr>
                <w:rFonts w:hint="eastAsia" w:ascii="宋体" w:hAnsi="宋体" w:eastAsia="宋体" w:cs="宋体"/>
                <w:kern w:val="0"/>
                <w:szCs w:val="21"/>
                <w:highlight w:val="none"/>
              </w:rPr>
            </w:pPr>
            <w:r>
              <w:rPr>
                <w:rFonts w:hint="eastAsia" w:ascii="宋体" w:hAnsi="宋体" w:eastAsia="宋体" w:cs="宋体"/>
                <w:bCs/>
                <w:szCs w:val="21"/>
                <w:highlight w:val="none"/>
              </w:rPr>
              <w:t>□</w:t>
            </w:r>
            <w:r>
              <w:rPr>
                <w:rFonts w:hint="eastAsia" w:ascii="宋体" w:hAnsi="宋体" w:eastAsia="宋体" w:cs="宋体"/>
                <w:kern w:val="0"/>
                <w:szCs w:val="21"/>
                <w:highlight w:val="none"/>
              </w:rPr>
              <w:t xml:space="preserve">国企  </w:t>
            </w:r>
            <w:r>
              <w:rPr>
                <w:rFonts w:hint="eastAsia" w:ascii="宋体" w:hAnsi="宋体" w:eastAsia="宋体" w:cs="宋体"/>
                <w:bCs/>
                <w:szCs w:val="21"/>
                <w:highlight w:val="none"/>
              </w:rPr>
              <w:t>□</w:t>
            </w:r>
            <w:r>
              <w:rPr>
                <w:rFonts w:hint="eastAsia" w:ascii="宋体" w:hAnsi="宋体" w:eastAsia="宋体" w:cs="宋体"/>
                <w:kern w:val="0"/>
                <w:szCs w:val="21"/>
                <w:highlight w:val="none"/>
              </w:rPr>
              <w:t>民营</w:t>
            </w:r>
          </w:p>
        </w:tc>
      </w:tr>
      <w:tr>
        <w:tblPrEx>
          <w:tblCellMar>
            <w:top w:w="0" w:type="dxa"/>
            <w:left w:w="108" w:type="dxa"/>
            <w:bottom w:w="0" w:type="dxa"/>
            <w:right w:w="108" w:type="dxa"/>
          </w:tblCellMar>
        </w:tblPrEx>
        <w:trPr>
          <w:trHeight w:val="567"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主营业务范围</w:t>
            </w:r>
          </w:p>
        </w:tc>
        <w:tc>
          <w:tcPr>
            <w:tcW w:w="7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（投标人填写）</w:t>
            </w:r>
          </w:p>
        </w:tc>
      </w:tr>
      <w:tr>
        <w:tblPrEx>
          <w:tblCellMar>
            <w:top w:w="0" w:type="dxa"/>
            <w:left w:w="108" w:type="dxa"/>
            <w:bottom w:w="0" w:type="dxa"/>
            <w:right w:w="108" w:type="dxa"/>
          </w:tblCellMar>
        </w:tblPrEx>
        <w:trPr>
          <w:trHeight w:val="567" w:hRule="atLeast"/>
        </w:trPr>
        <w:tc>
          <w:tcPr>
            <w:tcW w:w="156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7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（投标人填写）</w:t>
            </w:r>
          </w:p>
        </w:tc>
      </w:tr>
      <w:tr>
        <w:tblPrEx>
          <w:tblCellMar>
            <w:top w:w="0" w:type="dxa"/>
            <w:left w:w="108" w:type="dxa"/>
            <w:bottom w:w="0" w:type="dxa"/>
            <w:right w:w="108" w:type="dxa"/>
          </w:tblCellMar>
        </w:tblPrEx>
        <w:trPr>
          <w:trHeight w:val="567" w:hRule="atLeast"/>
        </w:trPr>
        <w:tc>
          <w:tcPr>
            <w:tcW w:w="156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办公地址</w:t>
            </w:r>
          </w:p>
        </w:tc>
        <w:tc>
          <w:tcPr>
            <w:tcW w:w="76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（投标人填写）</w:t>
            </w:r>
          </w:p>
        </w:tc>
      </w:tr>
      <w:tr>
        <w:tblPrEx>
          <w:tblCellMar>
            <w:top w:w="0" w:type="dxa"/>
            <w:left w:w="108" w:type="dxa"/>
            <w:bottom w:w="0" w:type="dxa"/>
            <w:right w:w="108" w:type="dxa"/>
          </w:tblCellMar>
        </w:tblPrEx>
        <w:trPr>
          <w:trHeight w:val="567" w:hRule="atLeast"/>
        </w:trPr>
        <w:tc>
          <w:tcPr>
            <w:tcW w:w="156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hint="eastAsia" w:ascii="宋体" w:hAnsi="宋体" w:eastAsia="宋体" w:cs="宋体"/>
                <w:kern w:val="0"/>
                <w:szCs w:val="21"/>
                <w:highlight w:val="none"/>
              </w:rPr>
            </w:pPr>
          </w:p>
        </w:tc>
        <w:tc>
          <w:tcPr>
            <w:tcW w:w="7654"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eastAsia="宋体" w:cs="宋体"/>
                <w:kern w:val="0"/>
                <w:szCs w:val="21"/>
                <w:highlight w:val="none"/>
              </w:rPr>
            </w:pPr>
          </w:p>
        </w:tc>
      </w:tr>
      <w:tr>
        <w:tblPrEx>
          <w:tblCellMar>
            <w:top w:w="0" w:type="dxa"/>
            <w:left w:w="108" w:type="dxa"/>
            <w:bottom w:w="0" w:type="dxa"/>
            <w:right w:w="108" w:type="dxa"/>
          </w:tblCellMar>
        </w:tblPrEx>
        <w:trPr>
          <w:trHeight w:val="567" w:hRule="atLeast"/>
        </w:trPr>
        <w:tc>
          <w:tcPr>
            <w:tcW w:w="1560" w:type="dxa"/>
            <w:tcBorders>
              <w:top w:val="single" w:color="auto"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生产基地地址</w:t>
            </w:r>
          </w:p>
        </w:tc>
        <w:tc>
          <w:tcPr>
            <w:tcW w:w="7654" w:type="dxa"/>
            <w:gridSpan w:val="3"/>
            <w:tcBorders>
              <w:top w:val="single" w:color="000000" w:sz="4" w:space="0"/>
              <w:left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（投标人填写）</w:t>
            </w:r>
          </w:p>
        </w:tc>
      </w:tr>
      <w:tr>
        <w:tblPrEx>
          <w:tblCellMar>
            <w:top w:w="0" w:type="dxa"/>
            <w:left w:w="108" w:type="dxa"/>
            <w:bottom w:w="0" w:type="dxa"/>
            <w:right w:w="108" w:type="dxa"/>
          </w:tblCellMar>
        </w:tblPrEx>
        <w:trPr>
          <w:trHeight w:val="567"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企业人员情况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（由投标人填写）</w:t>
            </w:r>
          </w:p>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缴纳社保总人数：  人</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生产规模</w:t>
            </w:r>
          </w:p>
        </w:tc>
        <w:tc>
          <w:tcPr>
            <w:tcW w:w="3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（投标人填写）</w:t>
            </w:r>
          </w:p>
        </w:tc>
      </w:tr>
    </w:tbl>
    <w:p>
      <w:pPr>
        <w:pStyle w:val="2"/>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w:t>
      </w:r>
    </w:p>
    <w:p>
      <w:pPr>
        <w:pStyle w:val="2"/>
        <w:jc w:val="right"/>
        <w:rPr>
          <w:rFonts w:hint="eastAsia" w:ascii="宋体" w:hAnsi="宋体" w:eastAsia="宋体" w:cs="宋体"/>
          <w:szCs w:val="21"/>
          <w:highlight w:val="none"/>
        </w:rPr>
      </w:pPr>
    </w:p>
    <w:p>
      <w:pPr>
        <w:pStyle w:val="2"/>
        <w:jc w:val="right"/>
        <w:rPr>
          <w:rFonts w:hint="eastAsia" w:ascii="宋体" w:hAnsi="宋体" w:eastAsia="宋体" w:cs="宋体"/>
          <w:szCs w:val="21"/>
          <w:highlight w:val="none"/>
        </w:rPr>
      </w:pPr>
      <w:r>
        <w:rPr>
          <w:rFonts w:hint="eastAsia" w:ascii="宋体" w:hAnsi="宋体" w:eastAsia="宋体" w:cs="宋体"/>
          <w:szCs w:val="21"/>
          <w:highlight w:val="none"/>
        </w:rPr>
        <w:t>投标人名称：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公章）</w:t>
      </w:r>
    </w:p>
    <w:p>
      <w:pPr>
        <w:topLinePunct/>
        <w:snapToGrid w:val="0"/>
        <w:spacing w:after="200"/>
        <w:rPr>
          <w:rFonts w:hint="eastAsia" w:ascii="宋体" w:hAnsi="宋体" w:eastAsia="宋体" w:cs="宋体"/>
          <w:szCs w:val="21"/>
          <w:highlight w:val="none"/>
        </w:rPr>
      </w:pPr>
    </w:p>
    <w:p>
      <w:pPr>
        <w:pStyle w:val="2"/>
        <w:rPr>
          <w:rFonts w:hint="eastAsia" w:ascii="宋体" w:hAnsi="宋体" w:eastAsia="宋体" w:cs="宋体"/>
          <w:highlight w:val="none"/>
        </w:rPr>
      </w:pPr>
    </w:p>
    <w:p>
      <w:pPr>
        <w:rPr>
          <w:rFonts w:hint="eastAsia" w:ascii="宋体" w:hAnsi="宋体" w:eastAsia="宋体" w:cs="宋体"/>
          <w:sz w:val="28"/>
          <w:highlight w:val="none"/>
        </w:rPr>
      </w:pPr>
      <w:bookmarkStart w:id="523" w:name="_Toc133705474"/>
      <w:bookmarkStart w:id="524" w:name="_Toc133706686"/>
      <w:bookmarkStart w:id="525" w:name="_Toc133706540"/>
      <w:bookmarkStart w:id="526" w:name="_Toc133706216"/>
      <w:r>
        <w:rPr>
          <w:rFonts w:hint="eastAsia" w:ascii="宋体" w:hAnsi="宋体" w:eastAsia="宋体" w:cs="宋体"/>
          <w:sz w:val="28"/>
          <w:highlight w:val="none"/>
        </w:rPr>
        <w:br w:type="page"/>
      </w:r>
    </w:p>
    <w:p>
      <w:pPr>
        <w:pStyle w:val="8"/>
        <w:spacing w:line="276" w:lineRule="auto"/>
        <w:jc w:val="center"/>
        <w:rPr>
          <w:rFonts w:hint="eastAsia" w:ascii="宋体" w:hAnsi="宋体" w:eastAsia="宋体" w:cs="宋体"/>
          <w:sz w:val="28"/>
          <w:highlight w:val="none"/>
        </w:rPr>
      </w:pPr>
      <w:r>
        <w:rPr>
          <w:rFonts w:hint="eastAsia" w:ascii="宋体" w:hAnsi="宋体" w:eastAsia="宋体" w:cs="宋体"/>
          <w:sz w:val="28"/>
          <w:highlight w:val="none"/>
        </w:rPr>
        <w:t>二、投标人</w:t>
      </w:r>
      <w:r>
        <w:rPr>
          <w:rFonts w:hint="eastAsia" w:ascii="宋体" w:hAnsi="宋体" w:cs="宋体"/>
          <w:sz w:val="28"/>
          <w:highlight w:val="none"/>
          <w:lang w:val="en-US" w:eastAsia="zh-CN"/>
        </w:rPr>
        <w:t>纳税</w:t>
      </w:r>
      <w:r>
        <w:rPr>
          <w:rFonts w:hint="eastAsia" w:ascii="宋体" w:hAnsi="宋体" w:eastAsia="宋体" w:cs="宋体"/>
          <w:sz w:val="28"/>
          <w:highlight w:val="none"/>
        </w:rPr>
        <w:t>状况</w:t>
      </w:r>
      <w:bookmarkEnd w:id="523"/>
      <w:bookmarkEnd w:id="524"/>
      <w:bookmarkEnd w:id="525"/>
      <w:bookmarkEnd w:id="526"/>
    </w:p>
    <w:tbl>
      <w:tblPr>
        <w:tblStyle w:val="58"/>
        <w:tblW w:w="8647" w:type="dxa"/>
        <w:tblCellSpacing w:w="0"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51"/>
        <w:gridCol w:w="4907"/>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blCellSpacing w:w="0" w:type="dxa"/>
        </w:trPr>
        <w:tc>
          <w:tcPr>
            <w:tcW w:w="2351" w:type="dxa"/>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年度</w:t>
            </w:r>
          </w:p>
        </w:tc>
        <w:tc>
          <w:tcPr>
            <w:tcW w:w="4907" w:type="dxa"/>
            <w:vAlign w:val="center"/>
          </w:tcPr>
          <w:p>
            <w:pPr>
              <w:snapToGrid w:val="0"/>
              <w:jc w:val="center"/>
              <w:rPr>
                <w:rFonts w:hint="eastAsia" w:ascii="宋体" w:hAnsi="宋体" w:eastAsia="宋体" w:cs="宋体"/>
                <w:szCs w:val="21"/>
                <w:highlight w:val="none"/>
              </w:rPr>
            </w:pPr>
            <w:r>
              <w:rPr>
                <w:rFonts w:hint="eastAsia" w:ascii="宋体" w:hAnsi="宋体" w:cs="宋体"/>
                <w:szCs w:val="21"/>
                <w:highlight w:val="none"/>
                <w:lang w:val="en-US" w:eastAsia="zh-CN"/>
              </w:rPr>
              <w:t>纳税金额</w:t>
            </w:r>
            <w:r>
              <w:rPr>
                <w:rFonts w:hint="eastAsia" w:ascii="宋体" w:hAnsi="宋体" w:eastAsia="宋体" w:cs="宋体"/>
                <w:szCs w:val="21"/>
                <w:highlight w:val="none"/>
              </w:rPr>
              <w:t>（万元）</w:t>
            </w:r>
          </w:p>
        </w:tc>
        <w:tc>
          <w:tcPr>
            <w:tcW w:w="1389" w:type="dxa"/>
            <w:vAlign w:val="center"/>
          </w:tcPr>
          <w:p>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blCellSpacing w:w="0" w:type="dxa"/>
        </w:trPr>
        <w:tc>
          <w:tcPr>
            <w:tcW w:w="2351"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202</w:t>
            </w:r>
            <w:r>
              <w:rPr>
                <w:rFonts w:hint="eastAsia" w:ascii="宋体" w:hAnsi="宋体" w:cs="宋体"/>
                <w:szCs w:val="21"/>
                <w:highlight w:val="none"/>
                <w:lang w:val="en-US" w:eastAsia="zh-CN"/>
              </w:rPr>
              <w:t>0</w:t>
            </w:r>
            <w:r>
              <w:rPr>
                <w:rFonts w:hint="eastAsia" w:ascii="宋体" w:hAnsi="宋体" w:eastAsia="宋体" w:cs="宋体"/>
                <w:szCs w:val="21"/>
                <w:highlight w:val="none"/>
              </w:rPr>
              <w:t>年度</w:t>
            </w:r>
          </w:p>
        </w:tc>
        <w:tc>
          <w:tcPr>
            <w:tcW w:w="4907" w:type="dxa"/>
            <w:vAlign w:val="center"/>
          </w:tcPr>
          <w:p>
            <w:pPr>
              <w:snapToGrid w:val="0"/>
              <w:jc w:val="center"/>
              <w:rPr>
                <w:rFonts w:hint="eastAsia" w:ascii="宋体" w:hAnsi="宋体" w:eastAsia="宋体" w:cs="宋体"/>
                <w:szCs w:val="21"/>
                <w:highlight w:val="none"/>
              </w:rPr>
            </w:pPr>
          </w:p>
        </w:tc>
        <w:tc>
          <w:tcPr>
            <w:tcW w:w="1389" w:type="dxa"/>
            <w:vAlign w:val="center"/>
          </w:tcPr>
          <w:p>
            <w:pPr>
              <w:snapToGrid w:val="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blCellSpacing w:w="0" w:type="dxa"/>
        </w:trPr>
        <w:tc>
          <w:tcPr>
            <w:tcW w:w="2351"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202</w:t>
            </w:r>
            <w:r>
              <w:rPr>
                <w:rFonts w:hint="eastAsia" w:ascii="宋体" w:hAnsi="宋体" w:cs="宋体"/>
                <w:szCs w:val="21"/>
                <w:highlight w:val="none"/>
                <w:lang w:val="en-US" w:eastAsia="zh-CN"/>
              </w:rPr>
              <w:t>1</w:t>
            </w:r>
            <w:r>
              <w:rPr>
                <w:rFonts w:hint="eastAsia" w:ascii="宋体" w:hAnsi="宋体" w:eastAsia="宋体" w:cs="宋体"/>
                <w:szCs w:val="21"/>
                <w:highlight w:val="none"/>
              </w:rPr>
              <w:t>年度</w:t>
            </w:r>
          </w:p>
        </w:tc>
        <w:tc>
          <w:tcPr>
            <w:tcW w:w="4907" w:type="dxa"/>
            <w:vAlign w:val="center"/>
          </w:tcPr>
          <w:p>
            <w:pPr>
              <w:snapToGrid w:val="0"/>
              <w:jc w:val="center"/>
              <w:rPr>
                <w:rFonts w:hint="eastAsia" w:ascii="宋体" w:hAnsi="宋体" w:eastAsia="宋体" w:cs="宋体"/>
                <w:szCs w:val="21"/>
                <w:highlight w:val="none"/>
              </w:rPr>
            </w:pPr>
          </w:p>
        </w:tc>
        <w:tc>
          <w:tcPr>
            <w:tcW w:w="1389" w:type="dxa"/>
            <w:vAlign w:val="center"/>
          </w:tcPr>
          <w:p>
            <w:pPr>
              <w:snapToGrid w:val="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blCellSpacing w:w="0" w:type="dxa"/>
        </w:trPr>
        <w:tc>
          <w:tcPr>
            <w:tcW w:w="2351" w:type="dxa"/>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rPr>
              <w:t>202</w:t>
            </w:r>
            <w:r>
              <w:rPr>
                <w:rFonts w:hint="eastAsia" w:ascii="宋体" w:hAnsi="宋体" w:cs="宋体"/>
                <w:szCs w:val="21"/>
                <w:highlight w:val="none"/>
                <w:lang w:val="en-US" w:eastAsia="zh-CN"/>
              </w:rPr>
              <w:t>2</w:t>
            </w:r>
            <w:r>
              <w:rPr>
                <w:rFonts w:hint="eastAsia" w:ascii="宋体" w:hAnsi="宋体" w:eastAsia="宋体" w:cs="宋体"/>
                <w:szCs w:val="21"/>
                <w:highlight w:val="none"/>
              </w:rPr>
              <w:t>年度</w:t>
            </w:r>
          </w:p>
        </w:tc>
        <w:tc>
          <w:tcPr>
            <w:tcW w:w="4907" w:type="dxa"/>
            <w:vAlign w:val="center"/>
          </w:tcPr>
          <w:p>
            <w:pPr>
              <w:snapToGrid w:val="0"/>
              <w:jc w:val="center"/>
              <w:rPr>
                <w:rFonts w:hint="eastAsia" w:ascii="宋体" w:hAnsi="宋体" w:eastAsia="宋体" w:cs="宋体"/>
                <w:szCs w:val="21"/>
                <w:highlight w:val="none"/>
              </w:rPr>
            </w:pPr>
          </w:p>
        </w:tc>
        <w:tc>
          <w:tcPr>
            <w:tcW w:w="1389" w:type="dxa"/>
            <w:vAlign w:val="center"/>
          </w:tcPr>
          <w:p>
            <w:pPr>
              <w:snapToGrid w:val="0"/>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7" w:hRule="exact"/>
          <w:tblCellSpacing w:w="0" w:type="dxa"/>
        </w:trPr>
        <w:tc>
          <w:tcPr>
            <w:tcW w:w="8647" w:type="dxa"/>
            <w:gridSpan w:val="3"/>
            <w:vAlign w:val="center"/>
          </w:tcPr>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napToGrid w:val="0"/>
                <w:kern w:val="0"/>
                <w:szCs w:val="21"/>
                <w:highlight w:val="none"/>
              </w:rPr>
              <w:t>近3年合计</w:t>
            </w:r>
            <w:r>
              <w:rPr>
                <w:rFonts w:hint="eastAsia" w:ascii="宋体" w:hAnsi="宋体" w:cs="宋体"/>
                <w:snapToGrid w:val="0"/>
                <w:kern w:val="0"/>
                <w:szCs w:val="21"/>
                <w:highlight w:val="none"/>
                <w:lang w:val="en-US" w:eastAsia="zh-CN"/>
              </w:rPr>
              <w:t>纳税</w:t>
            </w:r>
            <w:r>
              <w:rPr>
                <w:rFonts w:hint="eastAsia" w:ascii="宋体" w:hAnsi="宋体" w:eastAsia="宋体" w:cs="宋体"/>
                <w:snapToGrid w:val="0"/>
                <w:kern w:val="0"/>
                <w:szCs w:val="21"/>
                <w:highlight w:val="none"/>
              </w:rPr>
              <w:t>：</w:t>
            </w:r>
            <w:r>
              <w:rPr>
                <w:rFonts w:hint="eastAsia" w:ascii="宋体" w:hAnsi="宋体" w:eastAsia="宋体" w:cs="宋体"/>
                <w:snapToGrid w:val="0"/>
                <w:kern w:val="0"/>
                <w:szCs w:val="21"/>
                <w:highlight w:val="none"/>
                <w:u w:val="single"/>
              </w:rPr>
              <w:t>______________</w:t>
            </w:r>
            <w:r>
              <w:rPr>
                <w:rFonts w:hint="eastAsia" w:ascii="宋体" w:hAnsi="宋体" w:eastAsia="宋体" w:cs="宋体"/>
                <w:snapToGrid w:val="0"/>
                <w:kern w:val="0"/>
                <w:szCs w:val="21"/>
                <w:highlight w:val="none"/>
              </w:rPr>
              <w:t>万元</w:t>
            </w:r>
          </w:p>
        </w:tc>
      </w:tr>
    </w:tbl>
    <w:p>
      <w:pPr>
        <w:topLinePunct/>
        <w:snapToGrid w:val="0"/>
        <w:spacing w:after="200"/>
        <w:jc w:val="right"/>
        <w:rPr>
          <w:rFonts w:hint="eastAsia" w:ascii="宋体" w:hAnsi="宋体" w:eastAsia="宋体" w:cs="宋体"/>
          <w:szCs w:val="21"/>
          <w:highlight w:val="none"/>
        </w:rPr>
      </w:pPr>
    </w:p>
    <w:p>
      <w:pPr>
        <w:topLinePunct/>
        <w:snapToGrid w:val="0"/>
        <w:spacing w:after="200"/>
        <w:rPr>
          <w:rFonts w:hint="eastAsia" w:ascii="宋体" w:hAnsi="宋体" w:eastAsia="宋体" w:cs="宋体"/>
          <w:szCs w:val="21"/>
          <w:highlight w:val="none"/>
        </w:rPr>
      </w:pPr>
      <w:r>
        <w:rPr>
          <w:rFonts w:hint="eastAsia" w:ascii="宋体" w:hAnsi="宋体" w:eastAsia="宋体" w:cs="宋体"/>
          <w:szCs w:val="21"/>
          <w:highlight w:val="none"/>
        </w:rPr>
        <w:t>注：1、近3年（202</w:t>
      </w:r>
      <w:r>
        <w:rPr>
          <w:rFonts w:hint="eastAsia" w:ascii="宋体" w:hAnsi="宋体" w:cs="宋体"/>
          <w:szCs w:val="21"/>
          <w:highlight w:val="none"/>
          <w:lang w:val="en-US" w:eastAsia="zh-CN"/>
        </w:rPr>
        <w:t>0</w:t>
      </w:r>
      <w:r>
        <w:rPr>
          <w:rFonts w:hint="eastAsia" w:ascii="宋体" w:hAnsi="宋体" w:eastAsia="宋体" w:cs="宋体"/>
          <w:szCs w:val="21"/>
          <w:highlight w:val="none"/>
        </w:rPr>
        <w:t>年-202</w:t>
      </w:r>
      <w:r>
        <w:rPr>
          <w:rFonts w:hint="eastAsia" w:ascii="宋体" w:hAnsi="宋体" w:cs="宋体"/>
          <w:szCs w:val="21"/>
          <w:highlight w:val="none"/>
          <w:lang w:val="en-US" w:eastAsia="zh-CN"/>
        </w:rPr>
        <w:t>2</w:t>
      </w:r>
      <w:r>
        <w:rPr>
          <w:rFonts w:hint="eastAsia" w:ascii="宋体" w:hAnsi="宋体" w:eastAsia="宋体" w:cs="宋体"/>
          <w:szCs w:val="21"/>
          <w:highlight w:val="none"/>
        </w:rPr>
        <w:t>年）</w:t>
      </w:r>
      <w:r>
        <w:rPr>
          <w:rFonts w:hint="eastAsia" w:ascii="宋体" w:hAnsi="宋体" w:cs="宋体"/>
          <w:szCs w:val="21"/>
          <w:highlight w:val="none"/>
          <w:lang w:val="en-US" w:eastAsia="zh-CN"/>
        </w:rPr>
        <w:t>纳税</w:t>
      </w:r>
      <w:r>
        <w:rPr>
          <w:rFonts w:hint="eastAsia" w:ascii="宋体" w:hAnsi="宋体" w:eastAsia="宋体" w:cs="宋体"/>
          <w:szCs w:val="21"/>
          <w:highlight w:val="none"/>
        </w:rPr>
        <w:t>状况，</w:t>
      </w:r>
      <w:r>
        <w:rPr>
          <w:rFonts w:hint="eastAsia" w:ascii="宋体" w:hAnsi="宋体" w:cs="宋体"/>
          <w:szCs w:val="21"/>
          <w:highlight w:val="none"/>
          <w:lang w:val="en-US" w:eastAsia="zh-CN"/>
        </w:rPr>
        <w:t>须后附</w:t>
      </w:r>
      <w:r>
        <w:rPr>
          <w:rFonts w:ascii="宋体" w:hAnsi="宋体" w:eastAsia="宋体" w:cs="宋体"/>
          <w:sz w:val="21"/>
          <w:highlight w:val="none"/>
        </w:rPr>
        <w:t>税务部门出具的纳税证明（清晰的原件扫描件或复印件加盖投标人公章扫描件）</w:t>
      </w:r>
      <w:r>
        <w:rPr>
          <w:rFonts w:hint="eastAsia" w:ascii="宋体" w:hAnsi="宋体" w:eastAsia="宋体" w:cs="宋体"/>
          <w:szCs w:val="21"/>
          <w:highlight w:val="none"/>
        </w:rPr>
        <w:t>；</w:t>
      </w:r>
    </w:p>
    <w:p>
      <w:pPr>
        <w:numPr>
          <w:ilvl w:val="0"/>
          <w:numId w:val="18"/>
        </w:numPr>
        <w:topLinePunct/>
        <w:snapToGrid w:val="0"/>
        <w:spacing w:after="200"/>
        <w:rPr>
          <w:rFonts w:hint="eastAsia" w:ascii="宋体" w:hAnsi="宋体" w:eastAsia="宋体" w:cs="宋体"/>
          <w:szCs w:val="21"/>
          <w:highlight w:val="none"/>
        </w:rPr>
      </w:pPr>
      <w:r>
        <w:rPr>
          <w:rFonts w:hint="eastAsia" w:ascii="宋体" w:hAnsi="宋体" w:eastAsia="宋体" w:cs="宋体"/>
          <w:szCs w:val="21"/>
          <w:highlight w:val="none"/>
        </w:rPr>
        <w:t>投标人应按本表所填年度的顺序放置</w:t>
      </w:r>
      <w:r>
        <w:rPr>
          <w:rFonts w:ascii="宋体" w:hAnsi="宋体" w:eastAsia="宋体" w:cs="宋体"/>
          <w:sz w:val="21"/>
          <w:highlight w:val="none"/>
        </w:rPr>
        <w:t>纳税证明</w:t>
      </w:r>
      <w:r>
        <w:rPr>
          <w:rFonts w:hint="eastAsia" w:ascii="宋体" w:hAnsi="宋体" w:eastAsia="宋体" w:cs="宋体"/>
          <w:szCs w:val="21"/>
          <w:highlight w:val="none"/>
        </w:rPr>
        <w:t>原件扫描件。</w:t>
      </w:r>
    </w:p>
    <w:p>
      <w:pPr>
        <w:topLinePunct/>
        <w:snapToGrid w:val="0"/>
        <w:spacing w:after="200"/>
        <w:jc w:val="right"/>
        <w:rPr>
          <w:rFonts w:hint="eastAsia" w:ascii="宋体" w:hAnsi="宋体" w:eastAsia="宋体" w:cs="宋体"/>
          <w:szCs w:val="21"/>
          <w:highlight w:val="none"/>
        </w:rPr>
      </w:pPr>
    </w:p>
    <w:p>
      <w:pPr>
        <w:topLinePunct/>
        <w:snapToGrid w:val="0"/>
        <w:spacing w:after="200"/>
        <w:jc w:val="right"/>
        <w:rPr>
          <w:rFonts w:hint="eastAsia" w:ascii="宋体" w:hAnsi="宋体" w:eastAsia="宋体" w:cs="宋体"/>
          <w:szCs w:val="21"/>
          <w:highlight w:val="none"/>
        </w:rPr>
      </w:pPr>
      <w:r>
        <w:rPr>
          <w:rFonts w:hint="eastAsia" w:ascii="宋体" w:hAnsi="宋体" w:eastAsia="宋体" w:cs="宋体"/>
          <w:szCs w:val="21"/>
          <w:highlight w:val="none"/>
        </w:rPr>
        <w:t>投标人名称：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公章）</w:t>
      </w:r>
    </w:p>
    <w:p>
      <w:pPr>
        <w:topLinePunct/>
        <w:snapToGrid w:val="0"/>
        <w:spacing w:after="200"/>
        <w:rPr>
          <w:rFonts w:hint="eastAsia" w:ascii="宋体" w:hAnsi="宋体" w:eastAsia="宋体" w:cs="宋体"/>
          <w:szCs w:val="21"/>
          <w:highlight w:val="none"/>
        </w:rPr>
      </w:pPr>
    </w:p>
    <w:p>
      <w:pPr>
        <w:topLinePunct/>
        <w:snapToGrid w:val="0"/>
        <w:spacing w:after="200"/>
        <w:rPr>
          <w:rFonts w:hint="eastAsia" w:ascii="宋体" w:hAnsi="宋体" w:eastAsia="宋体" w:cs="宋体"/>
          <w:szCs w:val="21"/>
          <w:highlight w:val="none"/>
        </w:rPr>
      </w:pPr>
    </w:p>
    <w:p>
      <w:pPr>
        <w:topLinePunct/>
        <w:snapToGrid w:val="0"/>
        <w:spacing w:after="200"/>
        <w:rPr>
          <w:rFonts w:hint="eastAsia" w:ascii="宋体" w:hAnsi="宋体" w:eastAsia="宋体" w:cs="宋体"/>
          <w:szCs w:val="21"/>
          <w:highlight w:val="none"/>
        </w:rPr>
      </w:pPr>
    </w:p>
    <w:p>
      <w:pPr>
        <w:pStyle w:val="2"/>
        <w:jc w:val="right"/>
        <w:rPr>
          <w:rFonts w:hint="eastAsia" w:ascii="宋体" w:hAnsi="宋体" w:eastAsia="宋体" w:cs="宋体"/>
          <w:szCs w:val="21"/>
          <w:highlight w:val="none"/>
        </w:rPr>
      </w:pPr>
    </w:p>
    <w:p>
      <w:pPr>
        <w:rPr>
          <w:rFonts w:hint="eastAsia" w:ascii="宋体" w:hAnsi="宋体" w:eastAsia="宋体" w:cs="宋体"/>
          <w:sz w:val="28"/>
          <w:highlight w:val="none"/>
        </w:rPr>
      </w:pPr>
      <w:bookmarkStart w:id="527" w:name="_Toc20937"/>
      <w:bookmarkStart w:id="528" w:name="_Toc133706217"/>
      <w:bookmarkStart w:id="529" w:name="_Toc41471745"/>
      <w:bookmarkStart w:id="530" w:name="_Toc16309"/>
      <w:bookmarkStart w:id="531" w:name="_Toc133705475"/>
      <w:bookmarkStart w:id="532" w:name="_Toc133706541"/>
      <w:bookmarkStart w:id="533" w:name="_Toc133706687"/>
      <w:bookmarkStart w:id="534" w:name="_Toc3328"/>
      <w:r>
        <w:rPr>
          <w:rFonts w:hint="eastAsia" w:ascii="宋体" w:hAnsi="宋体" w:eastAsia="宋体" w:cs="宋体"/>
          <w:sz w:val="28"/>
          <w:highlight w:val="none"/>
        </w:rPr>
        <w:br w:type="page"/>
      </w:r>
    </w:p>
    <w:p>
      <w:pPr>
        <w:pStyle w:val="8"/>
        <w:spacing w:line="276" w:lineRule="auto"/>
        <w:jc w:val="center"/>
        <w:rPr>
          <w:rFonts w:hint="eastAsia" w:ascii="宋体" w:hAnsi="宋体" w:eastAsia="宋体" w:cs="宋体"/>
          <w:b w:val="0"/>
          <w:bCs w:val="0"/>
          <w:sz w:val="28"/>
          <w:highlight w:val="none"/>
        </w:rPr>
      </w:pPr>
      <w:r>
        <w:rPr>
          <w:rFonts w:hint="eastAsia" w:ascii="宋体" w:hAnsi="宋体" w:eastAsia="宋体" w:cs="宋体"/>
          <w:sz w:val="28"/>
          <w:highlight w:val="none"/>
        </w:rPr>
        <w:t>三、投标人业绩</w:t>
      </w:r>
      <w:bookmarkEnd w:id="527"/>
      <w:bookmarkEnd w:id="528"/>
      <w:bookmarkEnd w:id="529"/>
      <w:bookmarkEnd w:id="530"/>
      <w:bookmarkEnd w:id="531"/>
      <w:bookmarkEnd w:id="532"/>
      <w:bookmarkEnd w:id="533"/>
      <w:bookmarkEnd w:id="534"/>
    </w:p>
    <w:tbl>
      <w:tblPr>
        <w:tblStyle w:val="58"/>
        <w:tblW w:w="8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3"/>
        <w:gridCol w:w="1805"/>
        <w:gridCol w:w="1805"/>
        <w:gridCol w:w="1805"/>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805"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项目名称</w:t>
            </w:r>
          </w:p>
        </w:tc>
        <w:tc>
          <w:tcPr>
            <w:tcW w:w="1805"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合同金额（万元）</w:t>
            </w:r>
          </w:p>
        </w:tc>
        <w:tc>
          <w:tcPr>
            <w:tcW w:w="1805"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签订时间</w:t>
            </w:r>
          </w:p>
        </w:tc>
        <w:tc>
          <w:tcPr>
            <w:tcW w:w="1806" w:type="dxa"/>
            <w:tcBorders>
              <w:top w:val="single" w:color="auto" w:sz="4" w:space="0"/>
              <w:left w:val="single" w:color="auto" w:sz="4" w:space="0"/>
              <w:right w:val="single" w:color="auto" w:sz="4" w:space="0"/>
            </w:tcBorders>
            <w:vAlign w:val="center"/>
          </w:tcPr>
          <w:p>
            <w:pPr>
              <w:snapToGrid w:val="0"/>
              <w:spacing w:after="160" w:line="256"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货物名称及型号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805"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szCs w:val="21"/>
                <w:highlight w:val="none"/>
              </w:rPr>
            </w:pPr>
          </w:p>
        </w:tc>
        <w:tc>
          <w:tcPr>
            <w:tcW w:w="1805"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szCs w:val="21"/>
                <w:highlight w:val="none"/>
              </w:rPr>
            </w:pPr>
          </w:p>
        </w:tc>
        <w:tc>
          <w:tcPr>
            <w:tcW w:w="1805"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szCs w:val="21"/>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1805"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szCs w:val="21"/>
                <w:highlight w:val="none"/>
              </w:rPr>
            </w:pPr>
          </w:p>
        </w:tc>
        <w:tc>
          <w:tcPr>
            <w:tcW w:w="1805"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szCs w:val="21"/>
                <w:highlight w:val="none"/>
              </w:rPr>
            </w:pPr>
          </w:p>
        </w:tc>
        <w:tc>
          <w:tcPr>
            <w:tcW w:w="1805"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szCs w:val="21"/>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805"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szCs w:val="21"/>
                <w:highlight w:val="none"/>
              </w:rPr>
            </w:pPr>
          </w:p>
        </w:tc>
        <w:tc>
          <w:tcPr>
            <w:tcW w:w="1805"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szCs w:val="21"/>
                <w:highlight w:val="none"/>
              </w:rPr>
            </w:pPr>
          </w:p>
        </w:tc>
        <w:tc>
          <w:tcPr>
            <w:tcW w:w="1805"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szCs w:val="21"/>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pPr>
              <w:snapToGrid w:val="0"/>
              <w:spacing w:after="160" w:line="256" w:lineRule="auto"/>
              <w:jc w:val="center"/>
              <w:rPr>
                <w:rFonts w:hint="eastAsia" w:ascii="宋体" w:hAnsi="宋体" w:eastAsia="宋体" w:cs="宋体"/>
                <w:szCs w:val="21"/>
                <w:highlight w:val="none"/>
              </w:rPr>
            </w:pPr>
          </w:p>
        </w:tc>
      </w:tr>
    </w:tbl>
    <w:p>
      <w:pPr>
        <w:snapToGrid w:val="0"/>
        <w:spacing w:after="200" w:line="276" w:lineRule="auto"/>
        <w:jc w:val="left"/>
        <w:rPr>
          <w:rFonts w:hint="eastAsia" w:ascii="宋体" w:hAnsi="宋体" w:eastAsia="宋体" w:cs="宋体"/>
          <w:szCs w:val="21"/>
          <w:highlight w:val="none"/>
        </w:rPr>
      </w:pPr>
      <w:r>
        <w:rPr>
          <w:rFonts w:hint="eastAsia" w:ascii="宋体" w:hAnsi="宋体" w:eastAsia="宋体" w:cs="宋体"/>
          <w:szCs w:val="21"/>
          <w:highlight w:val="none"/>
        </w:rPr>
        <w:t>注：</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提供</w:t>
      </w:r>
      <w:r>
        <w:rPr>
          <w:rFonts w:hint="eastAsia" w:ascii="宋体" w:hAnsi="宋体" w:cs="宋体"/>
          <w:szCs w:val="21"/>
          <w:highlight w:val="none"/>
          <w:lang w:val="en-US" w:eastAsia="zh-CN"/>
        </w:rPr>
        <w:t>投标人</w:t>
      </w:r>
      <w:r>
        <w:rPr>
          <w:rFonts w:hint="eastAsia" w:ascii="宋体" w:hAnsi="宋体" w:eastAsia="宋体" w:cs="宋体"/>
          <w:szCs w:val="21"/>
          <w:highlight w:val="none"/>
        </w:rPr>
        <w:t>近5年（201</w:t>
      </w:r>
      <w:r>
        <w:rPr>
          <w:rFonts w:hint="eastAsia" w:ascii="宋体" w:hAnsi="宋体" w:cs="宋体"/>
          <w:szCs w:val="21"/>
          <w:highlight w:val="none"/>
          <w:lang w:val="en-US" w:eastAsia="zh-CN"/>
        </w:rPr>
        <w:t>9</w:t>
      </w:r>
      <w:r>
        <w:rPr>
          <w:rFonts w:hint="eastAsia" w:ascii="宋体" w:hAnsi="宋体" w:eastAsia="宋体" w:cs="宋体"/>
          <w:szCs w:val="21"/>
          <w:highlight w:val="none"/>
        </w:rPr>
        <w:t>年</w:t>
      </w:r>
      <w:r>
        <w:rPr>
          <w:rFonts w:hint="eastAsia" w:ascii="宋体" w:hAnsi="宋体" w:cs="宋体"/>
          <w:szCs w:val="21"/>
          <w:highlight w:val="none"/>
          <w:lang w:val="en-US" w:eastAsia="zh-CN"/>
        </w:rPr>
        <w:t>3</w:t>
      </w:r>
      <w:r>
        <w:rPr>
          <w:rFonts w:hint="eastAsia" w:ascii="宋体" w:hAnsi="宋体" w:eastAsia="宋体" w:cs="宋体"/>
          <w:szCs w:val="21"/>
          <w:highlight w:val="none"/>
        </w:rPr>
        <w:t>月1日起，以合同签订时间为准）同类供货业绩，最多不超过5项，若所提供业绩超过5项，统计时只计取前5项业绩。</w:t>
      </w:r>
    </w:p>
    <w:p>
      <w:pPr>
        <w:snapToGrid w:val="0"/>
        <w:spacing w:after="200" w:line="276"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、业绩证明材料包括但不限于：合同关键页、中标通知书（若有）；业绩证明材料应清晰反映如下内容：项目名称、安装地点、货物名称及型号、合同金额、合同签订时间等。业绩证明材料原件备查；</w:t>
      </w:r>
    </w:p>
    <w:p>
      <w:pPr>
        <w:snapToGrid w:val="0"/>
        <w:spacing w:after="200" w:line="276" w:lineRule="auto"/>
        <w:jc w:val="left"/>
        <w:rPr>
          <w:rFonts w:hint="eastAsia" w:ascii="宋体" w:hAnsi="宋体" w:eastAsia="宋体" w:cs="宋体"/>
          <w:szCs w:val="21"/>
          <w:highlight w:val="none"/>
        </w:rPr>
      </w:pPr>
    </w:p>
    <w:p>
      <w:pPr>
        <w:pStyle w:val="25"/>
        <w:jc w:val="right"/>
        <w:rPr>
          <w:rFonts w:hint="eastAsia" w:ascii="宋体" w:hAnsi="宋体" w:eastAsia="宋体" w:cs="宋体"/>
          <w:szCs w:val="21"/>
          <w:highlight w:val="none"/>
        </w:rPr>
      </w:pPr>
      <w:r>
        <w:rPr>
          <w:rFonts w:hint="eastAsia" w:ascii="宋体" w:hAnsi="宋体" w:eastAsia="宋体" w:cs="宋体"/>
          <w:szCs w:val="21"/>
          <w:highlight w:val="none"/>
        </w:rPr>
        <w:t>投标人名称：</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公章）</w:t>
      </w:r>
    </w:p>
    <w:p>
      <w:pPr>
        <w:pStyle w:val="72"/>
        <w:rPr>
          <w:rFonts w:hint="eastAsia" w:ascii="宋体" w:hAnsi="宋体" w:eastAsia="宋体" w:cs="宋体"/>
          <w:highlight w:val="none"/>
        </w:rPr>
      </w:pPr>
    </w:p>
    <w:p>
      <w:pPr>
        <w:rPr>
          <w:rFonts w:hint="eastAsia" w:ascii="宋体" w:hAnsi="宋体" w:eastAsia="宋体" w:cs="宋体"/>
          <w:sz w:val="28"/>
          <w:highlight w:val="none"/>
        </w:rPr>
      </w:pPr>
      <w:r>
        <w:rPr>
          <w:rFonts w:hint="eastAsia" w:ascii="宋体" w:hAnsi="宋体" w:eastAsia="宋体" w:cs="宋体"/>
          <w:sz w:val="28"/>
          <w:highlight w:val="none"/>
        </w:rPr>
        <w:br w:type="page"/>
      </w:r>
    </w:p>
    <w:p>
      <w:pPr>
        <w:pStyle w:val="2"/>
        <w:rPr>
          <w:rFonts w:hint="eastAsia" w:ascii="宋体" w:hAnsi="宋体" w:eastAsia="宋体" w:cs="宋体"/>
          <w:highlight w:val="none"/>
        </w:rPr>
      </w:pPr>
      <w:bookmarkStart w:id="535" w:name="_Toc41471747"/>
    </w:p>
    <w:p>
      <w:pPr>
        <w:pStyle w:val="25"/>
        <w:jc w:val="center"/>
        <w:rPr>
          <w:rFonts w:hint="eastAsia" w:ascii="宋体" w:hAnsi="宋体" w:eastAsia="宋体" w:cs="宋体"/>
          <w:b/>
          <w:bCs/>
          <w:kern w:val="2"/>
          <w:sz w:val="28"/>
          <w:szCs w:val="28"/>
          <w:highlight w:val="none"/>
        </w:rPr>
      </w:pPr>
      <w:r>
        <w:rPr>
          <w:rFonts w:hint="eastAsia" w:ascii="宋体" w:hAnsi="宋体" w:eastAsia="宋体" w:cs="宋体"/>
          <w:b/>
          <w:bCs/>
          <w:kern w:val="2"/>
          <w:sz w:val="28"/>
          <w:szCs w:val="28"/>
          <w:highlight w:val="none"/>
        </w:rPr>
        <w:t>其他</w:t>
      </w:r>
      <w:bookmarkEnd w:id="535"/>
    </w:p>
    <w:p>
      <w:pPr>
        <w:spacing w:line="360" w:lineRule="auto"/>
        <w:jc w:val="center"/>
        <w:rPr>
          <w:rFonts w:hint="eastAsia" w:ascii="宋体" w:hAnsi="宋体" w:eastAsia="宋体" w:cs="宋体"/>
          <w:b/>
          <w:snapToGrid w:val="0"/>
          <w:highlight w:val="none"/>
        </w:rPr>
      </w:pPr>
      <w:r>
        <w:rPr>
          <w:rFonts w:hint="eastAsia" w:ascii="宋体" w:hAnsi="宋体" w:eastAsia="宋体" w:cs="宋体"/>
          <w:b/>
          <w:snapToGrid w:val="0"/>
          <w:highlight w:val="none"/>
        </w:rPr>
        <w:t>（投标人认为应补充提供的其他文件资料或说明）</w:t>
      </w:r>
    </w:p>
    <w:p>
      <w:pPr>
        <w:spacing w:line="240" w:lineRule="auto"/>
        <w:jc w:val="left"/>
        <w:rPr>
          <w:rFonts w:hint="eastAsia" w:ascii="宋体" w:hAnsi="宋体" w:eastAsia="宋体" w:cs="宋体"/>
          <w:b/>
          <w:snapToGrid w:val="0"/>
          <w:highlight w:val="none"/>
        </w:rPr>
      </w:pPr>
      <w:r>
        <w:rPr>
          <w:rFonts w:hint="eastAsia" w:ascii="宋体" w:hAnsi="宋体" w:eastAsia="宋体" w:cs="宋体"/>
          <w:b/>
          <w:snapToGrid w:val="0"/>
          <w:highlight w:val="none"/>
        </w:rPr>
        <w:br w:type="page"/>
      </w:r>
    </w:p>
    <w:p>
      <w:pPr>
        <w:adjustRightInd w:val="0"/>
        <w:snapToGrid w:val="0"/>
        <w:spacing w:line="360" w:lineRule="auto"/>
        <w:jc w:val="center"/>
        <w:rPr>
          <w:rFonts w:hint="eastAsia" w:ascii="宋体" w:hAnsi="宋体" w:eastAsia="宋体" w:cs="宋体"/>
          <w:snapToGrid w:val="0"/>
          <w:sz w:val="44"/>
          <w:szCs w:val="44"/>
          <w:highlight w:val="none"/>
        </w:rPr>
      </w:pPr>
    </w:p>
    <w:p>
      <w:pPr>
        <w:adjustRightInd w:val="0"/>
        <w:snapToGrid w:val="0"/>
        <w:spacing w:line="360" w:lineRule="auto"/>
        <w:jc w:val="center"/>
        <w:rPr>
          <w:rFonts w:hint="eastAsia" w:ascii="宋体" w:hAnsi="宋体" w:eastAsia="宋体" w:cs="宋体"/>
          <w:snapToGrid w:val="0"/>
          <w:sz w:val="36"/>
          <w:szCs w:val="36"/>
          <w:highlight w:val="none"/>
        </w:rPr>
      </w:pPr>
      <w:r>
        <w:rPr>
          <w:rFonts w:hint="eastAsia" w:ascii="宋体" w:hAnsi="宋体" w:cs="宋体"/>
          <w:snapToGrid w:val="0"/>
          <w:sz w:val="36"/>
          <w:szCs w:val="36"/>
          <w:highlight w:val="none"/>
          <w:lang w:eastAsia="zh-CN"/>
        </w:rPr>
        <w:t>深圳会计进修学院生活用水市政接驳工程（一体化加压设备）</w:t>
      </w:r>
      <w:r>
        <w:rPr>
          <w:rFonts w:hint="eastAsia" w:ascii="宋体" w:hAnsi="宋体" w:eastAsia="宋体" w:cs="宋体"/>
          <w:snapToGrid w:val="0"/>
          <w:sz w:val="36"/>
          <w:szCs w:val="36"/>
          <w:highlight w:val="none"/>
        </w:rPr>
        <w:t>项目</w:t>
      </w:r>
    </w:p>
    <w:p>
      <w:pPr>
        <w:adjustRightInd w:val="0"/>
        <w:snapToGrid w:val="0"/>
        <w:spacing w:line="360" w:lineRule="auto"/>
        <w:jc w:val="center"/>
        <w:rPr>
          <w:rFonts w:hint="eastAsia" w:ascii="宋体" w:hAnsi="宋体" w:eastAsia="宋体" w:cs="宋体"/>
          <w:snapToGrid w:val="0"/>
          <w:sz w:val="36"/>
          <w:szCs w:val="36"/>
          <w:highlight w:val="none"/>
        </w:rPr>
      </w:pPr>
    </w:p>
    <w:p>
      <w:pPr>
        <w:adjustRightInd w:val="0"/>
        <w:snapToGrid w:val="0"/>
        <w:spacing w:line="360" w:lineRule="auto"/>
        <w:jc w:val="center"/>
        <w:rPr>
          <w:rFonts w:hint="eastAsia" w:ascii="宋体" w:hAnsi="宋体" w:eastAsia="宋体" w:cs="宋体"/>
          <w:snapToGrid w:val="0"/>
          <w:sz w:val="52"/>
          <w:szCs w:val="52"/>
          <w:highlight w:val="none"/>
        </w:rPr>
      </w:pPr>
      <w:r>
        <w:rPr>
          <w:rFonts w:hint="eastAsia" w:ascii="宋体" w:hAnsi="宋体" w:eastAsia="宋体" w:cs="宋体"/>
          <w:snapToGrid w:val="0"/>
          <w:sz w:val="52"/>
          <w:szCs w:val="52"/>
          <w:highlight w:val="none"/>
        </w:rPr>
        <w:t>投标文件</w:t>
      </w:r>
    </w:p>
    <w:p>
      <w:pPr>
        <w:adjustRightInd w:val="0"/>
        <w:snapToGrid w:val="0"/>
        <w:spacing w:line="360" w:lineRule="auto"/>
        <w:jc w:val="center"/>
        <w:rPr>
          <w:rFonts w:hint="eastAsia" w:ascii="宋体" w:hAnsi="宋体" w:eastAsia="宋体" w:cs="宋体"/>
          <w:snapToGrid w:val="0"/>
          <w:sz w:val="52"/>
          <w:szCs w:val="52"/>
          <w:highlight w:val="none"/>
        </w:rPr>
      </w:pPr>
    </w:p>
    <w:p>
      <w:pPr>
        <w:adjustRightInd w:val="0"/>
        <w:snapToGrid w:val="0"/>
        <w:spacing w:line="360" w:lineRule="auto"/>
        <w:jc w:val="center"/>
        <w:rPr>
          <w:rFonts w:hint="eastAsia" w:ascii="宋体" w:hAnsi="宋体" w:eastAsia="宋体" w:cs="宋体"/>
          <w:snapToGrid w:val="0"/>
          <w:sz w:val="52"/>
          <w:szCs w:val="52"/>
          <w:highlight w:val="none"/>
        </w:rPr>
      </w:pPr>
    </w:p>
    <w:p>
      <w:pPr>
        <w:pStyle w:val="7"/>
        <w:jc w:val="center"/>
        <w:rPr>
          <w:rFonts w:hint="eastAsia" w:ascii="宋体" w:hAnsi="宋体" w:eastAsia="宋体" w:cs="宋体"/>
          <w:sz w:val="40"/>
          <w:highlight w:val="none"/>
          <w:lang w:val="en-US" w:eastAsia="zh-CN"/>
        </w:rPr>
      </w:pPr>
      <w:r>
        <w:rPr>
          <w:rFonts w:hint="eastAsia" w:ascii="宋体" w:hAnsi="宋体" w:eastAsia="宋体" w:cs="宋体"/>
          <w:sz w:val="40"/>
          <w:highlight w:val="none"/>
          <w:lang w:val="en-US" w:eastAsia="zh-CN"/>
        </w:rPr>
        <w:t>二次报价文件</w:t>
      </w:r>
    </w:p>
    <w:p>
      <w:pPr>
        <w:adjustRightInd w:val="0"/>
        <w:snapToGrid w:val="0"/>
        <w:spacing w:line="360" w:lineRule="auto"/>
        <w:jc w:val="center"/>
        <w:rPr>
          <w:rFonts w:hint="eastAsia" w:ascii="宋体" w:hAnsi="宋体" w:eastAsia="宋体" w:cs="宋体"/>
          <w:snapToGrid w:val="0"/>
          <w:sz w:val="44"/>
          <w:szCs w:val="44"/>
          <w:highlight w:val="none"/>
        </w:rPr>
      </w:pPr>
    </w:p>
    <w:p>
      <w:pPr>
        <w:adjustRightInd w:val="0"/>
        <w:snapToGrid w:val="0"/>
        <w:spacing w:line="360" w:lineRule="auto"/>
        <w:jc w:val="center"/>
        <w:rPr>
          <w:rFonts w:hint="eastAsia" w:ascii="宋体" w:hAnsi="宋体" w:eastAsia="宋体" w:cs="宋体"/>
          <w:snapToGrid w:val="0"/>
          <w:sz w:val="44"/>
          <w:szCs w:val="44"/>
          <w:highlight w:val="none"/>
        </w:rPr>
      </w:pPr>
    </w:p>
    <w:p>
      <w:pPr>
        <w:adjustRightInd w:val="0"/>
        <w:snapToGrid w:val="0"/>
        <w:spacing w:line="360" w:lineRule="auto"/>
        <w:jc w:val="center"/>
        <w:rPr>
          <w:rFonts w:hint="eastAsia" w:ascii="宋体" w:hAnsi="宋体" w:eastAsia="宋体" w:cs="宋体"/>
          <w:snapToGrid w:val="0"/>
          <w:sz w:val="44"/>
          <w:szCs w:val="44"/>
          <w:highlight w:val="none"/>
        </w:rPr>
      </w:pPr>
    </w:p>
    <w:p>
      <w:pPr>
        <w:adjustRightInd w:val="0"/>
        <w:snapToGrid w:val="0"/>
        <w:spacing w:line="360" w:lineRule="auto"/>
        <w:rPr>
          <w:rFonts w:hint="eastAsia" w:ascii="宋体" w:hAnsi="宋体" w:eastAsia="宋体" w:cs="宋体"/>
          <w:snapToGrid w:val="0"/>
          <w:sz w:val="44"/>
          <w:szCs w:val="44"/>
          <w:highlight w:val="none"/>
        </w:rPr>
      </w:pPr>
    </w:p>
    <w:p>
      <w:pPr>
        <w:adjustRightInd w:val="0"/>
        <w:snapToGrid w:val="0"/>
        <w:spacing w:line="360" w:lineRule="auto"/>
        <w:jc w:val="center"/>
        <w:rPr>
          <w:rFonts w:hint="eastAsia" w:ascii="宋体" w:hAnsi="宋体" w:eastAsia="宋体" w:cs="宋体"/>
          <w:snapToGrid w:val="0"/>
          <w:sz w:val="44"/>
          <w:szCs w:val="44"/>
          <w:highlight w:val="none"/>
        </w:rPr>
      </w:pPr>
    </w:p>
    <w:p>
      <w:pPr>
        <w:adjustRightInd w:val="0"/>
        <w:snapToGrid w:val="0"/>
        <w:spacing w:line="360" w:lineRule="auto"/>
        <w:ind w:firstLine="1400" w:firstLineChars="500"/>
        <w:jc w:val="left"/>
        <w:rPr>
          <w:rFonts w:hint="eastAsia" w:ascii="宋体" w:hAnsi="宋体" w:eastAsia="宋体" w:cs="宋体"/>
          <w:snapToGrid w:val="0"/>
          <w:sz w:val="28"/>
          <w:szCs w:val="28"/>
          <w:highlight w:val="none"/>
        </w:rPr>
      </w:pPr>
    </w:p>
    <w:p>
      <w:pPr>
        <w:adjustRightInd w:val="0"/>
        <w:snapToGrid w:val="0"/>
        <w:spacing w:line="360" w:lineRule="auto"/>
        <w:ind w:firstLine="1400" w:firstLineChars="500"/>
        <w:jc w:val="left"/>
        <w:rPr>
          <w:rFonts w:hint="eastAsia" w:ascii="宋体" w:hAnsi="宋体" w:eastAsia="宋体" w:cs="宋体"/>
          <w:snapToGrid w:val="0"/>
          <w:sz w:val="28"/>
          <w:szCs w:val="28"/>
          <w:highlight w:val="none"/>
        </w:rPr>
      </w:pPr>
      <w:r>
        <w:rPr>
          <w:rFonts w:hint="eastAsia" w:ascii="宋体" w:hAnsi="宋体" w:eastAsia="宋体" w:cs="宋体"/>
          <w:snapToGrid w:val="0"/>
          <w:sz w:val="28"/>
          <w:szCs w:val="28"/>
          <w:highlight w:val="none"/>
        </w:rPr>
        <w:t>投标人名称：___________________________</w:t>
      </w:r>
    </w:p>
    <w:p>
      <w:pPr>
        <w:adjustRightInd w:val="0"/>
        <w:snapToGrid w:val="0"/>
        <w:spacing w:line="360" w:lineRule="auto"/>
        <w:ind w:firstLine="1400" w:firstLineChars="500"/>
        <w:jc w:val="left"/>
        <w:rPr>
          <w:rFonts w:hint="eastAsia" w:ascii="宋体" w:hAnsi="宋体" w:eastAsia="宋体" w:cs="宋体"/>
          <w:snapToGrid w:val="0"/>
          <w:sz w:val="28"/>
          <w:szCs w:val="28"/>
          <w:highlight w:val="none"/>
        </w:rPr>
      </w:pPr>
      <w:r>
        <w:rPr>
          <w:rFonts w:hint="eastAsia" w:ascii="宋体" w:hAnsi="宋体" w:eastAsia="宋体" w:cs="宋体"/>
          <w:snapToGrid w:val="0"/>
          <w:sz w:val="28"/>
          <w:szCs w:val="28"/>
          <w:highlight w:val="none"/>
        </w:rPr>
        <w:t>投标人代表：___________________________</w:t>
      </w:r>
    </w:p>
    <w:p>
      <w:pPr>
        <w:spacing w:line="360" w:lineRule="auto"/>
        <w:ind w:firstLine="1400" w:firstLineChars="500"/>
        <w:rPr>
          <w:rFonts w:hint="eastAsia" w:ascii="宋体" w:hAnsi="宋体" w:eastAsia="宋体" w:cs="宋体"/>
          <w:b/>
          <w:snapToGrid w:val="0"/>
          <w:sz w:val="30"/>
          <w:szCs w:val="30"/>
          <w:highlight w:val="none"/>
        </w:rPr>
      </w:pPr>
      <w:r>
        <w:rPr>
          <w:rFonts w:hint="eastAsia" w:ascii="宋体" w:hAnsi="宋体" w:eastAsia="宋体" w:cs="宋体"/>
          <w:snapToGrid w:val="0"/>
          <w:sz w:val="28"/>
          <w:szCs w:val="28"/>
          <w:highlight w:val="none"/>
        </w:rPr>
        <w:t>投标日期：___________年______月_____</w:t>
      </w:r>
    </w:p>
    <w:p>
      <w:pPr>
        <w:pStyle w:val="8"/>
        <w:spacing w:line="276" w:lineRule="auto"/>
        <w:jc w:val="center"/>
        <w:rPr>
          <w:rFonts w:ascii="宋体" w:hAnsi="宋体" w:cs="宋体"/>
          <w:sz w:val="28"/>
          <w:highlight w:val="none"/>
        </w:rPr>
      </w:pPr>
      <w:r>
        <w:rPr>
          <w:rFonts w:hint="eastAsia" w:ascii="宋体" w:hAnsi="宋体" w:eastAsia="宋体" w:cs="宋体"/>
          <w:sz w:val="28"/>
          <w:highlight w:val="none"/>
          <w:lang w:val="en-US" w:eastAsia="zh-CN"/>
        </w:rPr>
        <w:t>一</w:t>
      </w:r>
      <w:r>
        <w:rPr>
          <w:rFonts w:hint="eastAsia" w:ascii="宋体" w:hAnsi="宋体" w:eastAsia="宋体" w:cs="宋体"/>
          <w:sz w:val="28"/>
          <w:highlight w:val="none"/>
        </w:rPr>
        <w:t>、</w:t>
      </w:r>
      <w:r>
        <w:rPr>
          <w:rFonts w:hint="eastAsia" w:ascii="宋体" w:hAnsi="宋体" w:cs="宋体"/>
          <w:sz w:val="28"/>
          <w:highlight w:val="none"/>
        </w:rPr>
        <w:t>投标报价一览表（二次报价）</w:t>
      </w:r>
    </w:p>
    <w:tbl>
      <w:tblPr>
        <w:tblStyle w:val="58"/>
        <w:tblpPr w:leftFromText="180" w:rightFromText="180" w:vertAnchor="text" w:horzAnchor="page" w:tblpX="1238" w:tblpY="220"/>
        <w:tblOverlap w:val="never"/>
        <w:tblW w:w="53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334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1912" w:type="pct"/>
            <w:tcBorders>
              <w:top w:val="single" w:color="auto" w:sz="4" w:space="0"/>
              <w:left w:val="single" w:color="auto" w:sz="4" w:space="0"/>
              <w:bottom w:val="single" w:color="auto" w:sz="4" w:space="0"/>
              <w:right w:val="single" w:color="auto" w:sz="4" w:space="0"/>
            </w:tcBorders>
            <w:shd w:val="clear" w:color="auto" w:fill="DBE5F1"/>
            <w:vAlign w:val="center"/>
          </w:tcPr>
          <w:p>
            <w:pPr>
              <w:tabs>
                <w:tab w:val="left" w:pos="654"/>
                <w:tab w:val="left" w:pos="1734"/>
                <w:tab w:val="left" w:pos="2814"/>
                <w:tab w:val="left" w:pos="3894"/>
                <w:tab w:val="left" w:pos="5334"/>
                <w:tab w:val="left" w:pos="6414"/>
                <w:tab w:val="left" w:pos="7254"/>
                <w:tab w:val="left" w:pos="8574"/>
                <w:tab w:val="left" w:pos="9654"/>
              </w:tabs>
              <w:spacing w:before="156" w:beforeLines="50" w:after="156" w:afterLines="50" w:line="360" w:lineRule="auto"/>
              <w:jc w:val="center"/>
              <w:rPr>
                <w:rFonts w:ascii="宋体" w:hAnsi="宋体" w:cs="宋体"/>
                <w:b/>
                <w:szCs w:val="21"/>
                <w:highlight w:val="none"/>
              </w:rPr>
            </w:pPr>
            <w:r>
              <w:rPr>
                <w:rFonts w:hint="eastAsia" w:ascii="宋体" w:hAnsi="宋体" w:cs="宋体"/>
                <w:b/>
                <w:szCs w:val="21"/>
                <w:highlight w:val="none"/>
              </w:rPr>
              <w:t>项目名称</w:t>
            </w:r>
          </w:p>
        </w:tc>
        <w:tc>
          <w:tcPr>
            <w:tcW w:w="1822" w:type="pct"/>
            <w:shd w:val="clear" w:color="auto" w:fill="DBE5F1"/>
            <w:vAlign w:val="center"/>
          </w:tcPr>
          <w:p>
            <w:pPr>
              <w:tabs>
                <w:tab w:val="left" w:pos="654"/>
                <w:tab w:val="left" w:pos="1734"/>
                <w:tab w:val="left" w:pos="2814"/>
                <w:tab w:val="left" w:pos="3894"/>
                <w:tab w:val="left" w:pos="5334"/>
                <w:tab w:val="left" w:pos="6414"/>
                <w:tab w:val="left" w:pos="7254"/>
                <w:tab w:val="left" w:pos="8574"/>
                <w:tab w:val="left" w:pos="9654"/>
              </w:tabs>
              <w:spacing w:before="156" w:beforeLines="50" w:after="156" w:afterLines="50" w:line="360" w:lineRule="auto"/>
              <w:jc w:val="center"/>
              <w:rPr>
                <w:rFonts w:ascii="宋体" w:hAnsi="宋体" w:cs="宋体"/>
                <w:b/>
                <w:szCs w:val="21"/>
                <w:highlight w:val="none"/>
              </w:rPr>
            </w:pPr>
            <w:r>
              <w:rPr>
                <w:rFonts w:hint="eastAsia" w:ascii="宋体" w:hAnsi="宋体" w:cs="宋体"/>
                <w:b/>
                <w:szCs w:val="21"/>
                <w:highlight w:val="none"/>
              </w:rPr>
              <w:t>二次投标报价（元）</w:t>
            </w:r>
          </w:p>
        </w:tc>
        <w:tc>
          <w:tcPr>
            <w:tcW w:w="1266" w:type="pct"/>
            <w:shd w:val="clear" w:color="auto" w:fill="DBE5F1"/>
            <w:vAlign w:val="center"/>
          </w:tcPr>
          <w:p>
            <w:pPr>
              <w:tabs>
                <w:tab w:val="left" w:pos="654"/>
                <w:tab w:val="left" w:pos="1734"/>
                <w:tab w:val="left" w:pos="2814"/>
                <w:tab w:val="left" w:pos="3894"/>
                <w:tab w:val="left" w:pos="5334"/>
                <w:tab w:val="left" w:pos="6414"/>
                <w:tab w:val="left" w:pos="7254"/>
                <w:tab w:val="left" w:pos="8574"/>
                <w:tab w:val="left" w:pos="9654"/>
              </w:tabs>
              <w:spacing w:before="156" w:beforeLines="50" w:after="156" w:afterLines="50" w:line="360" w:lineRule="auto"/>
              <w:jc w:val="center"/>
              <w:rPr>
                <w:rFonts w:ascii="宋体" w:hAnsi="宋体" w:cs="宋体"/>
                <w:b/>
                <w:szCs w:val="21"/>
                <w:highlight w:val="none"/>
              </w:rPr>
            </w:pPr>
            <w:r>
              <w:rPr>
                <w:rFonts w:hint="eastAsia" w:ascii="宋体" w:hAnsi="宋体" w:cs="宋体"/>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6" w:hRule="atLeast"/>
        </w:trPr>
        <w:tc>
          <w:tcPr>
            <w:tcW w:w="1912" w:type="pct"/>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before="156" w:beforeLines="50" w:after="156" w:afterLines="50" w:line="360" w:lineRule="auto"/>
              <w:jc w:val="center"/>
              <w:rPr>
                <w:rFonts w:ascii="宋体" w:hAnsi="宋体" w:cs="宋体"/>
                <w:szCs w:val="21"/>
                <w:highlight w:val="none"/>
              </w:rPr>
            </w:pPr>
            <w:r>
              <w:rPr>
                <w:rFonts w:hint="eastAsia" w:ascii="宋体" w:hAnsi="宋体" w:cs="宋体"/>
                <w:szCs w:val="21"/>
                <w:highlight w:val="none"/>
                <w:lang w:eastAsia="zh-CN"/>
              </w:rPr>
              <w:t>深圳会计进修学院生活用水市政接驳工程（一体化加压设备）</w:t>
            </w:r>
          </w:p>
        </w:tc>
        <w:tc>
          <w:tcPr>
            <w:tcW w:w="1822" w:type="pct"/>
            <w:vAlign w:val="center"/>
          </w:tcPr>
          <w:p>
            <w:pPr>
              <w:tabs>
                <w:tab w:val="left" w:pos="654"/>
                <w:tab w:val="left" w:pos="1734"/>
                <w:tab w:val="left" w:pos="2814"/>
                <w:tab w:val="left" w:pos="3894"/>
                <w:tab w:val="left" w:pos="5334"/>
                <w:tab w:val="left" w:pos="6414"/>
                <w:tab w:val="left" w:pos="7254"/>
                <w:tab w:val="left" w:pos="8574"/>
                <w:tab w:val="left" w:pos="9654"/>
              </w:tabs>
              <w:spacing w:before="156" w:beforeLines="50" w:after="156" w:afterLines="50" w:line="360" w:lineRule="auto"/>
              <w:jc w:val="left"/>
              <w:rPr>
                <w:rFonts w:ascii="宋体" w:hAnsi="宋体" w:cs="宋体"/>
                <w:szCs w:val="21"/>
                <w:highlight w:val="none"/>
              </w:rPr>
            </w:pPr>
            <w:r>
              <w:rPr>
                <w:rFonts w:hint="eastAsia" w:ascii="宋体" w:hAnsi="宋体" w:cs="宋体"/>
                <w:szCs w:val="21"/>
                <w:highlight w:val="none"/>
              </w:rPr>
              <w:t xml:space="preserve">大写： </w:t>
            </w:r>
            <w:r>
              <w:rPr>
                <w:rFonts w:hint="eastAsia" w:ascii="宋体" w:hAnsi="宋体" w:cs="宋体"/>
                <w:szCs w:val="21"/>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before="156" w:beforeLines="50" w:after="156" w:afterLines="50" w:line="360" w:lineRule="auto"/>
              <w:rPr>
                <w:rFonts w:ascii="宋体" w:hAnsi="宋体" w:cs="宋体"/>
                <w:szCs w:val="21"/>
                <w:highlight w:val="none"/>
              </w:rPr>
            </w:pPr>
            <w:r>
              <w:rPr>
                <w:rFonts w:hint="eastAsia" w:ascii="宋体" w:hAnsi="宋体" w:cs="宋体"/>
                <w:szCs w:val="21"/>
                <w:highlight w:val="none"/>
              </w:rPr>
              <w:t xml:space="preserve">小写：¥ </w:t>
            </w:r>
            <w:r>
              <w:rPr>
                <w:rFonts w:hint="eastAsia" w:ascii="宋体" w:hAnsi="宋体" w:cs="宋体"/>
                <w:szCs w:val="21"/>
                <w:highlight w:val="none"/>
                <w:u w:val="single"/>
              </w:rPr>
              <w:t xml:space="preserve">               </w:t>
            </w:r>
          </w:p>
        </w:tc>
        <w:tc>
          <w:tcPr>
            <w:tcW w:w="1266" w:type="pct"/>
            <w:vAlign w:val="center"/>
          </w:tcPr>
          <w:p>
            <w:pPr>
              <w:tabs>
                <w:tab w:val="left" w:pos="654"/>
                <w:tab w:val="left" w:pos="1734"/>
                <w:tab w:val="left" w:pos="2814"/>
                <w:tab w:val="left" w:pos="3894"/>
                <w:tab w:val="left" w:pos="5334"/>
                <w:tab w:val="left" w:pos="6414"/>
                <w:tab w:val="left" w:pos="7254"/>
                <w:tab w:val="left" w:pos="8574"/>
                <w:tab w:val="left" w:pos="9654"/>
              </w:tabs>
              <w:spacing w:before="156" w:beforeLines="50" w:after="156" w:afterLines="50" w:line="360" w:lineRule="auto"/>
              <w:jc w:val="center"/>
              <w:rPr>
                <w:rFonts w:ascii="宋体" w:hAnsi="宋体" w:cs="宋体"/>
                <w:szCs w:val="21"/>
                <w:highlight w:val="none"/>
              </w:rPr>
            </w:pPr>
          </w:p>
        </w:tc>
      </w:tr>
    </w:tbl>
    <w:p>
      <w:pPr>
        <w:spacing w:line="360" w:lineRule="auto"/>
        <w:ind w:left="420" w:leftChars="200" w:right="315" w:rightChars="150"/>
        <w:jc w:val="left"/>
        <w:rPr>
          <w:rFonts w:ascii="宋体" w:hAnsi="宋体" w:cs="宋体"/>
          <w:highlight w:val="none"/>
        </w:rPr>
      </w:pPr>
      <w:r>
        <w:rPr>
          <w:rFonts w:hint="eastAsia" w:ascii="宋体" w:hAnsi="宋体" w:cs="宋体"/>
          <w:highlight w:val="none"/>
        </w:rPr>
        <w:t>备注：</w:t>
      </w:r>
    </w:p>
    <w:p>
      <w:pPr>
        <w:pStyle w:val="331"/>
        <w:spacing w:line="360" w:lineRule="auto"/>
        <w:ind w:left="420" w:right="315" w:rightChars="150" w:firstLine="0" w:firstLineChars="0"/>
        <w:jc w:val="left"/>
        <w:rPr>
          <w:rFonts w:ascii="宋体" w:hAnsi="宋体" w:cs="宋体"/>
          <w:snapToGrid w:val="0"/>
          <w:kern w:val="0"/>
          <w:szCs w:val="21"/>
          <w:highlight w:val="none"/>
        </w:rPr>
      </w:pPr>
      <w:r>
        <w:rPr>
          <w:rFonts w:hint="eastAsia" w:ascii="宋体" w:hAnsi="宋体" w:cs="宋体"/>
          <w:snapToGrid w:val="0"/>
          <w:kern w:val="0"/>
          <w:szCs w:val="21"/>
          <w:highlight w:val="none"/>
        </w:rPr>
        <w:t>1、二次投标报价以该单位一次投标报价为上限，若二次投标报价超过一次投标报价，</w:t>
      </w:r>
    </w:p>
    <w:p>
      <w:pPr>
        <w:spacing w:line="360" w:lineRule="auto"/>
        <w:ind w:right="315" w:rightChars="150"/>
        <w:jc w:val="left"/>
        <w:rPr>
          <w:rFonts w:ascii="宋体" w:hAnsi="宋体" w:cs="宋体"/>
          <w:snapToGrid w:val="0"/>
          <w:kern w:val="0"/>
          <w:szCs w:val="21"/>
          <w:highlight w:val="none"/>
        </w:rPr>
      </w:pPr>
      <w:r>
        <w:rPr>
          <w:rFonts w:hint="eastAsia" w:ascii="宋体" w:hAnsi="宋体" w:cs="宋体"/>
          <w:snapToGrid w:val="0"/>
          <w:kern w:val="0"/>
          <w:szCs w:val="21"/>
          <w:highlight w:val="none"/>
        </w:rPr>
        <w:t>视为该投标单位的第二次投标报价与其第一次投标报价相同；</w:t>
      </w:r>
    </w:p>
    <w:p>
      <w:pPr>
        <w:spacing w:line="360" w:lineRule="auto"/>
        <w:ind w:right="315" w:rightChars="150"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2、未提交二次报价文件或二次报价文件未加盖投标人单位公章或第二次报价比第一</w:t>
      </w:r>
    </w:p>
    <w:p>
      <w:pPr>
        <w:numPr>
          <w:ilvl w:val="255"/>
          <w:numId w:val="0"/>
        </w:numPr>
        <w:spacing w:line="360" w:lineRule="auto"/>
        <w:ind w:right="315" w:rightChars="150"/>
        <w:jc w:val="left"/>
        <w:rPr>
          <w:rFonts w:ascii="宋体" w:hAnsi="宋体" w:cs="宋体"/>
          <w:snapToGrid w:val="0"/>
          <w:kern w:val="0"/>
          <w:szCs w:val="21"/>
          <w:highlight w:val="none"/>
        </w:rPr>
      </w:pPr>
      <w:r>
        <w:rPr>
          <w:rFonts w:hint="eastAsia" w:ascii="宋体" w:hAnsi="宋体" w:cs="宋体"/>
          <w:snapToGrid w:val="0"/>
          <w:kern w:val="0"/>
          <w:szCs w:val="21"/>
          <w:highlight w:val="none"/>
        </w:rPr>
        <w:t>次投标报价总体下浮比例超过10%但未提供承诺书的，默认第二次投标报价与第一次投标报价相同；</w:t>
      </w:r>
    </w:p>
    <w:p>
      <w:pPr>
        <w:spacing w:line="360" w:lineRule="auto"/>
        <w:ind w:right="315" w:rightChars="150" w:firstLine="420" w:firstLineChars="200"/>
        <w:jc w:val="left"/>
        <w:rPr>
          <w:rFonts w:ascii="宋体" w:hAnsi="宋体" w:cs="宋体"/>
          <w:snapToGrid w:val="0"/>
          <w:kern w:val="0"/>
          <w:szCs w:val="21"/>
          <w:highlight w:val="none"/>
        </w:rPr>
      </w:pPr>
      <w:r>
        <w:rPr>
          <w:rFonts w:hint="eastAsia" w:ascii="宋体" w:hAnsi="宋体" w:cs="宋体"/>
          <w:snapToGrid w:val="0"/>
          <w:kern w:val="0"/>
          <w:szCs w:val="21"/>
          <w:highlight w:val="none"/>
        </w:rPr>
        <w:t>3、二次投标报价比一次投标报价下浮比例超过10%以上的，中标后该投标人需提交</w:t>
      </w:r>
    </w:p>
    <w:p>
      <w:pPr>
        <w:numPr>
          <w:ilvl w:val="255"/>
          <w:numId w:val="0"/>
        </w:numPr>
        <w:spacing w:line="360" w:lineRule="auto"/>
        <w:ind w:right="315" w:rightChars="150"/>
        <w:jc w:val="left"/>
        <w:rPr>
          <w:rFonts w:ascii="宋体" w:hAnsi="宋体" w:cs="宋体"/>
          <w:snapToGrid w:val="0"/>
          <w:kern w:val="0"/>
          <w:szCs w:val="21"/>
          <w:highlight w:val="none"/>
        </w:rPr>
      </w:pPr>
      <w:r>
        <w:rPr>
          <w:rFonts w:hint="eastAsia" w:ascii="宋体" w:hAnsi="宋体" w:cs="宋体"/>
          <w:snapToGrid w:val="0"/>
          <w:kern w:val="0"/>
          <w:szCs w:val="21"/>
          <w:highlight w:val="none"/>
        </w:rPr>
        <w:t>报价下浮内容明细及保证货物质量说明承诺书；</w:t>
      </w:r>
    </w:p>
    <w:p>
      <w:pPr>
        <w:spacing w:line="360" w:lineRule="auto"/>
        <w:ind w:left="420" w:leftChars="200" w:right="315" w:rightChars="150"/>
        <w:jc w:val="left"/>
        <w:rPr>
          <w:rFonts w:ascii="宋体" w:hAnsi="宋体" w:cs="宋体"/>
          <w:snapToGrid w:val="0"/>
          <w:kern w:val="0"/>
          <w:szCs w:val="21"/>
          <w:highlight w:val="none"/>
        </w:rPr>
      </w:pPr>
      <w:r>
        <w:rPr>
          <w:rFonts w:hint="eastAsia" w:ascii="宋体" w:hAnsi="宋体" w:cs="宋体"/>
          <w:snapToGrid w:val="0"/>
          <w:kern w:val="0"/>
          <w:szCs w:val="21"/>
          <w:highlight w:val="none"/>
        </w:rPr>
        <w:t>4、一旦中标，以二次报价为本项目的中标价；</w:t>
      </w:r>
    </w:p>
    <w:p>
      <w:pPr>
        <w:spacing w:line="360" w:lineRule="auto"/>
        <w:ind w:left="420" w:leftChars="200" w:right="315" w:rightChars="150"/>
        <w:jc w:val="left"/>
        <w:rPr>
          <w:rFonts w:ascii="宋体" w:hAnsi="宋体" w:cs="宋体"/>
          <w:snapToGrid w:val="0"/>
          <w:kern w:val="0"/>
          <w:szCs w:val="21"/>
          <w:highlight w:val="none"/>
        </w:rPr>
      </w:pPr>
      <w:r>
        <w:rPr>
          <w:rFonts w:hint="eastAsia" w:ascii="宋体" w:hAnsi="宋体" w:cs="宋体"/>
          <w:snapToGrid w:val="0"/>
          <w:kern w:val="0"/>
          <w:szCs w:val="21"/>
          <w:highlight w:val="none"/>
        </w:rPr>
        <w:t>5、招标人不承诺将合同授予报价最低的投标人；</w:t>
      </w:r>
    </w:p>
    <w:p>
      <w:pPr>
        <w:ind w:right="315" w:rightChars="150" w:firstLine="420" w:firstLineChars="200"/>
        <w:jc w:val="left"/>
        <w:rPr>
          <w:highlight w:val="none"/>
        </w:rPr>
      </w:pPr>
      <w:r>
        <w:rPr>
          <w:rFonts w:hint="eastAsia" w:ascii="宋体" w:hAnsi="宋体" w:cs="宋体"/>
          <w:snapToGrid w:val="0"/>
          <w:kern w:val="0"/>
          <w:szCs w:val="21"/>
          <w:highlight w:val="none"/>
        </w:rPr>
        <w:t>6、本项目投标报价单位均为“元”，投标人所填报的投标报价均保留至小数点后两位。</w:t>
      </w:r>
    </w:p>
    <w:p>
      <w:pPr>
        <w:pStyle w:val="333"/>
        <w:widowControl w:val="0"/>
        <w:adjustRightInd w:val="0"/>
        <w:snapToGrid w:val="0"/>
        <w:spacing w:before="0" w:beforeAutospacing="0" w:after="0" w:afterAutospacing="0" w:line="360" w:lineRule="auto"/>
        <w:ind w:firstLine="420" w:firstLineChars="200"/>
        <w:rPr>
          <w:snapToGrid w:val="0"/>
          <w:sz w:val="21"/>
          <w:szCs w:val="21"/>
          <w:highlight w:val="none"/>
        </w:rPr>
      </w:pPr>
    </w:p>
    <w:p>
      <w:pPr>
        <w:pStyle w:val="333"/>
        <w:widowControl w:val="0"/>
        <w:adjustRightInd w:val="0"/>
        <w:snapToGrid w:val="0"/>
        <w:spacing w:before="0" w:beforeAutospacing="0" w:after="0" w:afterAutospacing="0" w:line="360" w:lineRule="auto"/>
        <w:ind w:firstLine="420" w:firstLineChars="200"/>
        <w:rPr>
          <w:snapToGrid w:val="0"/>
          <w:sz w:val="21"/>
          <w:szCs w:val="21"/>
          <w:highlight w:val="none"/>
        </w:rPr>
      </w:pPr>
    </w:p>
    <w:p>
      <w:pPr>
        <w:pStyle w:val="333"/>
        <w:widowControl w:val="0"/>
        <w:adjustRightInd w:val="0"/>
        <w:snapToGrid w:val="0"/>
        <w:spacing w:before="0" w:beforeAutospacing="0" w:after="0" w:afterAutospacing="0" w:line="360" w:lineRule="auto"/>
        <w:ind w:firstLine="420" w:firstLineChars="200"/>
        <w:rPr>
          <w:snapToGrid w:val="0"/>
          <w:sz w:val="21"/>
          <w:szCs w:val="21"/>
          <w:highlight w:val="none"/>
        </w:rPr>
      </w:pPr>
    </w:p>
    <w:p>
      <w:pPr>
        <w:pStyle w:val="333"/>
        <w:widowControl w:val="0"/>
        <w:adjustRightInd w:val="0"/>
        <w:snapToGrid w:val="0"/>
        <w:spacing w:before="0" w:beforeAutospacing="0" w:after="0" w:afterAutospacing="0" w:line="360" w:lineRule="auto"/>
        <w:jc w:val="center"/>
        <w:rPr>
          <w:snapToGrid w:val="0"/>
          <w:sz w:val="21"/>
          <w:szCs w:val="21"/>
          <w:highlight w:val="none"/>
        </w:rPr>
      </w:pPr>
      <w:r>
        <w:rPr>
          <w:rFonts w:hint="eastAsia"/>
          <w:snapToGrid w:val="0"/>
          <w:sz w:val="21"/>
          <w:szCs w:val="21"/>
          <w:highlight w:val="none"/>
        </w:rPr>
        <w:t xml:space="preserve">投标单位（盖章）：                        </w:t>
      </w:r>
    </w:p>
    <w:p>
      <w:pPr>
        <w:pStyle w:val="205"/>
        <w:jc w:val="center"/>
        <w:rPr>
          <w:rFonts w:ascii="宋体" w:hAnsi="宋体" w:cs="宋体"/>
          <w:snapToGrid w:val="0"/>
          <w:szCs w:val="21"/>
          <w:highlight w:val="none"/>
        </w:rPr>
      </w:pPr>
      <w:r>
        <w:rPr>
          <w:rFonts w:hint="eastAsia" w:ascii="宋体" w:hAnsi="宋体" w:cs="宋体"/>
          <w:snapToGrid w:val="0"/>
          <w:szCs w:val="21"/>
          <w:highlight w:val="none"/>
        </w:rPr>
        <w:t xml:space="preserve">                     法定代表人或委托代理人（签名或签章）：</w:t>
      </w:r>
    </w:p>
    <w:p>
      <w:pPr>
        <w:pStyle w:val="205"/>
        <w:jc w:val="center"/>
        <w:rPr>
          <w:rFonts w:ascii="宋体" w:hAnsi="宋体" w:cs="宋体"/>
          <w:snapToGrid w:val="0"/>
          <w:szCs w:val="21"/>
          <w:highlight w:val="none"/>
        </w:rPr>
      </w:pPr>
    </w:p>
    <w:p>
      <w:pPr>
        <w:pStyle w:val="174"/>
        <w:spacing w:line="360" w:lineRule="auto"/>
        <w:ind w:firstLine="420" w:firstLineChars="200"/>
        <w:jc w:val="left"/>
        <w:rPr>
          <w:rFonts w:ascii="宋体" w:hAnsi="宋体" w:cs="宋体"/>
          <w:snapToGrid w:val="0"/>
          <w:szCs w:val="21"/>
          <w:highlight w:val="none"/>
        </w:rPr>
      </w:pPr>
      <w:r>
        <w:rPr>
          <w:rFonts w:hint="eastAsia" w:ascii="宋体" w:hAnsi="宋体" w:cs="宋体"/>
          <w:snapToGrid w:val="0"/>
          <w:szCs w:val="21"/>
          <w:highlight w:val="none"/>
        </w:rPr>
        <w:t xml:space="preserve">                                            日   期：  年   月   日</w:t>
      </w:r>
    </w:p>
    <w:p>
      <w:pPr>
        <w:rPr>
          <w:rFonts w:ascii="宋体" w:hAnsi="宋体" w:cs="宋体"/>
          <w:sz w:val="28"/>
          <w:highlight w:val="none"/>
        </w:rPr>
      </w:pPr>
      <w:r>
        <w:rPr>
          <w:rFonts w:hint="eastAsia" w:ascii="宋体" w:hAnsi="宋体" w:cs="宋体"/>
          <w:sz w:val="28"/>
          <w:highlight w:val="none"/>
        </w:rPr>
        <w:br w:type="page"/>
      </w:r>
    </w:p>
    <w:p>
      <w:pPr>
        <w:pStyle w:val="2"/>
        <w:numPr>
          <w:ilvl w:val="255"/>
          <w:numId w:val="0"/>
        </w:numPr>
        <w:spacing w:line="360" w:lineRule="auto"/>
        <w:jc w:val="center"/>
        <w:rPr>
          <w:rFonts w:hint="eastAsia" w:ascii="宋体" w:hAnsi="宋体" w:cs="宋体"/>
          <w:b/>
          <w:bCs/>
          <w:kern w:val="0"/>
          <w:sz w:val="32"/>
          <w:szCs w:val="32"/>
          <w:highlight w:val="none"/>
          <w:lang w:eastAsia="zh-CN" w:bidi="ar"/>
        </w:rPr>
      </w:pPr>
      <w:r>
        <w:rPr>
          <w:rFonts w:hint="eastAsia" w:ascii="宋体" w:hAnsi="宋体" w:cs="宋体"/>
          <w:b/>
          <w:bCs/>
          <w:kern w:val="0"/>
          <w:sz w:val="32"/>
          <w:szCs w:val="32"/>
          <w:highlight w:val="none"/>
          <w:lang w:eastAsia="zh-CN" w:bidi="ar"/>
        </w:rPr>
        <w:t>深圳会计进修学院生活用水市政接驳工程（一体化加压设备）</w:t>
      </w:r>
    </w:p>
    <w:p>
      <w:pPr>
        <w:pStyle w:val="2"/>
        <w:numPr>
          <w:ilvl w:val="255"/>
          <w:numId w:val="0"/>
        </w:numPr>
        <w:spacing w:line="360" w:lineRule="auto"/>
        <w:jc w:val="center"/>
        <w:rPr>
          <w:rFonts w:ascii="宋体" w:hAnsi="宋体" w:cs="宋体"/>
          <w:b/>
          <w:bCs/>
          <w:kern w:val="0"/>
          <w:sz w:val="32"/>
          <w:szCs w:val="32"/>
          <w:highlight w:val="none"/>
          <w:lang w:bidi="ar"/>
        </w:rPr>
      </w:pPr>
      <w:r>
        <w:rPr>
          <w:rFonts w:hint="eastAsia" w:ascii="宋体" w:hAnsi="宋体" w:cs="宋体"/>
          <w:b/>
          <w:bCs/>
          <w:kern w:val="0"/>
          <w:sz w:val="32"/>
          <w:szCs w:val="32"/>
          <w:highlight w:val="none"/>
          <w:lang w:bidi="ar"/>
        </w:rPr>
        <w:t>报价明细表（二次报价）</w:t>
      </w:r>
    </w:p>
    <w:tbl>
      <w:tblPr>
        <w:tblStyle w:val="58"/>
        <w:tblW w:w="544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960"/>
        <w:gridCol w:w="1425"/>
        <w:gridCol w:w="2625"/>
        <w:gridCol w:w="945"/>
        <w:gridCol w:w="600"/>
        <w:gridCol w:w="585"/>
        <w:gridCol w:w="81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部位</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材质</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val="0"/>
                <w:bCs w:val="0"/>
                <w:kern w:val="0"/>
                <w:sz w:val="18"/>
                <w:szCs w:val="18"/>
                <w:highlight w:val="none"/>
              </w:rPr>
              <w:t>含税单价（元）</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b w:val="0"/>
                <w:bCs w:val="0"/>
                <w:kern w:val="0"/>
                <w:sz w:val="18"/>
                <w:szCs w:val="18"/>
                <w:highlight w:val="none"/>
              </w:rPr>
              <w:t>含税总价（元）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1号泵房设备明细表</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1#泵房变频泵组</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规格型号:主泵Q=15m3A，H=45m(两用一备)；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辅泵Q=5m3/h，H=45m (一用)。</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箱体</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整体尺寸 (LxBxH=8.5x3.5x3.0m)</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电气系统</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详见图纸</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PLC/安防柜</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2000*800*600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多功能水泵控制阀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多功能水泵控制阀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量程</w:t>
            </w:r>
            <w:r>
              <w:rPr>
                <w:rFonts w:hint="default" w:ascii="Times New Roman" w:hAnsi="Times New Roman" w:eastAsia="宋体" w:cs="Times New Roman"/>
                <w:i w:val="0"/>
                <w:iCs w:val="0"/>
                <w:color w:val="000000"/>
                <w:kern w:val="0"/>
                <w:sz w:val="18"/>
                <w:szCs w:val="18"/>
                <w:u w:val="none"/>
                <w:lang w:val="en-US" w:eastAsia="zh-CN" w:bidi="ar"/>
              </w:rPr>
              <w:t xml:space="preserve"> 0~1.6Mpa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1号泵房水池出水侧</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4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紫外线消毒器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(1)Q=36m3/h  P=510W (2)PN1.0Mpa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法兰阀门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复合式排气阀</w:t>
            </w:r>
            <w:r>
              <w:rPr>
                <w:rFonts w:hint="default" w:ascii="Times New Roman" w:hAnsi="Times New Roman" w:eastAsia="宋体" w:cs="Times New Roman"/>
                <w:i w:val="0"/>
                <w:iCs w:val="0"/>
                <w:color w:val="000000"/>
                <w:kern w:val="0"/>
                <w:sz w:val="18"/>
                <w:szCs w:val="18"/>
                <w:u w:val="none"/>
                <w:lang w:val="en-US" w:eastAsia="zh-CN" w:bidi="ar"/>
              </w:rPr>
              <w:t xml:space="preserve"> DN25  (2)</w:t>
            </w:r>
            <w:r>
              <w:rPr>
                <w:rFonts w:hint="eastAsia" w:ascii="宋体" w:hAnsi="宋体" w:eastAsia="宋体" w:cs="宋体"/>
                <w:i w:val="0"/>
                <w:iCs w:val="0"/>
                <w:color w:val="000000"/>
                <w:kern w:val="0"/>
                <w:sz w:val="18"/>
                <w:szCs w:val="18"/>
                <w:u w:val="none"/>
                <w:lang w:val="en-US" w:eastAsia="zh-CN" w:bidi="ar"/>
              </w:rPr>
              <w:t>法兰连接</w:t>
            </w:r>
            <w:r>
              <w:rPr>
                <w:rFonts w:hint="default" w:ascii="Times New Roman" w:hAnsi="Times New Roman" w:eastAsia="宋体" w:cs="Times New Roman"/>
                <w:i w:val="0"/>
                <w:iCs w:val="0"/>
                <w:color w:val="000000"/>
                <w:kern w:val="0"/>
                <w:sz w:val="18"/>
                <w:szCs w:val="18"/>
                <w:u w:val="none"/>
                <w:lang w:val="en-US" w:eastAsia="zh-CN" w:bidi="ar"/>
              </w:rPr>
              <w:t xml:space="preserve"> PN1.0Mpa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Y型过滤器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电接点压力表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量程</w:t>
            </w:r>
            <w:r>
              <w:rPr>
                <w:rFonts w:hint="default" w:ascii="Times New Roman" w:hAnsi="Times New Roman" w:eastAsia="宋体" w:cs="Times New Roman"/>
                <w:i w:val="0"/>
                <w:iCs w:val="0"/>
                <w:color w:val="000000"/>
                <w:kern w:val="0"/>
                <w:sz w:val="18"/>
                <w:szCs w:val="18"/>
                <w:u w:val="none"/>
                <w:lang w:val="en-US" w:eastAsia="zh-CN" w:bidi="ar"/>
              </w:rPr>
              <w:t xml:space="preserve"> 0~1.6Mpa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压力变送器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(1)PN0~2.5Mpa </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）输出信号</w:t>
            </w:r>
            <w:r>
              <w:rPr>
                <w:rFonts w:hint="default" w:ascii="Times New Roman" w:hAnsi="Times New Roman" w:eastAsia="宋体" w:cs="Times New Roman"/>
                <w:i w:val="0"/>
                <w:iCs w:val="0"/>
                <w:color w:val="000000"/>
                <w:kern w:val="0"/>
                <w:sz w:val="18"/>
                <w:szCs w:val="18"/>
                <w:u w:val="none"/>
                <w:lang w:val="en-US" w:eastAsia="zh-CN" w:bidi="ar"/>
              </w:rPr>
              <w:t>4~20mA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PN1.6Mpa / PN2.5Mpa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PN1.6Mpa / PN2.5Mpa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1号泵房水池（箱）进水管</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PN2.5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Y型过滤器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PN2.5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(1)DN50 PN2.5Mpa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电动蝶阀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PN2.5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压力变送器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(1)PN0~2.5Mpa </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4-20mA </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液压水位控制阀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0.05~1.6Mpa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水池（箱）</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水箱V有效=12.6m3(LxBxH=3.5x3.0x3.0m)</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S31603</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旋流防止器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(1)DN100  </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）吸水口</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超声波液位计</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(1)0~5m</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1号泵房内附属设施</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磷酸铵盐干粉灭火器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1号泵房通风设施</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挂壁式空调</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1号泵房</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不锈钢管</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泵房外一米以内的管材</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安装调试费</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2号泵房设备明细表</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工频泵组</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Q=6.5m3/h</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H=125m</w:t>
            </w:r>
            <w:r>
              <w:rPr>
                <w:rFonts w:hint="eastAsia" w:ascii="宋体" w:hAnsi="宋体" w:eastAsia="宋体" w:cs="宋体"/>
                <w:i w:val="0"/>
                <w:iCs w:val="0"/>
                <w:color w:val="000000"/>
                <w:kern w:val="0"/>
                <w:sz w:val="18"/>
                <w:szCs w:val="18"/>
                <w:u w:val="none"/>
                <w:lang w:val="en-US" w:eastAsia="zh-CN" w:bidi="ar"/>
              </w:rPr>
              <w:t>（一用一备）</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箱体</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整体尺寸（</w:t>
            </w:r>
            <w:r>
              <w:rPr>
                <w:rFonts w:hint="default" w:ascii="Times New Roman" w:hAnsi="Times New Roman" w:eastAsia="宋体" w:cs="Times New Roman"/>
                <w:i w:val="0"/>
                <w:iCs w:val="0"/>
                <w:color w:val="000000"/>
                <w:kern w:val="0"/>
                <w:sz w:val="18"/>
                <w:szCs w:val="18"/>
                <w:u w:val="none"/>
                <w:lang w:val="en-US" w:eastAsia="zh-CN" w:bidi="ar"/>
              </w:rPr>
              <w:t>L×B×H=4×2.5×3.0m</w:t>
            </w:r>
            <w:r>
              <w:rPr>
                <w:rFonts w:hint="eastAsia" w:ascii="宋体" w:hAnsi="宋体" w:eastAsia="宋体" w:cs="宋体"/>
                <w:i w:val="0"/>
                <w:iCs w:val="0"/>
                <w:color w:val="000000"/>
                <w:kern w:val="0"/>
                <w:sz w:val="18"/>
                <w:szCs w:val="18"/>
                <w:u w:val="none"/>
                <w:lang w:val="en-US" w:eastAsia="zh-CN" w:bidi="ar"/>
              </w:rPr>
              <w:t>）</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电气系统</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详见图纸</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PLC/安防柜</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2000*800*600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PN2.5Mpa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PN2.5Mpa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多功能水泵控制阀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PN2.5Mpa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量程</w:t>
            </w:r>
            <w:r>
              <w:rPr>
                <w:rFonts w:hint="default" w:ascii="Times New Roman" w:hAnsi="Times New Roman" w:eastAsia="宋体" w:cs="Times New Roman"/>
                <w:i w:val="0"/>
                <w:iCs w:val="0"/>
                <w:color w:val="000000"/>
                <w:kern w:val="0"/>
                <w:sz w:val="18"/>
                <w:szCs w:val="18"/>
                <w:u w:val="none"/>
                <w:lang w:val="en-US" w:eastAsia="zh-CN" w:bidi="ar"/>
              </w:rPr>
              <w:t xml:space="preserve"> 0~2.5Mpa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2号泵房水池进水侧</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Y型过滤器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(1)DN100 PN1.0Mpa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PN1.0Mpa</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压力变送器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(1)PN0~1.0Mpa </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 xml:space="preserve">4-20mA </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2号泵房水池（箱）出水管</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不锈钢暗杆硬密封闸阀</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PN2.5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S30408</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可曲绕橡胶接头</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(1)DN80  PN2.5 Mpa (2)</w:t>
            </w:r>
            <w:r>
              <w:rPr>
                <w:rFonts w:hint="eastAsia" w:ascii="宋体" w:hAnsi="宋体" w:eastAsia="宋体" w:cs="宋体"/>
                <w:i w:val="0"/>
                <w:iCs w:val="0"/>
                <w:color w:val="000000"/>
                <w:kern w:val="0"/>
                <w:sz w:val="18"/>
                <w:szCs w:val="18"/>
                <w:u w:val="none"/>
                <w:lang w:val="en-US" w:eastAsia="zh-CN" w:bidi="ar"/>
              </w:rPr>
              <w:t>法兰连接</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泵房内附属设施</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磷酸铵盐干粉灭火器</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2号泵房通风设施</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挂壁式空调</w:t>
            </w:r>
          </w:p>
        </w:tc>
        <w:tc>
          <w:tcPr>
            <w:tcW w:w="14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匹</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 </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2号泵房</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不锈钢管</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泵房外一米以内的管材</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安装调试费用</w:t>
            </w:r>
          </w:p>
        </w:tc>
        <w:tc>
          <w:tcPr>
            <w:tcW w:w="1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27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kern w:val="0"/>
                <w:sz w:val="18"/>
                <w:szCs w:val="18"/>
                <w:highlight w:val="none"/>
              </w:rPr>
              <w:t>合同价款（含13%增值税）总额（大写）：</w:t>
            </w:r>
            <w:r>
              <w:rPr>
                <w:rFonts w:hint="eastAsia" w:ascii="宋体" w:hAnsi="宋体" w:cs="宋体"/>
                <w:kern w:val="0"/>
                <w:sz w:val="18"/>
                <w:szCs w:val="18"/>
                <w:highlight w:val="none"/>
                <w:lang w:val="en-US" w:eastAsia="zh-CN"/>
              </w:rPr>
              <w:t xml:space="preserve">            </w:t>
            </w:r>
            <w:r>
              <w:rPr>
                <w:rFonts w:hint="eastAsia" w:ascii="宋体" w:hAnsi="宋体" w:cs="宋体"/>
                <w:kern w:val="0"/>
                <w:sz w:val="18"/>
                <w:szCs w:val="18"/>
                <w:highlight w:val="none"/>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7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kern w:val="0"/>
                <w:sz w:val="18"/>
                <w:szCs w:val="18"/>
                <w:highlight w:val="none"/>
              </w:rPr>
              <w:t xml:space="preserve">其中：不含税价款为： </w:t>
            </w:r>
            <w:r>
              <w:rPr>
                <w:rFonts w:ascii="宋体" w:hAnsi="宋体" w:cs="宋体"/>
                <w:kern w:val="0"/>
                <w:sz w:val="18"/>
                <w:szCs w:val="18"/>
                <w:highlight w:val="none"/>
              </w:rPr>
              <w:t xml:space="preserve">  </w:t>
            </w:r>
            <w:r>
              <w:rPr>
                <w:rFonts w:hint="eastAsia" w:ascii="宋体" w:hAnsi="宋体" w:cs="宋体"/>
                <w:kern w:val="0"/>
                <w:sz w:val="18"/>
                <w:szCs w:val="18"/>
                <w:highlight w:val="none"/>
              </w:rPr>
              <w:t xml:space="preserve">，增值税税金为： </w:t>
            </w:r>
            <w:r>
              <w:rPr>
                <w:rFonts w:ascii="宋体" w:hAnsi="宋体" w:cs="宋体"/>
                <w:kern w:val="0"/>
                <w:sz w:val="18"/>
                <w:szCs w:val="18"/>
                <w:highlight w:val="none"/>
              </w:rPr>
              <w:t xml:space="preserve">   </w:t>
            </w:r>
          </w:p>
        </w:tc>
      </w:tr>
    </w:tbl>
    <w:p>
      <w:pPr>
        <w:topLinePunct/>
        <w:adjustRightInd w:val="0"/>
        <w:snapToGrid w:val="0"/>
        <w:spacing w:line="360" w:lineRule="auto"/>
        <w:ind w:right="210" w:rightChars="100" w:firstLine="420" w:firstLineChars="200"/>
        <w:jc w:val="left"/>
        <w:rPr>
          <w:rFonts w:hint="eastAsia" w:ascii="宋体" w:hAnsi="宋体" w:eastAsia="宋体" w:cs="宋体"/>
          <w:szCs w:val="21"/>
          <w:highlight w:val="none"/>
        </w:rPr>
      </w:pPr>
    </w:p>
    <w:p>
      <w:pPr>
        <w:topLinePunct/>
        <w:adjustRightInd w:val="0"/>
        <w:snapToGrid w:val="0"/>
        <w:spacing w:line="360" w:lineRule="auto"/>
        <w:ind w:right="210" w:rightChars="100"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备注：</w:t>
      </w:r>
    </w:p>
    <w:p>
      <w:pPr>
        <w:topLinePunct/>
        <w:adjustRightInd w:val="0"/>
        <w:snapToGrid w:val="0"/>
        <w:spacing w:line="360" w:lineRule="auto"/>
        <w:ind w:right="210" w:rightChars="100" w:firstLine="420" w:firstLineChars="200"/>
        <w:jc w:val="left"/>
        <w:rPr>
          <w:rFonts w:ascii="宋体" w:hAnsi="宋体" w:cs="宋体"/>
          <w:kern w:val="0"/>
          <w:szCs w:val="21"/>
          <w:highlight w:val="none"/>
        </w:rPr>
      </w:pPr>
      <w:r>
        <w:rPr>
          <w:rFonts w:hint="eastAsia" w:ascii="宋体" w:hAnsi="宋体" w:eastAsia="宋体" w:cs="宋体"/>
          <w:kern w:val="0"/>
          <w:szCs w:val="21"/>
          <w:highlight w:val="none"/>
        </w:rPr>
        <w:t>1、本项目</w:t>
      </w:r>
      <w:r>
        <w:rPr>
          <w:rFonts w:hint="eastAsia" w:ascii="宋体" w:hAnsi="宋体" w:cs="宋体"/>
          <w:kern w:val="0"/>
          <w:szCs w:val="21"/>
          <w:highlight w:val="none"/>
        </w:rPr>
        <w:t>投标报价单位均为“元”，投标人所填报的投标报价均保留至小数点后两位；</w:t>
      </w:r>
    </w:p>
    <w:p>
      <w:pPr>
        <w:topLinePunct/>
        <w:adjustRightInd w:val="0"/>
        <w:snapToGrid w:val="0"/>
        <w:spacing w:line="360" w:lineRule="auto"/>
        <w:ind w:right="210" w:rightChars="100" w:firstLine="420" w:firstLineChars="200"/>
        <w:jc w:val="left"/>
        <w:rPr>
          <w:highlight w:val="none"/>
        </w:rPr>
      </w:pPr>
      <w:r>
        <w:rPr>
          <w:rFonts w:hint="eastAsia" w:ascii="宋体" w:hAnsi="宋体" w:cs="宋体"/>
          <w:kern w:val="0"/>
          <w:szCs w:val="21"/>
          <w:highlight w:val="none"/>
        </w:rPr>
        <w:t>2、投标人须根据招标人提供的技术要求，结合投标人拟采用的具体参数和技术要求，按本表格式要求填报；</w:t>
      </w:r>
    </w:p>
    <w:p>
      <w:pPr>
        <w:topLinePunct/>
        <w:adjustRightInd w:val="0"/>
        <w:snapToGrid w:val="0"/>
        <w:spacing w:line="360" w:lineRule="auto"/>
        <w:ind w:right="210" w:rightChars="100" w:firstLine="420" w:firstLineChars="200"/>
        <w:jc w:val="left"/>
        <w:rPr>
          <w:rFonts w:ascii="宋体" w:hAnsi="宋体" w:cs="宋体"/>
          <w:kern w:val="0"/>
          <w:szCs w:val="21"/>
          <w:highlight w:val="none"/>
        </w:rPr>
      </w:pPr>
      <w:r>
        <w:rPr>
          <w:rFonts w:hint="eastAsia" w:ascii="宋体" w:hAnsi="宋体" w:cs="宋体"/>
          <w:kern w:val="0"/>
          <w:szCs w:val="21"/>
          <w:highlight w:val="none"/>
        </w:rPr>
        <w:t>3、固定税率为13%，投标人不得更改（增值税为固定税率，由投标单位在“投标报价一览表”中填报增值税税率及金额；若投标人为小规模类型纳税人，须提供相关小规模类型纳税人证明文件，并自行填报符合国家规定的增值税税率）；</w:t>
      </w:r>
    </w:p>
    <w:p>
      <w:pPr>
        <w:topLinePunct/>
        <w:adjustRightInd w:val="0"/>
        <w:snapToGrid w:val="0"/>
        <w:spacing w:line="360" w:lineRule="auto"/>
        <w:ind w:right="210" w:rightChars="100" w:firstLine="420" w:firstLineChars="200"/>
        <w:jc w:val="left"/>
        <w:rPr>
          <w:rFonts w:ascii="宋体" w:hAnsi="宋体" w:cs="宋体"/>
          <w:kern w:val="0"/>
          <w:szCs w:val="21"/>
          <w:highlight w:val="none"/>
        </w:rPr>
      </w:pPr>
      <w:r>
        <w:rPr>
          <w:rFonts w:hint="eastAsia" w:ascii="宋体" w:hAnsi="宋体" w:cs="宋体"/>
          <w:kern w:val="0"/>
          <w:szCs w:val="21"/>
          <w:highlight w:val="none"/>
        </w:rPr>
        <w:t>4、设备规格型号及技术要求满足第三章项目需求；</w:t>
      </w:r>
    </w:p>
    <w:p>
      <w:pPr>
        <w:topLinePunct/>
        <w:adjustRightInd w:val="0"/>
        <w:snapToGrid w:val="0"/>
        <w:spacing w:line="360" w:lineRule="auto"/>
        <w:ind w:firstLine="420" w:firstLineChars="200"/>
        <w:jc w:val="left"/>
        <w:rPr>
          <w:szCs w:val="21"/>
          <w:highlight w:val="none"/>
        </w:rPr>
      </w:pPr>
      <w:r>
        <w:rPr>
          <w:rFonts w:hint="eastAsia" w:ascii="宋体" w:hAnsi="宋体" w:cs="宋体"/>
          <w:kern w:val="0"/>
          <w:szCs w:val="21"/>
          <w:highlight w:val="none"/>
        </w:rPr>
        <w:t>5、</w:t>
      </w:r>
      <w:r>
        <w:rPr>
          <w:rFonts w:hint="eastAsia"/>
          <w:szCs w:val="21"/>
          <w:highlight w:val="none"/>
        </w:rPr>
        <w:t>投标人应综合考虑企业自身情况及市场行情等因素，自主合理的填报报价。其中含税总价=含税单价×数量；投标合计总价=各分项含税总价之和；</w:t>
      </w:r>
    </w:p>
    <w:p>
      <w:pPr>
        <w:topLinePunct/>
        <w:adjustRightInd w:val="0"/>
        <w:snapToGrid w:val="0"/>
        <w:spacing w:line="360" w:lineRule="auto"/>
        <w:ind w:firstLine="420" w:firstLineChars="200"/>
        <w:jc w:val="left"/>
        <w:rPr>
          <w:rFonts w:ascii="宋体" w:hAnsi="宋体"/>
          <w:bCs/>
          <w:highlight w:val="none"/>
        </w:rPr>
      </w:pPr>
      <w:r>
        <w:rPr>
          <w:rFonts w:hint="eastAsia" w:ascii="宋体" w:hAnsi="宋体"/>
          <w:bCs/>
          <w:highlight w:val="none"/>
        </w:rPr>
        <w:t>6、若投标合计总价与各分项含税总价之和金额不一致的，以各分项含税总价之和金额为准；若含税总价与经含税单价与数量的乘积金额不一致的，以含税单价计算后的价格为准；</w:t>
      </w:r>
    </w:p>
    <w:p>
      <w:pPr>
        <w:topLinePunct/>
        <w:adjustRightInd w:val="0"/>
        <w:snapToGrid w:val="0"/>
        <w:spacing w:line="360" w:lineRule="auto"/>
        <w:ind w:right="210" w:rightChars="100" w:firstLine="420" w:firstLineChars="200"/>
        <w:jc w:val="left"/>
        <w:rPr>
          <w:rFonts w:ascii="宋体" w:hAnsi="宋体" w:cs="宋体"/>
          <w:kern w:val="0"/>
          <w:szCs w:val="21"/>
          <w:highlight w:val="none"/>
        </w:rPr>
      </w:pPr>
      <w:r>
        <w:rPr>
          <w:rFonts w:ascii="宋体" w:hAnsi="宋体" w:cs="宋体"/>
          <w:kern w:val="0"/>
          <w:szCs w:val="21"/>
          <w:highlight w:val="none"/>
        </w:rPr>
        <w:t>7</w:t>
      </w:r>
      <w:r>
        <w:rPr>
          <w:rFonts w:hint="eastAsia" w:ascii="宋体" w:hAnsi="宋体" w:cs="宋体"/>
          <w:kern w:val="0"/>
          <w:szCs w:val="21"/>
          <w:highlight w:val="none"/>
        </w:rPr>
        <w:t>、招标人不承诺选择投标报价最低的投标人；</w:t>
      </w:r>
    </w:p>
    <w:p>
      <w:pPr>
        <w:spacing w:line="360" w:lineRule="auto"/>
        <w:ind w:firstLine="420" w:firstLineChars="200"/>
        <w:jc w:val="left"/>
        <w:rPr>
          <w:rFonts w:ascii="宋体" w:hAnsi="宋体"/>
          <w:szCs w:val="21"/>
          <w:highlight w:val="none"/>
        </w:rPr>
      </w:pPr>
      <w:r>
        <w:rPr>
          <w:rFonts w:hint="eastAsia" w:ascii="宋体" w:hAnsi="宋体"/>
          <w:szCs w:val="21"/>
          <w:highlight w:val="none"/>
        </w:rPr>
        <w:t>8、不得对采购清单的项目或数量进行修改。投标人的投标报价如果出现缺项、漏项或是修改了本招标项目“货物需求及数量一览表”中列明项目的数量情况的，招标人按照不利于该投标人的原则进行调整，且投标人不得因此提出任何异议；</w:t>
      </w:r>
    </w:p>
    <w:p>
      <w:pPr>
        <w:pStyle w:val="25"/>
        <w:spacing w:line="360" w:lineRule="auto"/>
        <w:ind w:firstLine="400" w:firstLineChars="200"/>
        <w:rPr>
          <w:rFonts w:ascii="宋体" w:hAnsi="宋体" w:cs="宋体"/>
          <w:szCs w:val="21"/>
          <w:highlight w:val="none"/>
        </w:rPr>
      </w:pPr>
      <w:r>
        <w:rPr>
          <w:rFonts w:ascii="宋体" w:hAnsi="宋体" w:cs="宋体"/>
          <w:szCs w:val="21"/>
          <w:highlight w:val="none"/>
        </w:rPr>
        <w:t>9</w:t>
      </w:r>
      <w:r>
        <w:rPr>
          <w:rFonts w:hint="eastAsia" w:ascii="宋体" w:hAnsi="宋体" w:cs="宋体"/>
          <w:szCs w:val="21"/>
          <w:highlight w:val="none"/>
        </w:rPr>
        <w:t>、后期如投标人中标，则须按第一次投标报价所填报的设备材料品牌进行采购，品牌以第一次投标报价时填报的品牌为准。</w:t>
      </w:r>
    </w:p>
    <w:p>
      <w:pPr>
        <w:rPr>
          <w:highlight w:val="none"/>
        </w:rPr>
      </w:pPr>
    </w:p>
    <w:p>
      <w:pPr>
        <w:rPr>
          <w:highlight w:val="none"/>
        </w:rPr>
      </w:pPr>
    </w:p>
    <w:p>
      <w:pPr>
        <w:pStyle w:val="333"/>
        <w:widowControl w:val="0"/>
        <w:adjustRightInd w:val="0"/>
        <w:snapToGrid w:val="0"/>
        <w:spacing w:before="0" w:beforeAutospacing="0" w:after="0" w:afterAutospacing="0" w:line="360" w:lineRule="auto"/>
        <w:jc w:val="center"/>
        <w:rPr>
          <w:snapToGrid w:val="0"/>
          <w:sz w:val="21"/>
          <w:szCs w:val="21"/>
          <w:highlight w:val="none"/>
        </w:rPr>
      </w:pPr>
    </w:p>
    <w:p>
      <w:pPr>
        <w:pStyle w:val="333"/>
        <w:widowControl w:val="0"/>
        <w:adjustRightInd w:val="0"/>
        <w:snapToGrid w:val="0"/>
        <w:spacing w:before="0" w:beforeAutospacing="0" w:after="0" w:afterAutospacing="0" w:line="360" w:lineRule="auto"/>
        <w:jc w:val="center"/>
        <w:rPr>
          <w:snapToGrid w:val="0"/>
          <w:sz w:val="21"/>
          <w:szCs w:val="21"/>
          <w:highlight w:val="none"/>
        </w:rPr>
      </w:pPr>
      <w:r>
        <w:rPr>
          <w:rFonts w:hint="eastAsia"/>
          <w:snapToGrid w:val="0"/>
          <w:sz w:val="21"/>
          <w:szCs w:val="21"/>
          <w:highlight w:val="none"/>
        </w:rPr>
        <w:t xml:space="preserve">投标单位（盖章）：                        </w:t>
      </w:r>
    </w:p>
    <w:p>
      <w:pPr>
        <w:pStyle w:val="205"/>
        <w:spacing w:line="360" w:lineRule="auto"/>
        <w:jc w:val="center"/>
        <w:rPr>
          <w:rFonts w:hint="eastAsia" w:ascii="宋体" w:hAnsi="宋体" w:eastAsia="宋体" w:cs="宋体"/>
          <w:snapToGrid w:val="0"/>
          <w:kern w:val="2"/>
          <w:sz w:val="21"/>
          <w:szCs w:val="21"/>
          <w:highlight w:val="none"/>
          <w:lang w:val="en-US" w:eastAsia="zh-CN" w:bidi="ar-SA"/>
        </w:rPr>
      </w:pPr>
      <w:r>
        <w:rPr>
          <w:rFonts w:hint="eastAsia" w:ascii="宋体" w:hAnsi="宋体" w:cs="宋体"/>
          <w:snapToGrid w:val="0"/>
          <w:szCs w:val="21"/>
          <w:highlight w:val="none"/>
        </w:rPr>
        <w:t xml:space="preserve">                    法定代表人或委托代理人（签名或签章）：</w:t>
      </w:r>
    </w:p>
    <w:p>
      <w:pPr>
        <w:pStyle w:val="202"/>
        <w:widowControl w:val="0"/>
        <w:spacing w:before="0" w:beforeAutospacing="0" w:after="0" w:afterAutospacing="0" w:line="360" w:lineRule="auto"/>
        <w:jc w:val="center"/>
        <w:rPr>
          <w:rFonts w:hint="eastAsia" w:ascii="宋体" w:hAnsi="宋体" w:eastAsia="宋体" w:cs="宋体"/>
          <w:b/>
          <w:bCs/>
          <w:snapToGrid w:val="0"/>
          <w:sz w:val="21"/>
          <w:szCs w:val="21"/>
          <w:highlight w:val="none"/>
        </w:rPr>
      </w:pPr>
      <w:r>
        <w:rPr>
          <w:rFonts w:hint="eastAsia" w:ascii="宋体" w:hAnsi="宋体" w:eastAsia="宋体" w:cs="宋体"/>
          <w:snapToGrid w:val="0"/>
          <w:kern w:val="2"/>
          <w:sz w:val="21"/>
          <w:szCs w:val="21"/>
          <w:highlight w:val="none"/>
          <w:lang w:val="en-US" w:eastAsia="zh-CN" w:bidi="ar-SA"/>
        </w:rPr>
        <w:t xml:space="preserve">                               日   期：  年   月   日</w:t>
      </w:r>
    </w:p>
    <w:bookmarkEnd w:id="5"/>
    <w:p>
      <w:pPr>
        <w:pStyle w:val="26"/>
        <w:spacing w:before="120" w:after="120"/>
        <w:jc w:val="both"/>
        <w:rPr>
          <w:rFonts w:hint="eastAsia" w:ascii="宋体" w:hAnsi="宋体" w:eastAsia="宋体" w:cs="宋体"/>
          <w:sz w:val="21"/>
          <w:szCs w:val="21"/>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Dotum">
    <w:altName w:val="Malgun Gothic"/>
    <w:panose1 w:val="020B0600000101010101"/>
    <w:charset w:val="81"/>
    <w:family w:val="swiss"/>
    <w:pitch w:val="default"/>
    <w:sig w:usb0="00000000" w:usb1="00000000" w:usb2="00000030" w:usb3="00000000" w:csb0="4008009F" w:csb1="DFD70000"/>
  </w:font>
  <w:font w:name="PMingLiU">
    <w:altName w:val="PMingLiU-ExtB"/>
    <w:panose1 w:val="02020500000000000000"/>
    <w:charset w:val="88"/>
    <w:family w:val="roman"/>
    <w:pitch w:val="default"/>
    <w:sig w:usb0="00000000" w:usb1="00000000" w:usb2="00000016" w:usb3="00000000" w:csb0="00100001" w:csb1="00000000"/>
  </w:font>
  <w:font w:name="Plotter">
    <w:altName w:val="Lucida Console"/>
    <w:panose1 w:val="00000000000000000000"/>
    <w:charset w:val="00"/>
    <w:family w:val="moder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oú">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Grundfos TheSans">
    <w:altName w:val="Segoe Print"/>
    <w:panose1 w:val="00000000000000000000"/>
    <w:charset w:val="00"/>
    <w:family w:val="swiss"/>
    <w:pitch w:val="default"/>
    <w:sig w:usb0="00000000" w:usb1="00000000" w:usb2="00000000" w:usb3="00000000" w:csb0="00000001" w:csb1="00000000"/>
  </w:font>
  <w:font w:name="华文中宋">
    <w:altName w:val="宋体"/>
    <w:panose1 w:val="00000000000000000000"/>
    <w:charset w:val="00"/>
    <w:family w:val="auto"/>
    <w:pitch w:val="default"/>
    <w:sig w:usb0="00000000" w:usb1="00000000" w:usb2="00000000" w:usb3="00000000" w:csb0="0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7P0DM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cFp7Eb0dHADz++H+5/&#10;HX5+Y7MgT29dTll3lvL88BoGMk2k6uwtyC+OGbhphNmoa0ToGyUqai9WZg9KE44LIGX/Dip6R2w9&#10;RKChxi5oR2owQqfR7E+jUYNnkg7nFxeXc84k3cxezs7P56G1TORjrUXn3yjoWAgKjjT4iC12t86n&#10;1DElPGVgrds2Dr81fx0QZjpR0T3H6sAkNJ9o+KEcjsqUUO2JE0JyFv0rChrAr5z15KqCG/pEnLVv&#10;DakSDDgGOAblGAgjqbDgnrMU3vhk1K1FvWkId9T9mpRb60grNJZ6IDnChnwShTl6Ohjx4T5m/fnH&#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vs/QMw4CAAAPBAAADgAAAAAAAAABACAAAAAf&#10;AQAAZHJzL2Uyb0RvYy54bWxQSwUGAAAAAAYABgBZAQAAnwUAAAAA&#10;">
              <v:fill on="f" focussize="0,0"/>
              <v:stroke on="f"/>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&#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Ickdt0PAgAAEAQAAA4AAAAAAAAAAQAgAAAA&#10;HwEAAGRycy9lMm9Eb2MueG1sUEsFBgAAAAAGAAYAWQEAAKAFAAAAAA==&#10;">
              <v:fill on="f" focussize="0,0"/>
              <v:stroke on="f"/>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BEF5A"/>
    <w:multiLevelType w:val="multilevel"/>
    <w:tmpl w:val="844BEF5A"/>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92ADCB26"/>
    <w:multiLevelType w:val="singleLevel"/>
    <w:tmpl w:val="92ADCB26"/>
    <w:lvl w:ilvl="0" w:tentative="0">
      <w:start w:val="2"/>
      <w:numFmt w:val="decimal"/>
      <w:suff w:val="nothing"/>
      <w:lvlText w:val="%1、"/>
      <w:lvlJc w:val="left"/>
    </w:lvl>
  </w:abstractNum>
  <w:abstractNum w:abstractNumId="2">
    <w:nsid w:val="9848FC9D"/>
    <w:multiLevelType w:val="multilevel"/>
    <w:tmpl w:val="9848FC9D"/>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B4176025"/>
    <w:multiLevelType w:val="multilevel"/>
    <w:tmpl w:val="B4176025"/>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C2C14D8D"/>
    <w:multiLevelType w:val="multilevel"/>
    <w:tmpl w:val="C2C14D8D"/>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E77A1C1C"/>
    <w:multiLevelType w:val="multilevel"/>
    <w:tmpl w:val="E77A1C1C"/>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F9D3F38"/>
    <w:multiLevelType w:val="multilevel"/>
    <w:tmpl w:val="0F9D3F38"/>
    <w:lvl w:ilvl="0" w:tentative="0">
      <w:start w:val="1"/>
      <w:numFmt w:val="decimal"/>
      <w:suff w:val="nothing"/>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22A15D3"/>
    <w:multiLevelType w:val="multilevel"/>
    <w:tmpl w:val="122A15D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C697F1E"/>
    <w:multiLevelType w:val="multilevel"/>
    <w:tmpl w:val="2C697F1E"/>
    <w:lvl w:ilvl="0" w:tentative="0">
      <w:start w:val="1"/>
      <w:numFmt w:val="decimal"/>
      <w:suff w:val="nothing"/>
      <w:lvlText w:val="（%1）"/>
      <w:lvlJc w:val="left"/>
      <w:pPr>
        <w:ind w:left="0" w:firstLine="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D76360D"/>
    <w:multiLevelType w:val="multilevel"/>
    <w:tmpl w:val="2D76360D"/>
    <w:lvl w:ilvl="0" w:tentative="0">
      <w:start w:val="1"/>
      <w:numFmt w:val="bullet"/>
      <w:lvlText w:val="•"/>
      <w:lvlJc w:val="left"/>
      <w:pPr>
        <w:ind w:left="840" w:hanging="420"/>
      </w:pPr>
      <w:rPr>
        <w:rFonts w:hint="default" w:ascii="Grundfos TheSans" w:hAnsi="Grundfos TheSan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31DB5E77"/>
    <w:multiLevelType w:val="multilevel"/>
    <w:tmpl w:val="31DB5E77"/>
    <w:lvl w:ilvl="0" w:tentative="0">
      <w:start w:val="1"/>
      <w:numFmt w:val="bullet"/>
      <w:lvlText w:val="•"/>
      <w:lvlJc w:val="left"/>
      <w:pPr>
        <w:ind w:left="840" w:hanging="420"/>
      </w:pPr>
      <w:rPr>
        <w:rFonts w:hint="default" w:ascii="Grundfos TheSans" w:hAnsi="Grundfos TheSan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3673AC60"/>
    <w:multiLevelType w:val="multilevel"/>
    <w:tmpl w:val="3673AC60"/>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425A7FC"/>
    <w:multiLevelType w:val="singleLevel"/>
    <w:tmpl w:val="4425A7FC"/>
    <w:lvl w:ilvl="0" w:tentative="0">
      <w:start w:val="3"/>
      <w:numFmt w:val="chineseCounting"/>
      <w:suff w:val="nothing"/>
      <w:lvlText w:val="%1、"/>
      <w:lvlJc w:val="left"/>
      <w:rPr>
        <w:rFonts w:hint="eastAsia"/>
      </w:rPr>
    </w:lvl>
  </w:abstractNum>
  <w:abstractNum w:abstractNumId="13">
    <w:nsid w:val="4E513811"/>
    <w:multiLevelType w:val="multilevel"/>
    <w:tmpl w:val="4E513811"/>
    <w:lvl w:ilvl="0" w:tentative="0">
      <w:start w:val="1"/>
      <w:numFmt w:val="decimal"/>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610B3E12"/>
    <w:multiLevelType w:val="multilevel"/>
    <w:tmpl w:val="610B3E12"/>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23B04EB"/>
    <w:multiLevelType w:val="multilevel"/>
    <w:tmpl w:val="723B04EB"/>
    <w:lvl w:ilvl="0" w:tentative="0">
      <w:start w:val="1"/>
      <w:numFmt w:val="bullet"/>
      <w:lvlText w:val="•"/>
      <w:lvlJc w:val="left"/>
      <w:pPr>
        <w:ind w:left="840" w:hanging="420"/>
      </w:pPr>
      <w:rPr>
        <w:rFonts w:hint="default" w:ascii="Grundfos TheSans" w:hAnsi="Grundfos TheSan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7A044A37"/>
    <w:multiLevelType w:val="singleLevel"/>
    <w:tmpl w:val="7A044A37"/>
    <w:lvl w:ilvl="0" w:tentative="0">
      <w:start w:val="4"/>
      <w:numFmt w:val="chineseCounting"/>
      <w:suff w:val="nothing"/>
      <w:lvlText w:val="%1、"/>
      <w:lvlJc w:val="left"/>
      <w:rPr>
        <w:rFonts w:hint="eastAsia"/>
      </w:rPr>
    </w:lvl>
  </w:abstractNum>
  <w:abstractNum w:abstractNumId="17">
    <w:nsid w:val="7E12A8AB"/>
    <w:multiLevelType w:val="multilevel"/>
    <w:tmpl w:val="7E12A8AB"/>
    <w:lvl w:ilvl="0" w:tentative="0">
      <w:start w:val="1"/>
      <w:numFmt w:val="decimal"/>
      <w:suff w:val="nothing"/>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2"/>
  </w:num>
  <w:num w:numId="2">
    <w:abstractNumId w:val="8"/>
  </w:num>
  <w:num w:numId="3">
    <w:abstractNumId w:val="14"/>
  </w:num>
  <w:num w:numId="4">
    <w:abstractNumId w:val="7"/>
  </w:num>
  <w:num w:numId="5">
    <w:abstractNumId w:val="13"/>
  </w:num>
  <w:num w:numId="6">
    <w:abstractNumId w:val="17"/>
  </w:num>
  <w:num w:numId="7">
    <w:abstractNumId w:val="2"/>
  </w:num>
  <w:num w:numId="8">
    <w:abstractNumId w:val="6"/>
  </w:num>
  <w:num w:numId="9">
    <w:abstractNumId w:val="11"/>
  </w:num>
  <w:num w:numId="10">
    <w:abstractNumId w:val="3"/>
  </w:num>
  <w:num w:numId="11">
    <w:abstractNumId w:val="4"/>
  </w:num>
  <w:num w:numId="12">
    <w:abstractNumId w:val="0"/>
  </w:num>
  <w:num w:numId="13">
    <w:abstractNumId w:val="5"/>
  </w:num>
  <w:num w:numId="14">
    <w:abstractNumId w:val="9"/>
  </w:num>
  <w:num w:numId="15">
    <w:abstractNumId w:val="15"/>
  </w:num>
  <w:num w:numId="16">
    <w:abstractNumId w:val="10"/>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ZGI4MGI3NzJjNmEwMDE4OTJjODljOGU3MjlkNmIifQ=="/>
  </w:docVars>
  <w:rsids>
    <w:rsidRoot w:val="00B03607"/>
    <w:rsid w:val="00150B5E"/>
    <w:rsid w:val="0018441C"/>
    <w:rsid w:val="001929DC"/>
    <w:rsid w:val="001B01E2"/>
    <w:rsid w:val="002D7C17"/>
    <w:rsid w:val="00532C59"/>
    <w:rsid w:val="00547AC4"/>
    <w:rsid w:val="00566984"/>
    <w:rsid w:val="00573B5C"/>
    <w:rsid w:val="005754EE"/>
    <w:rsid w:val="006D1D6E"/>
    <w:rsid w:val="008A08B7"/>
    <w:rsid w:val="008D7989"/>
    <w:rsid w:val="00990905"/>
    <w:rsid w:val="00B03607"/>
    <w:rsid w:val="00C56B13"/>
    <w:rsid w:val="00C63823"/>
    <w:rsid w:val="00CF49C4"/>
    <w:rsid w:val="00F51C67"/>
    <w:rsid w:val="05C04058"/>
    <w:rsid w:val="05CF5FA2"/>
    <w:rsid w:val="07741730"/>
    <w:rsid w:val="0795047D"/>
    <w:rsid w:val="07D25364"/>
    <w:rsid w:val="08087B89"/>
    <w:rsid w:val="082631CD"/>
    <w:rsid w:val="08482E4D"/>
    <w:rsid w:val="09767C43"/>
    <w:rsid w:val="0A0D3A5D"/>
    <w:rsid w:val="0A653592"/>
    <w:rsid w:val="0C864ED5"/>
    <w:rsid w:val="0C9B6BDE"/>
    <w:rsid w:val="0D312868"/>
    <w:rsid w:val="1044175D"/>
    <w:rsid w:val="11254F3E"/>
    <w:rsid w:val="113373E5"/>
    <w:rsid w:val="11F038E8"/>
    <w:rsid w:val="122B54D5"/>
    <w:rsid w:val="123F559D"/>
    <w:rsid w:val="14B24EF2"/>
    <w:rsid w:val="15862255"/>
    <w:rsid w:val="161D1E9E"/>
    <w:rsid w:val="194D7B11"/>
    <w:rsid w:val="19C74B38"/>
    <w:rsid w:val="1B6E4546"/>
    <w:rsid w:val="1C144669"/>
    <w:rsid w:val="1C5C1A19"/>
    <w:rsid w:val="2028736E"/>
    <w:rsid w:val="21C840A9"/>
    <w:rsid w:val="23136622"/>
    <w:rsid w:val="23786ABD"/>
    <w:rsid w:val="23E77CFC"/>
    <w:rsid w:val="26F46E24"/>
    <w:rsid w:val="277F098D"/>
    <w:rsid w:val="283E7F79"/>
    <w:rsid w:val="28AA336F"/>
    <w:rsid w:val="28EE1BC0"/>
    <w:rsid w:val="290D4977"/>
    <w:rsid w:val="29493246"/>
    <w:rsid w:val="29FC6EAF"/>
    <w:rsid w:val="2AAD009F"/>
    <w:rsid w:val="2C200E98"/>
    <w:rsid w:val="2D4935E1"/>
    <w:rsid w:val="2D674D7C"/>
    <w:rsid w:val="2FA20DA3"/>
    <w:rsid w:val="2FF96415"/>
    <w:rsid w:val="307A26CF"/>
    <w:rsid w:val="30891FE2"/>
    <w:rsid w:val="31635847"/>
    <w:rsid w:val="31922BBC"/>
    <w:rsid w:val="32E111B2"/>
    <w:rsid w:val="352A0F39"/>
    <w:rsid w:val="35620FCD"/>
    <w:rsid w:val="35BD60CC"/>
    <w:rsid w:val="361810E5"/>
    <w:rsid w:val="36E73B9F"/>
    <w:rsid w:val="3796094E"/>
    <w:rsid w:val="3BAE03FF"/>
    <w:rsid w:val="3C207A8D"/>
    <w:rsid w:val="3C402840"/>
    <w:rsid w:val="3D046583"/>
    <w:rsid w:val="3D347402"/>
    <w:rsid w:val="3E8A2703"/>
    <w:rsid w:val="3EAA5719"/>
    <w:rsid w:val="3ECB0CC9"/>
    <w:rsid w:val="4140713A"/>
    <w:rsid w:val="42301469"/>
    <w:rsid w:val="441948C4"/>
    <w:rsid w:val="45197DA2"/>
    <w:rsid w:val="46061DE6"/>
    <w:rsid w:val="46323601"/>
    <w:rsid w:val="47591158"/>
    <w:rsid w:val="48446076"/>
    <w:rsid w:val="49307D6A"/>
    <w:rsid w:val="4A0C3AF4"/>
    <w:rsid w:val="4A516C00"/>
    <w:rsid w:val="4B503256"/>
    <w:rsid w:val="4C860CBE"/>
    <w:rsid w:val="4E12725E"/>
    <w:rsid w:val="4FF817BD"/>
    <w:rsid w:val="50533104"/>
    <w:rsid w:val="518E3BE9"/>
    <w:rsid w:val="51CB1600"/>
    <w:rsid w:val="52792935"/>
    <w:rsid w:val="54092E70"/>
    <w:rsid w:val="5524389A"/>
    <w:rsid w:val="56EB73E7"/>
    <w:rsid w:val="57B837B9"/>
    <w:rsid w:val="57CA7FC1"/>
    <w:rsid w:val="592112D1"/>
    <w:rsid w:val="5A6F3122"/>
    <w:rsid w:val="5A704325"/>
    <w:rsid w:val="5C7B55EF"/>
    <w:rsid w:val="5D5E7153"/>
    <w:rsid w:val="5D9A30FC"/>
    <w:rsid w:val="5F0313D1"/>
    <w:rsid w:val="5FB236C5"/>
    <w:rsid w:val="60565E10"/>
    <w:rsid w:val="60975A29"/>
    <w:rsid w:val="61392E79"/>
    <w:rsid w:val="61CA02F2"/>
    <w:rsid w:val="620B106D"/>
    <w:rsid w:val="640F2A78"/>
    <w:rsid w:val="64FE4185"/>
    <w:rsid w:val="652E1708"/>
    <w:rsid w:val="66737207"/>
    <w:rsid w:val="667E7936"/>
    <w:rsid w:val="67857CB8"/>
    <w:rsid w:val="68DA6FCD"/>
    <w:rsid w:val="6A38073E"/>
    <w:rsid w:val="6A3835A5"/>
    <w:rsid w:val="6AA40EB4"/>
    <w:rsid w:val="6AEA51D3"/>
    <w:rsid w:val="6BAF5A14"/>
    <w:rsid w:val="6D325E9C"/>
    <w:rsid w:val="6E8D1DF3"/>
    <w:rsid w:val="6E8E41BD"/>
    <w:rsid w:val="6EEC0CE8"/>
    <w:rsid w:val="6F2D7B42"/>
    <w:rsid w:val="6F5D402B"/>
    <w:rsid w:val="705A1A70"/>
    <w:rsid w:val="707E2959"/>
    <w:rsid w:val="716C3FF0"/>
    <w:rsid w:val="73DC5EC2"/>
    <w:rsid w:val="73F43927"/>
    <w:rsid w:val="744D18AF"/>
    <w:rsid w:val="74B8756A"/>
    <w:rsid w:val="757C0106"/>
    <w:rsid w:val="76254018"/>
    <w:rsid w:val="76CF2557"/>
    <w:rsid w:val="76E301C1"/>
    <w:rsid w:val="775F555C"/>
    <w:rsid w:val="77976566"/>
    <w:rsid w:val="7813304A"/>
    <w:rsid w:val="78F7589C"/>
    <w:rsid w:val="7AAD51B9"/>
    <w:rsid w:val="7B154BFC"/>
    <w:rsid w:val="7C15063B"/>
    <w:rsid w:val="7D88789C"/>
    <w:rsid w:val="7DE33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35" w:semiHidden="0" w:name="caption"/>
    <w:lsdException w:qFormat="1" w:unhideWhenUsed="0" w:uiPriority="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99" w:semiHidden="0"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iPriority="99" w:semiHidden="0" w:name="Signature"/>
    <w:lsdException w:qFormat="1" w:uiPriority="1" w:name="Default Paragraph Font"/>
    <w:lsdException w:qFormat="1" w:unhideWhenUsed="0" w:uiPriority="99" w:semiHidden="0" w:name="Body Text"/>
    <w:lsdException w:qFormat="1" w:uiPriority="99" w:semiHidden="0" w:name="Body Text Indent"/>
    <w:lsdException w:qFormat="1" w:unhideWhenUsed="0" w:uiPriority="0" w:semiHidden="0"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qFormat="1" w:uiPriority="0" w:semiHidden="0" w:name="Note Heading"/>
    <w:lsdException w:qFormat="1" w:uiPriority="99"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nhideWhenUsed="0"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5"/>
    <w:autoRedefine/>
    <w:qFormat/>
    <w:uiPriority w:val="9"/>
    <w:pPr>
      <w:spacing w:before="120" w:after="120" w:line="240" w:lineRule="auto"/>
      <w:jc w:val="center"/>
      <w:outlineLvl w:val="0"/>
    </w:pPr>
    <w:rPr>
      <w:kern w:val="44"/>
    </w:rPr>
  </w:style>
  <w:style w:type="paragraph" w:styleId="7">
    <w:name w:val="heading 2"/>
    <w:basedOn w:val="1"/>
    <w:next w:val="1"/>
    <w:link w:val="74"/>
    <w:autoRedefine/>
    <w:qFormat/>
    <w:uiPriority w:val="9"/>
    <w:pPr>
      <w:keepNext/>
      <w:keepLines/>
      <w:spacing w:before="260" w:after="260" w:line="416" w:lineRule="auto"/>
      <w:outlineLvl w:val="1"/>
    </w:pPr>
    <w:rPr>
      <w:rFonts w:ascii="Arial" w:hAnsi="Arial" w:eastAsia="黑体"/>
      <w:b/>
      <w:bCs/>
      <w:kern w:val="0"/>
      <w:sz w:val="32"/>
      <w:szCs w:val="32"/>
    </w:rPr>
  </w:style>
  <w:style w:type="paragraph" w:styleId="8">
    <w:name w:val="heading 3"/>
    <w:basedOn w:val="1"/>
    <w:next w:val="1"/>
    <w:link w:val="76"/>
    <w:autoRedefine/>
    <w:qFormat/>
    <w:uiPriority w:val="0"/>
    <w:pPr>
      <w:keepNext/>
      <w:keepLines/>
      <w:spacing w:before="260" w:after="260" w:line="416" w:lineRule="auto"/>
      <w:outlineLvl w:val="2"/>
    </w:pPr>
    <w:rPr>
      <w:b/>
      <w:bCs/>
      <w:kern w:val="0"/>
      <w:sz w:val="32"/>
      <w:szCs w:val="32"/>
    </w:rPr>
  </w:style>
  <w:style w:type="paragraph" w:styleId="9">
    <w:name w:val="heading 4"/>
    <w:basedOn w:val="1"/>
    <w:next w:val="1"/>
    <w:link w:val="77"/>
    <w:autoRedefine/>
    <w:qFormat/>
    <w:uiPriority w:val="9"/>
    <w:pPr>
      <w:keepNext/>
      <w:keepLines/>
      <w:spacing w:before="280" w:after="290" w:line="376" w:lineRule="auto"/>
      <w:outlineLvl w:val="3"/>
    </w:pPr>
    <w:rPr>
      <w:rFonts w:ascii="Arial" w:hAnsi="Arial" w:eastAsia="黑体"/>
      <w:b/>
      <w:bCs/>
      <w:kern w:val="0"/>
      <w:sz w:val="28"/>
      <w:szCs w:val="28"/>
    </w:rPr>
  </w:style>
  <w:style w:type="paragraph" w:styleId="10">
    <w:name w:val="heading 5"/>
    <w:basedOn w:val="1"/>
    <w:next w:val="11"/>
    <w:link w:val="78"/>
    <w:autoRedefine/>
    <w:qFormat/>
    <w:uiPriority w:val="9"/>
    <w:pPr>
      <w:tabs>
        <w:tab w:val="left" w:pos="2520"/>
      </w:tabs>
      <w:adjustRightInd w:val="0"/>
      <w:spacing w:line="360" w:lineRule="auto"/>
      <w:ind w:left="480" w:leftChars="200"/>
      <w:jc w:val="left"/>
      <w:outlineLvl w:val="4"/>
    </w:pPr>
    <w:rPr>
      <w:rFonts w:ascii="宋体"/>
      <w:b/>
      <w:bCs/>
      <w:kern w:val="0"/>
      <w:sz w:val="24"/>
      <w:lang w:val="zh-CN"/>
    </w:rPr>
  </w:style>
  <w:style w:type="paragraph" w:styleId="12">
    <w:name w:val="heading 6"/>
    <w:basedOn w:val="1"/>
    <w:next w:val="11"/>
    <w:link w:val="80"/>
    <w:autoRedefine/>
    <w:qFormat/>
    <w:uiPriority w:val="9"/>
    <w:pPr>
      <w:spacing w:line="360" w:lineRule="auto"/>
      <w:ind w:firstLine="200" w:firstLineChars="200"/>
      <w:jc w:val="left"/>
      <w:outlineLvl w:val="5"/>
    </w:pPr>
    <w:rPr>
      <w:rFonts w:ascii="宋体" w:hAnsi="Arial"/>
      <w:sz w:val="24"/>
      <w:szCs w:val="20"/>
      <w:lang w:val="zh-CN"/>
    </w:rPr>
  </w:style>
  <w:style w:type="paragraph" w:styleId="13">
    <w:name w:val="heading 7"/>
    <w:basedOn w:val="1"/>
    <w:next w:val="11"/>
    <w:link w:val="81"/>
    <w:autoRedefine/>
    <w:qFormat/>
    <w:uiPriority w:val="9"/>
    <w:pPr>
      <w:adjustRightInd w:val="0"/>
      <w:spacing w:line="360" w:lineRule="auto"/>
      <w:ind w:firstLine="200" w:firstLineChars="200"/>
      <w:jc w:val="left"/>
      <w:outlineLvl w:val="6"/>
    </w:pPr>
    <w:rPr>
      <w:kern w:val="28"/>
      <w:sz w:val="24"/>
      <w:szCs w:val="20"/>
      <w:lang w:val="zh-CN"/>
    </w:rPr>
  </w:style>
  <w:style w:type="paragraph" w:styleId="14">
    <w:name w:val="heading 8"/>
    <w:basedOn w:val="1"/>
    <w:next w:val="1"/>
    <w:link w:val="82"/>
    <w:autoRedefine/>
    <w:qFormat/>
    <w:uiPriority w:val="9"/>
    <w:pPr>
      <w:keepNext/>
      <w:keepLines/>
      <w:spacing w:before="240" w:after="64" w:line="320" w:lineRule="auto"/>
      <w:outlineLvl w:val="7"/>
    </w:pPr>
    <w:rPr>
      <w:rFonts w:ascii="Cambria" w:hAnsi="Cambria"/>
      <w:kern w:val="0"/>
      <w:sz w:val="24"/>
    </w:rPr>
  </w:style>
  <w:style w:type="paragraph" w:styleId="15">
    <w:name w:val="heading 9"/>
    <w:basedOn w:val="1"/>
    <w:next w:val="1"/>
    <w:link w:val="83"/>
    <w:autoRedefine/>
    <w:qFormat/>
    <w:uiPriority w:val="9"/>
    <w:pPr>
      <w:keepNext/>
      <w:spacing w:line="440" w:lineRule="exact"/>
      <w:outlineLvl w:val="8"/>
    </w:pPr>
    <w:rPr>
      <w:rFonts w:ascii="宋体" w:hAnsi="宋体"/>
      <w:sz w:val="28"/>
      <w:lang w:val="zh-CN"/>
    </w:rPr>
  </w:style>
  <w:style w:type="character" w:default="1" w:styleId="61">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04"/>
    <w:autoRedefine/>
    <w:unhideWhenUsed/>
    <w:qFormat/>
    <w:uiPriority w:val="99"/>
    <w:pPr>
      <w:ind w:firstLine="420" w:firstLineChars="200"/>
    </w:pPr>
  </w:style>
  <w:style w:type="paragraph" w:styleId="3">
    <w:name w:val="Body Text Indent"/>
    <w:basedOn w:val="1"/>
    <w:next w:val="4"/>
    <w:link w:val="89"/>
    <w:autoRedefine/>
    <w:unhideWhenUsed/>
    <w:qFormat/>
    <w:uiPriority w:val="99"/>
    <w:pPr>
      <w:spacing w:after="120"/>
      <w:ind w:left="420" w:leftChars="200"/>
    </w:pPr>
  </w:style>
  <w:style w:type="paragraph" w:styleId="4">
    <w:name w:val="annotation text"/>
    <w:basedOn w:val="1"/>
    <w:next w:val="5"/>
    <w:link w:val="87"/>
    <w:autoRedefine/>
    <w:qFormat/>
    <w:uiPriority w:val="0"/>
    <w:pPr>
      <w:jc w:val="left"/>
    </w:pPr>
    <w:rPr>
      <w:kern w:val="0"/>
      <w:sz w:val="20"/>
    </w:rPr>
  </w:style>
  <w:style w:type="paragraph" w:styleId="5">
    <w:name w:val="toc 8"/>
    <w:basedOn w:val="1"/>
    <w:next w:val="1"/>
    <w:autoRedefine/>
    <w:unhideWhenUsed/>
    <w:qFormat/>
    <w:uiPriority w:val="39"/>
    <w:pPr>
      <w:ind w:left="1470"/>
      <w:jc w:val="left"/>
    </w:pPr>
    <w:rPr>
      <w:rFonts w:ascii="Calibri" w:hAnsi="Calibri"/>
      <w:sz w:val="18"/>
      <w:szCs w:val="18"/>
    </w:rPr>
  </w:style>
  <w:style w:type="paragraph" w:customStyle="1" w:styleId="11">
    <w:name w:val="左对齐正文"/>
    <w:basedOn w:val="1"/>
    <w:link w:val="79"/>
    <w:autoRedefine/>
    <w:qFormat/>
    <w:uiPriority w:val="0"/>
    <w:pPr>
      <w:ind w:firstLine="200" w:firstLineChars="200"/>
      <w:jc w:val="left"/>
    </w:pPr>
    <w:rPr>
      <w:rFonts w:hAnsi="宋体"/>
      <w:kern w:val="0"/>
      <w:szCs w:val="28"/>
      <w:lang w:val="zh-CN"/>
    </w:rPr>
  </w:style>
  <w:style w:type="paragraph" w:styleId="16">
    <w:name w:val="toc 7"/>
    <w:basedOn w:val="1"/>
    <w:next w:val="1"/>
    <w:autoRedefine/>
    <w:unhideWhenUsed/>
    <w:qFormat/>
    <w:uiPriority w:val="39"/>
    <w:pPr>
      <w:ind w:left="1260"/>
      <w:jc w:val="left"/>
    </w:pPr>
    <w:rPr>
      <w:rFonts w:ascii="Calibri" w:hAnsi="Calibri"/>
      <w:sz w:val="18"/>
      <w:szCs w:val="18"/>
    </w:rPr>
  </w:style>
  <w:style w:type="paragraph" w:styleId="17">
    <w:name w:val="Note Heading"/>
    <w:basedOn w:val="1"/>
    <w:next w:val="1"/>
    <w:link w:val="84"/>
    <w:autoRedefine/>
    <w:unhideWhenUsed/>
    <w:qFormat/>
    <w:uiPriority w:val="0"/>
    <w:pPr>
      <w:jc w:val="center"/>
    </w:pPr>
    <w:rPr>
      <w:szCs w:val="20"/>
      <w:lang w:val="zh-CN"/>
    </w:rPr>
  </w:style>
  <w:style w:type="paragraph" w:styleId="18">
    <w:name w:val="index 8"/>
    <w:basedOn w:val="1"/>
    <w:next w:val="1"/>
    <w:autoRedefine/>
    <w:semiHidden/>
    <w:qFormat/>
    <w:uiPriority w:val="0"/>
    <w:pPr>
      <w:ind w:left="1680" w:hanging="210"/>
      <w:jc w:val="left"/>
    </w:pPr>
    <w:rPr>
      <w:sz w:val="20"/>
    </w:rPr>
  </w:style>
  <w:style w:type="paragraph" w:styleId="19">
    <w:name w:val="Normal Indent"/>
    <w:basedOn w:val="1"/>
    <w:link w:val="85"/>
    <w:autoRedefine/>
    <w:qFormat/>
    <w:uiPriority w:val="99"/>
    <w:pPr>
      <w:ind w:firstLine="420" w:firstLineChars="200"/>
    </w:pPr>
    <w:rPr>
      <w:kern w:val="0"/>
      <w:sz w:val="20"/>
    </w:rPr>
  </w:style>
  <w:style w:type="paragraph" w:styleId="20">
    <w:name w:val="caption"/>
    <w:basedOn w:val="1"/>
    <w:next w:val="1"/>
    <w:autoRedefine/>
    <w:qFormat/>
    <w:uiPriority w:val="35"/>
    <w:pPr>
      <w:spacing w:line="360" w:lineRule="auto"/>
    </w:pPr>
    <w:rPr>
      <w:rFonts w:ascii="Cambria" w:hAnsi="Cambria" w:eastAsia="黑体"/>
      <w:sz w:val="20"/>
      <w:szCs w:val="20"/>
    </w:rPr>
  </w:style>
  <w:style w:type="paragraph" w:styleId="21">
    <w:name w:val="List Bullet"/>
    <w:basedOn w:val="1"/>
    <w:autoRedefine/>
    <w:qFormat/>
    <w:uiPriority w:val="99"/>
    <w:pPr>
      <w:ind w:left="100" w:leftChars="200" w:hanging="200" w:hangingChars="200"/>
    </w:pPr>
    <w:rPr>
      <w:szCs w:val="20"/>
    </w:rPr>
  </w:style>
  <w:style w:type="paragraph" w:styleId="22">
    <w:name w:val="Document Map"/>
    <w:basedOn w:val="1"/>
    <w:link w:val="86"/>
    <w:autoRedefine/>
    <w:semiHidden/>
    <w:qFormat/>
    <w:uiPriority w:val="99"/>
    <w:pPr>
      <w:shd w:val="clear" w:color="auto" w:fill="000080"/>
    </w:pPr>
    <w:rPr>
      <w:kern w:val="0"/>
      <w:sz w:val="20"/>
    </w:rPr>
  </w:style>
  <w:style w:type="paragraph" w:styleId="23">
    <w:name w:val="toa heading"/>
    <w:basedOn w:val="1"/>
    <w:next w:val="1"/>
    <w:autoRedefine/>
    <w:semiHidden/>
    <w:qFormat/>
    <w:uiPriority w:val="0"/>
    <w:pPr>
      <w:spacing w:before="120"/>
    </w:pPr>
    <w:rPr>
      <w:rFonts w:ascii="Arial" w:hAnsi="Arial" w:cs="Arial"/>
      <w:sz w:val="24"/>
      <w:szCs w:val="20"/>
    </w:rPr>
  </w:style>
  <w:style w:type="paragraph" w:styleId="24">
    <w:name w:val="Body Text 3"/>
    <w:basedOn w:val="1"/>
    <w:link w:val="88"/>
    <w:autoRedefine/>
    <w:qFormat/>
    <w:uiPriority w:val="0"/>
    <w:pPr>
      <w:spacing w:after="120"/>
    </w:pPr>
    <w:rPr>
      <w:sz w:val="16"/>
      <w:szCs w:val="16"/>
    </w:rPr>
  </w:style>
  <w:style w:type="paragraph" w:styleId="25">
    <w:name w:val="Body Text"/>
    <w:basedOn w:val="1"/>
    <w:next w:val="26"/>
    <w:link w:val="73"/>
    <w:autoRedefine/>
    <w:qFormat/>
    <w:uiPriority w:val="99"/>
    <w:pPr>
      <w:spacing w:after="120"/>
    </w:pPr>
    <w:rPr>
      <w:kern w:val="0"/>
      <w:sz w:val="20"/>
    </w:rPr>
  </w:style>
  <w:style w:type="paragraph" w:styleId="26">
    <w:name w:val="Title"/>
    <w:basedOn w:val="1"/>
    <w:next w:val="1"/>
    <w:link w:val="101"/>
    <w:autoRedefine/>
    <w:qFormat/>
    <w:uiPriority w:val="10"/>
    <w:pPr>
      <w:spacing w:before="240" w:after="60"/>
      <w:jc w:val="center"/>
      <w:outlineLvl w:val="0"/>
    </w:pPr>
    <w:rPr>
      <w:rFonts w:ascii="Arial" w:hAnsi="Arial" w:eastAsia="隶书"/>
      <w:b/>
      <w:bCs/>
      <w:kern w:val="0"/>
      <w:sz w:val="32"/>
      <w:szCs w:val="32"/>
    </w:rPr>
  </w:style>
  <w:style w:type="paragraph" w:styleId="27">
    <w:name w:val="List 2"/>
    <w:basedOn w:val="1"/>
    <w:autoRedefine/>
    <w:unhideWhenUsed/>
    <w:qFormat/>
    <w:uiPriority w:val="99"/>
    <w:pPr>
      <w:spacing w:line="360" w:lineRule="auto"/>
      <w:ind w:left="100" w:leftChars="200" w:hanging="200" w:hangingChars="200"/>
      <w:contextualSpacing/>
    </w:pPr>
    <w:rPr>
      <w:rFonts w:ascii="宋体"/>
      <w:sz w:val="24"/>
      <w:szCs w:val="20"/>
    </w:rPr>
  </w:style>
  <w:style w:type="paragraph" w:styleId="28">
    <w:name w:val="List Continue"/>
    <w:basedOn w:val="1"/>
    <w:autoRedefine/>
    <w:qFormat/>
    <w:uiPriority w:val="0"/>
    <w:pPr>
      <w:spacing w:after="120"/>
      <w:ind w:left="420" w:leftChars="200"/>
      <w:contextualSpacing/>
    </w:pPr>
  </w:style>
  <w:style w:type="paragraph" w:styleId="29">
    <w:name w:val="Block Text"/>
    <w:basedOn w:val="1"/>
    <w:autoRedefine/>
    <w:semiHidden/>
    <w:qFormat/>
    <w:uiPriority w:val="0"/>
    <w:pPr>
      <w:spacing w:line="0" w:lineRule="atLeast"/>
      <w:ind w:left="-105" w:leftChars="-50" w:right="-105" w:rightChars="-50"/>
      <w:jc w:val="center"/>
    </w:pPr>
    <w:rPr>
      <w:sz w:val="24"/>
    </w:rPr>
  </w:style>
  <w:style w:type="paragraph" w:styleId="30">
    <w:name w:val="toc 5"/>
    <w:basedOn w:val="1"/>
    <w:next w:val="1"/>
    <w:autoRedefine/>
    <w:unhideWhenUsed/>
    <w:qFormat/>
    <w:uiPriority w:val="39"/>
    <w:pPr>
      <w:ind w:left="840"/>
      <w:jc w:val="left"/>
    </w:pPr>
    <w:rPr>
      <w:rFonts w:ascii="Calibri" w:hAnsi="Calibri"/>
      <w:sz w:val="18"/>
      <w:szCs w:val="18"/>
    </w:rPr>
  </w:style>
  <w:style w:type="paragraph" w:styleId="31">
    <w:name w:val="toc 3"/>
    <w:basedOn w:val="1"/>
    <w:next w:val="1"/>
    <w:autoRedefine/>
    <w:unhideWhenUsed/>
    <w:qFormat/>
    <w:uiPriority w:val="39"/>
    <w:pPr>
      <w:ind w:left="420"/>
      <w:jc w:val="left"/>
    </w:pPr>
    <w:rPr>
      <w:rFonts w:ascii="Calibri" w:hAnsi="Calibri"/>
      <w:i/>
      <w:iCs/>
      <w:sz w:val="20"/>
      <w:szCs w:val="20"/>
    </w:rPr>
  </w:style>
  <w:style w:type="paragraph" w:styleId="32">
    <w:name w:val="Plain Text"/>
    <w:basedOn w:val="1"/>
    <w:next w:val="18"/>
    <w:link w:val="90"/>
    <w:autoRedefine/>
    <w:qFormat/>
    <w:uiPriority w:val="0"/>
    <w:rPr>
      <w:rFonts w:ascii="宋体" w:hAnsi="Courier New"/>
      <w:kern w:val="0"/>
      <w:sz w:val="20"/>
      <w:szCs w:val="20"/>
    </w:rPr>
  </w:style>
  <w:style w:type="paragraph" w:styleId="33">
    <w:name w:val="Date"/>
    <w:basedOn w:val="1"/>
    <w:next w:val="1"/>
    <w:link w:val="91"/>
    <w:autoRedefine/>
    <w:qFormat/>
    <w:uiPriority w:val="0"/>
    <w:rPr>
      <w:spacing w:val="20"/>
      <w:sz w:val="28"/>
      <w:szCs w:val="20"/>
      <w:lang w:val="zh-CN"/>
    </w:rPr>
  </w:style>
  <w:style w:type="paragraph" w:styleId="34">
    <w:name w:val="Body Text Indent 2"/>
    <w:basedOn w:val="1"/>
    <w:link w:val="92"/>
    <w:autoRedefine/>
    <w:unhideWhenUsed/>
    <w:qFormat/>
    <w:uiPriority w:val="0"/>
    <w:pPr>
      <w:spacing w:after="120" w:line="480" w:lineRule="auto"/>
      <w:ind w:left="420" w:leftChars="200"/>
    </w:pPr>
  </w:style>
  <w:style w:type="paragraph" w:styleId="35">
    <w:name w:val="Balloon Text"/>
    <w:basedOn w:val="1"/>
    <w:link w:val="93"/>
    <w:autoRedefine/>
    <w:qFormat/>
    <w:uiPriority w:val="99"/>
    <w:rPr>
      <w:kern w:val="0"/>
      <w:sz w:val="18"/>
      <w:szCs w:val="18"/>
    </w:rPr>
  </w:style>
  <w:style w:type="paragraph" w:styleId="36">
    <w:name w:val="footer"/>
    <w:basedOn w:val="1"/>
    <w:link w:val="94"/>
    <w:autoRedefine/>
    <w:qFormat/>
    <w:uiPriority w:val="99"/>
    <w:pPr>
      <w:tabs>
        <w:tab w:val="center" w:pos="4153"/>
        <w:tab w:val="right" w:pos="8306"/>
      </w:tabs>
      <w:snapToGrid w:val="0"/>
      <w:jc w:val="left"/>
    </w:pPr>
    <w:rPr>
      <w:kern w:val="0"/>
      <w:sz w:val="18"/>
      <w:szCs w:val="18"/>
    </w:rPr>
  </w:style>
  <w:style w:type="paragraph" w:styleId="37">
    <w:name w:val="envelope return"/>
    <w:basedOn w:val="1"/>
    <w:autoRedefine/>
    <w:qFormat/>
    <w:uiPriority w:val="0"/>
    <w:pPr>
      <w:snapToGrid w:val="0"/>
    </w:pPr>
    <w:rPr>
      <w:rFonts w:ascii="Arial" w:hAnsi="Arial" w:cs="Arial"/>
    </w:rPr>
  </w:style>
  <w:style w:type="paragraph" w:styleId="38">
    <w:name w:val="header"/>
    <w:basedOn w:val="1"/>
    <w:link w:val="95"/>
    <w:autoRedefine/>
    <w:qFormat/>
    <w:uiPriority w:val="0"/>
    <w:pPr>
      <w:pBdr>
        <w:bottom w:val="single" w:color="auto" w:sz="6" w:space="0"/>
      </w:pBdr>
      <w:tabs>
        <w:tab w:val="center" w:pos="4153"/>
        <w:tab w:val="right" w:pos="8306"/>
      </w:tabs>
      <w:snapToGrid w:val="0"/>
      <w:jc w:val="center"/>
    </w:pPr>
    <w:rPr>
      <w:kern w:val="0"/>
      <w:sz w:val="18"/>
      <w:szCs w:val="18"/>
    </w:rPr>
  </w:style>
  <w:style w:type="paragraph" w:styleId="39">
    <w:name w:val="Signature"/>
    <w:basedOn w:val="1"/>
    <w:link w:val="96"/>
    <w:autoRedefine/>
    <w:unhideWhenUsed/>
    <w:qFormat/>
    <w:uiPriority w:val="99"/>
    <w:pPr>
      <w:spacing w:line="360" w:lineRule="auto"/>
      <w:ind w:left="100" w:leftChars="2100"/>
    </w:pPr>
    <w:rPr>
      <w:rFonts w:ascii="宋体"/>
      <w:sz w:val="24"/>
      <w:szCs w:val="20"/>
    </w:rPr>
  </w:style>
  <w:style w:type="paragraph" w:styleId="40">
    <w:name w:val="toc 1"/>
    <w:basedOn w:val="1"/>
    <w:next w:val="1"/>
    <w:autoRedefine/>
    <w:qFormat/>
    <w:uiPriority w:val="39"/>
    <w:pPr>
      <w:spacing w:before="120" w:after="120"/>
      <w:jc w:val="left"/>
    </w:pPr>
    <w:rPr>
      <w:rFonts w:ascii="Calibri" w:hAnsi="Calibri"/>
      <w:b/>
      <w:bCs/>
      <w:caps/>
      <w:sz w:val="20"/>
      <w:szCs w:val="20"/>
    </w:rPr>
  </w:style>
  <w:style w:type="paragraph" w:styleId="41">
    <w:name w:val="toc 4"/>
    <w:basedOn w:val="1"/>
    <w:next w:val="1"/>
    <w:autoRedefine/>
    <w:unhideWhenUsed/>
    <w:qFormat/>
    <w:uiPriority w:val="39"/>
    <w:pPr>
      <w:ind w:left="630"/>
      <w:jc w:val="left"/>
    </w:pPr>
    <w:rPr>
      <w:rFonts w:ascii="Calibri" w:hAnsi="Calibri"/>
      <w:sz w:val="18"/>
      <w:szCs w:val="18"/>
    </w:rPr>
  </w:style>
  <w:style w:type="paragraph" w:styleId="42">
    <w:name w:val="index heading"/>
    <w:basedOn w:val="1"/>
    <w:next w:val="43"/>
    <w:autoRedefine/>
    <w:semiHidden/>
    <w:qFormat/>
    <w:uiPriority w:val="0"/>
    <w:rPr>
      <w:sz w:val="24"/>
      <w:szCs w:val="20"/>
    </w:rPr>
  </w:style>
  <w:style w:type="paragraph" w:styleId="43">
    <w:name w:val="index 1"/>
    <w:basedOn w:val="1"/>
    <w:next w:val="1"/>
    <w:autoRedefine/>
    <w:unhideWhenUsed/>
    <w:qFormat/>
    <w:uiPriority w:val="0"/>
  </w:style>
  <w:style w:type="paragraph" w:styleId="44">
    <w:name w:val="Subtitle"/>
    <w:basedOn w:val="1"/>
    <w:next w:val="1"/>
    <w:link w:val="97"/>
    <w:autoRedefine/>
    <w:qFormat/>
    <w:uiPriority w:val="11"/>
    <w:pPr>
      <w:widowControl/>
      <w:spacing w:before="120" w:after="120"/>
      <w:jc w:val="left"/>
    </w:pPr>
    <w:rPr>
      <w:rFonts w:ascii="Cambria" w:hAnsi="Cambria"/>
      <w:b/>
      <w:iCs/>
      <w:color w:val="4F81BD"/>
      <w:spacing w:val="15"/>
      <w:kern w:val="0"/>
      <w:sz w:val="30"/>
      <w:lang w:val="zh-CN" w:eastAsia="en-US" w:bidi="en-US"/>
    </w:rPr>
  </w:style>
  <w:style w:type="paragraph" w:styleId="45">
    <w:name w:val="List"/>
    <w:basedOn w:val="1"/>
    <w:autoRedefine/>
    <w:qFormat/>
    <w:uiPriority w:val="0"/>
    <w:pPr>
      <w:adjustRightInd w:val="0"/>
      <w:spacing w:line="312" w:lineRule="atLeast"/>
      <w:ind w:left="420" w:hanging="420"/>
      <w:textAlignment w:val="baseline"/>
    </w:pPr>
    <w:rPr>
      <w:rFonts w:ascii="楷体_GB2312" w:hAnsi="Calibri" w:eastAsia="楷体_GB2312"/>
      <w:kern w:val="0"/>
      <w:sz w:val="24"/>
      <w:szCs w:val="20"/>
    </w:rPr>
  </w:style>
  <w:style w:type="paragraph" w:styleId="46">
    <w:name w:val="footnote text"/>
    <w:basedOn w:val="1"/>
    <w:autoRedefine/>
    <w:unhideWhenUsed/>
    <w:qFormat/>
    <w:uiPriority w:val="99"/>
    <w:pPr>
      <w:snapToGrid w:val="0"/>
      <w:jc w:val="left"/>
    </w:pPr>
    <w:rPr>
      <w:sz w:val="18"/>
    </w:rPr>
  </w:style>
  <w:style w:type="paragraph" w:styleId="47">
    <w:name w:val="toc 6"/>
    <w:basedOn w:val="1"/>
    <w:next w:val="1"/>
    <w:autoRedefine/>
    <w:unhideWhenUsed/>
    <w:qFormat/>
    <w:uiPriority w:val="39"/>
    <w:pPr>
      <w:ind w:left="1050"/>
      <w:jc w:val="left"/>
    </w:pPr>
    <w:rPr>
      <w:rFonts w:ascii="Calibri" w:hAnsi="Calibri"/>
      <w:sz w:val="18"/>
      <w:szCs w:val="18"/>
    </w:rPr>
  </w:style>
  <w:style w:type="paragraph" w:styleId="48">
    <w:name w:val="Body Text Indent 3"/>
    <w:basedOn w:val="1"/>
    <w:link w:val="98"/>
    <w:autoRedefine/>
    <w:unhideWhenUsed/>
    <w:qFormat/>
    <w:uiPriority w:val="0"/>
    <w:pPr>
      <w:spacing w:after="120"/>
      <w:ind w:left="420" w:leftChars="200"/>
      <w:jc w:val="center"/>
    </w:pPr>
    <w:rPr>
      <w:rFonts w:ascii="宋体"/>
      <w:sz w:val="16"/>
      <w:szCs w:val="16"/>
      <w:lang w:val="zh-CN"/>
    </w:rPr>
  </w:style>
  <w:style w:type="paragraph" w:styleId="49">
    <w:name w:val="table of figures"/>
    <w:basedOn w:val="1"/>
    <w:next w:val="1"/>
    <w:autoRedefine/>
    <w:semiHidden/>
    <w:qFormat/>
    <w:uiPriority w:val="0"/>
    <w:pPr>
      <w:ind w:left="200" w:leftChars="200" w:hanging="200" w:hangingChars="200"/>
    </w:pPr>
    <w:rPr>
      <w:sz w:val="24"/>
    </w:rPr>
  </w:style>
  <w:style w:type="paragraph" w:styleId="50">
    <w:name w:val="toc 2"/>
    <w:basedOn w:val="1"/>
    <w:next w:val="1"/>
    <w:autoRedefine/>
    <w:unhideWhenUsed/>
    <w:qFormat/>
    <w:uiPriority w:val="39"/>
    <w:pPr>
      <w:ind w:left="210"/>
      <w:jc w:val="left"/>
    </w:pPr>
    <w:rPr>
      <w:rFonts w:ascii="Calibri" w:hAnsi="Calibri"/>
      <w:smallCaps/>
      <w:sz w:val="20"/>
      <w:szCs w:val="20"/>
    </w:rPr>
  </w:style>
  <w:style w:type="paragraph" w:styleId="51">
    <w:name w:val="toc 9"/>
    <w:basedOn w:val="1"/>
    <w:next w:val="1"/>
    <w:autoRedefine/>
    <w:unhideWhenUsed/>
    <w:qFormat/>
    <w:uiPriority w:val="39"/>
    <w:pPr>
      <w:ind w:left="1680"/>
      <w:jc w:val="left"/>
    </w:pPr>
    <w:rPr>
      <w:rFonts w:ascii="Calibri" w:hAnsi="Calibri"/>
      <w:sz w:val="18"/>
      <w:szCs w:val="18"/>
    </w:rPr>
  </w:style>
  <w:style w:type="paragraph" w:styleId="52">
    <w:name w:val="Body Text 2"/>
    <w:basedOn w:val="1"/>
    <w:link w:val="99"/>
    <w:autoRedefine/>
    <w:unhideWhenUsed/>
    <w:qFormat/>
    <w:uiPriority w:val="99"/>
    <w:pPr>
      <w:spacing w:after="120" w:line="480" w:lineRule="auto"/>
    </w:pPr>
  </w:style>
  <w:style w:type="paragraph" w:styleId="53">
    <w:name w:val="List Continue 2"/>
    <w:basedOn w:val="1"/>
    <w:autoRedefine/>
    <w:unhideWhenUsed/>
    <w:qFormat/>
    <w:uiPriority w:val="99"/>
    <w:pPr>
      <w:spacing w:after="120" w:line="360" w:lineRule="auto"/>
      <w:ind w:left="840" w:leftChars="400"/>
      <w:contextualSpacing/>
      <w:jc w:val="center"/>
    </w:pPr>
    <w:rPr>
      <w:rFonts w:ascii="宋体"/>
      <w:sz w:val="24"/>
      <w:szCs w:val="20"/>
    </w:rPr>
  </w:style>
  <w:style w:type="paragraph" w:styleId="54">
    <w:name w:val="HTML Preformatted"/>
    <w:basedOn w:val="1"/>
    <w:link w:val="1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5">
    <w:name w:val="Normal (Web)"/>
    <w:basedOn w:val="1"/>
    <w:autoRedefine/>
    <w:qFormat/>
    <w:uiPriority w:val="99"/>
    <w:pPr>
      <w:widowControl/>
      <w:spacing w:before="100" w:beforeAutospacing="1" w:after="100" w:afterAutospacing="1"/>
      <w:jc w:val="left"/>
    </w:pPr>
    <w:rPr>
      <w:kern w:val="0"/>
      <w:sz w:val="24"/>
    </w:rPr>
  </w:style>
  <w:style w:type="paragraph" w:styleId="56">
    <w:name w:val="annotation subject"/>
    <w:basedOn w:val="4"/>
    <w:next w:val="4"/>
    <w:link w:val="102"/>
    <w:autoRedefine/>
    <w:qFormat/>
    <w:uiPriority w:val="0"/>
    <w:rPr>
      <w:b/>
      <w:bCs/>
    </w:rPr>
  </w:style>
  <w:style w:type="paragraph" w:styleId="57">
    <w:name w:val="Body Text First Indent"/>
    <w:basedOn w:val="25"/>
    <w:link w:val="103"/>
    <w:autoRedefine/>
    <w:qFormat/>
    <w:uiPriority w:val="99"/>
    <w:pPr>
      <w:ind w:firstLine="420" w:firstLineChars="100"/>
    </w:pPr>
    <w:rPr>
      <w:kern w:val="2"/>
      <w:sz w:val="21"/>
    </w:rPr>
  </w:style>
  <w:style w:type="table" w:styleId="59">
    <w:name w:val="Table Grid"/>
    <w:basedOn w:val="5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Medium Grid 3 Accent 6"/>
    <w:basedOn w:val="58"/>
    <w:autoRedefine/>
    <w:qFormat/>
    <w:uiPriority w:val="60"/>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BEB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70AD47"/>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70AD47"/>
      </w:tcPr>
    </w:tblStylePr>
    <w:tblStylePr w:type="firstCol">
      <w:rPr>
        <w:b/>
        <w:bCs/>
        <w:i w:val="0"/>
        <w:iCs w:val="0"/>
        <w:color w:val="FFFFFF"/>
      </w:rPr>
      <w:tblPr/>
      <w:tcPr>
        <w:tcBorders>
          <w:top w:val="nil"/>
          <w:left w:val="single" w:color="FFFFFF" w:sz="8" w:space="0"/>
          <w:bottom w:val="nil"/>
          <w:right w:val="single" w:color="FFFFFF" w:sz="24" w:space="0"/>
          <w:insideH w:val="nil"/>
          <w:insideV w:val="nil"/>
          <w:tl2br w:val="nil"/>
          <w:tr2bl w:val="nil"/>
        </w:tcBorders>
        <w:shd w:val="clear" w:color="auto" w:fill="70AD47"/>
      </w:tcPr>
    </w:tblStylePr>
    <w:tblStylePr w:type="lastCol">
      <w:rPr>
        <w:b/>
        <w:bCs/>
        <w:i w:val="0"/>
        <w:iCs w:val="0"/>
        <w:color w:val="FFFFFF"/>
      </w:rPr>
      <w:tblPr/>
      <w:tcPr>
        <w:tcBorders>
          <w:top w:val="nil"/>
          <w:left w:val="single" w:color="FFFFFF" w:sz="24" w:space="0"/>
          <w:bottom w:val="nil"/>
          <w:right w:val="nil"/>
          <w:insideH w:val="nil"/>
          <w:insideV w:val="nil"/>
          <w:tl2br w:val="nil"/>
          <w:tr2bl w:val="nil"/>
        </w:tcBorders>
        <w:shd w:val="clear" w:color="auto" w:fill="70AD47"/>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7D8A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B7D8A0"/>
      </w:tcPr>
    </w:tblStylePr>
  </w:style>
  <w:style w:type="character" w:styleId="62">
    <w:name w:val="Strong"/>
    <w:autoRedefine/>
    <w:qFormat/>
    <w:uiPriority w:val="22"/>
    <w:rPr>
      <w:b/>
      <w:bCs/>
    </w:rPr>
  </w:style>
  <w:style w:type="character" w:styleId="63">
    <w:name w:val="page number"/>
    <w:autoRedefine/>
    <w:qFormat/>
    <w:uiPriority w:val="0"/>
  </w:style>
  <w:style w:type="character" w:styleId="64">
    <w:name w:val="FollowedHyperlink"/>
    <w:autoRedefine/>
    <w:unhideWhenUsed/>
    <w:qFormat/>
    <w:uiPriority w:val="99"/>
    <w:rPr>
      <w:color w:val="800080"/>
      <w:u w:val="single"/>
    </w:rPr>
  </w:style>
  <w:style w:type="character" w:styleId="65">
    <w:name w:val="Emphasis"/>
    <w:autoRedefine/>
    <w:qFormat/>
    <w:uiPriority w:val="20"/>
    <w:rPr>
      <w:rFonts w:ascii="仿宋_GB2312" w:eastAsia="仿宋_GB2312"/>
      <w:b/>
      <w:color w:val="CC0000"/>
      <w:kern w:val="2"/>
      <w:sz w:val="28"/>
      <w:szCs w:val="28"/>
      <w:lang w:val="en-US" w:eastAsia="zh-CN" w:bidi="ar-SA"/>
    </w:rPr>
  </w:style>
  <w:style w:type="character" w:styleId="66">
    <w:name w:val="line number"/>
    <w:autoRedefine/>
    <w:unhideWhenUsed/>
    <w:qFormat/>
    <w:uiPriority w:val="99"/>
  </w:style>
  <w:style w:type="character" w:styleId="67">
    <w:name w:val="Hyperlink"/>
    <w:autoRedefine/>
    <w:qFormat/>
    <w:uiPriority w:val="99"/>
    <w:rPr>
      <w:color w:val="0000FF"/>
      <w:u w:val="single"/>
    </w:rPr>
  </w:style>
  <w:style w:type="character" w:styleId="68">
    <w:name w:val="annotation reference"/>
    <w:autoRedefine/>
    <w:qFormat/>
    <w:uiPriority w:val="0"/>
    <w:rPr>
      <w:sz w:val="21"/>
      <w:szCs w:val="21"/>
    </w:rPr>
  </w:style>
  <w:style w:type="character" w:styleId="69">
    <w:name w:val="HTML Sample"/>
    <w:autoRedefine/>
    <w:unhideWhenUsed/>
    <w:qFormat/>
    <w:uiPriority w:val="0"/>
    <w:rPr>
      <w:rFonts w:hint="default" w:ascii="Courier New" w:hAnsi="Courier New" w:eastAsia="Times New Roman" w:cs="Courier New"/>
    </w:rPr>
  </w:style>
  <w:style w:type="paragraph" w:customStyle="1" w:styleId="70">
    <w:name w:val="Quote1"/>
    <w:basedOn w:val="1"/>
    <w:next w:val="1"/>
    <w:autoRedefine/>
    <w:qFormat/>
    <w:uiPriority w:val="99"/>
    <w:pPr>
      <w:widowControl/>
      <w:wordWrap w:val="0"/>
      <w:spacing w:before="200" w:after="160"/>
      <w:ind w:left="864" w:right="864"/>
      <w:jc w:val="center"/>
    </w:pPr>
    <w:rPr>
      <w:rFonts w:ascii="宋体" w:hAnsi="Calibri"/>
      <w:i/>
      <w:color w:val="404040"/>
      <w:kern w:val="2"/>
      <w:szCs w:val="20"/>
    </w:rPr>
  </w:style>
  <w:style w:type="paragraph" w:customStyle="1" w:styleId="71">
    <w:name w:val="样式 标题 2 + Times New Roman 四号 非加粗 段前: 5 磅 段后: 0 磅 行距: 固定值 20..."/>
    <w:basedOn w:val="7"/>
    <w:next w:val="46"/>
    <w:autoRedefine/>
    <w:qFormat/>
    <w:uiPriority w:val="0"/>
    <w:pPr>
      <w:widowControl/>
      <w:tabs>
        <w:tab w:val="left" w:pos="640"/>
      </w:tabs>
      <w:spacing w:before="100" w:after="0" w:line="400" w:lineRule="exact"/>
      <w:ind w:left="425" w:hanging="425"/>
    </w:pPr>
    <w:rPr>
      <w:rFonts w:ascii="Times New Roman" w:hAnsi="Times New Roman" w:cs="宋体"/>
      <w:b w:val="0"/>
      <w:bCs w:val="0"/>
      <w:kern w:val="2"/>
      <w:sz w:val="28"/>
      <w:szCs w:val="20"/>
    </w:rPr>
  </w:style>
  <w:style w:type="paragraph" w:customStyle="1" w:styleId="72">
    <w:name w:val="BodyText1I2"/>
    <w:autoRedefine/>
    <w:qFormat/>
    <w:uiPriority w:val="0"/>
    <w:pPr>
      <w:widowControl w:val="0"/>
      <w:spacing w:after="120" w:line="360" w:lineRule="auto"/>
      <w:ind w:left="420" w:leftChars="200" w:firstLine="420" w:firstLineChars="200"/>
      <w:jc w:val="both"/>
    </w:pPr>
    <w:rPr>
      <w:rFonts w:ascii="Calibri" w:hAnsi="Calibri" w:eastAsia="宋体" w:cs="Times New Roman"/>
      <w:kern w:val="2"/>
      <w:sz w:val="24"/>
      <w:szCs w:val="22"/>
      <w:lang w:val="en-US" w:eastAsia="zh-CN" w:bidi="ar-SA"/>
    </w:rPr>
  </w:style>
  <w:style w:type="character" w:customStyle="1" w:styleId="73">
    <w:name w:val="正文文本 Char"/>
    <w:link w:val="25"/>
    <w:autoRedefine/>
    <w:qFormat/>
    <w:uiPriority w:val="99"/>
    <w:rPr>
      <w:rFonts w:ascii="Times New Roman" w:hAnsi="Times New Roman" w:eastAsia="宋体" w:cs="Times New Roman"/>
      <w:szCs w:val="24"/>
    </w:rPr>
  </w:style>
  <w:style w:type="character" w:customStyle="1" w:styleId="74">
    <w:name w:val="标题 2 Char"/>
    <w:link w:val="7"/>
    <w:autoRedefine/>
    <w:qFormat/>
    <w:uiPriority w:val="0"/>
    <w:rPr>
      <w:rFonts w:ascii="Arial" w:hAnsi="Arial" w:eastAsia="黑体" w:cs="Times New Roman"/>
      <w:b/>
      <w:bCs/>
      <w:sz w:val="32"/>
      <w:szCs w:val="32"/>
    </w:rPr>
  </w:style>
  <w:style w:type="character" w:customStyle="1" w:styleId="75">
    <w:name w:val="标题 1 Char"/>
    <w:link w:val="6"/>
    <w:autoRedefine/>
    <w:qFormat/>
    <w:uiPriority w:val="9"/>
    <w:rPr>
      <w:rFonts w:ascii="Arial" w:hAnsi="Arial" w:eastAsia="黑体" w:cs="Times New Roman"/>
      <w:kern w:val="44"/>
      <w:sz w:val="32"/>
      <w:szCs w:val="32"/>
    </w:rPr>
  </w:style>
  <w:style w:type="character" w:customStyle="1" w:styleId="76">
    <w:name w:val="标题 3 Char"/>
    <w:link w:val="8"/>
    <w:autoRedefine/>
    <w:qFormat/>
    <w:uiPriority w:val="0"/>
    <w:rPr>
      <w:rFonts w:ascii="Times New Roman" w:hAnsi="Times New Roman" w:eastAsia="宋体" w:cs="Times New Roman"/>
      <w:b/>
      <w:bCs/>
      <w:sz w:val="32"/>
      <w:szCs w:val="32"/>
    </w:rPr>
  </w:style>
  <w:style w:type="character" w:customStyle="1" w:styleId="77">
    <w:name w:val="标题 4 Char"/>
    <w:link w:val="9"/>
    <w:autoRedefine/>
    <w:qFormat/>
    <w:uiPriority w:val="9"/>
    <w:rPr>
      <w:rFonts w:ascii="Arial" w:hAnsi="Arial" w:eastAsia="黑体" w:cs="Times New Roman"/>
      <w:b/>
      <w:bCs/>
      <w:sz w:val="28"/>
      <w:szCs w:val="28"/>
    </w:rPr>
  </w:style>
  <w:style w:type="character" w:customStyle="1" w:styleId="78">
    <w:name w:val="标题 5 Char"/>
    <w:link w:val="10"/>
    <w:autoRedefine/>
    <w:qFormat/>
    <w:uiPriority w:val="9"/>
    <w:rPr>
      <w:rFonts w:ascii="宋体"/>
      <w:b/>
      <w:bCs/>
      <w:sz w:val="24"/>
      <w:szCs w:val="24"/>
      <w:lang w:val="zh-CN"/>
    </w:rPr>
  </w:style>
  <w:style w:type="character" w:customStyle="1" w:styleId="79">
    <w:name w:val="左对齐正文 Char"/>
    <w:link w:val="11"/>
    <w:autoRedefine/>
    <w:qFormat/>
    <w:uiPriority w:val="0"/>
    <w:rPr>
      <w:rFonts w:hAnsi="宋体"/>
      <w:sz w:val="21"/>
      <w:szCs w:val="28"/>
      <w:lang w:val="zh-CN"/>
    </w:rPr>
  </w:style>
  <w:style w:type="character" w:customStyle="1" w:styleId="80">
    <w:name w:val="标题 6 Char"/>
    <w:link w:val="12"/>
    <w:autoRedefine/>
    <w:qFormat/>
    <w:uiPriority w:val="9"/>
    <w:rPr>
      <w:rFonts w:ascii="宋体" w:hAnsi="Arial"/>
      <w:kern w:val="2"/>
      <w:sz w:val="24"/>
      <w:lang w:val="zh-CN"/>
    </w:rPr>
  </w:style>
  <w:style w:type="character" w:customStyle="1" w:styleId="81">
    <w:name w:val="标题 7 Char"/>
    <w:link w:val="13"/>
    <w:autoRedefine/>
    <w:qFormat/>
    <w:uiPriority w:val="9"/>
    <w:rPr>
      <w:kern w:val="28"/>
      <w:sz w:val="24"/>
      <w:lang w:val="zh-CN"/>
    </w:rPr>
  </w:style>
  <w:style w:type="character" w:customStyle="1" w:styleId="82">
    <w:name w:val="标题 8 Char"/>
    <w:link w:val="14"/>
    <w:autoRedefine/>
    <w:qFormat/>
    <w:uiPriority w:val="9"/>
    <w:rPr>
      <w:rFonts w:ascii="Cambria" w:hAnsi="Cambria" w:eastAsia="宋体" w:cs="Times New Roman"/>
      <w:sz w:val="24"/>
      <w:szCs w:val="24"/>
    </w:rPr>
  </w:style>
  <w:style w:type="character" w:customStyle="1" w:styleId="83">
    <w:name w:val="标题 9 Char"/>
    <w:link w:val="15"/>
    <w:autoRedefine/>
    <w:qFormat/>
    <w:uiPriority w:val="9"/>
    <w:rPr>
      <w:rFonts w:ascii="宋体" w:hAnsi="宋体"/>
      <w:kern w:val="2"/>
      <w:sz w:val="28"/>
      <w:szCs w:val="24"/>
      <w:lang w:val="zh-CN"/>
    </w:rPr>
  </w:style>
  <w:style w:type="character" w:customStyle="1" w:styleId="84">
    <w:name w:val="注释标题 Char"/>
    <w:link w:val="17"/>
    <w:autoRedefine/>
    <w:qFormat/>
    <w:uiPriority w:val="0"/>
    <w:rPr>
      <w:kern w:val="2"/>
      <w:sz w:val="21"/>
      <w:lang w:val="zh-CN"/>
    </w:rPr>
  </w:style>
  <w:style w:type="character" w:customStyle="1" w:styleId="85">
    <w:name w:val="正文缩进 Char2"/>
    <w:link w:val="19"/>
    <w:autoRedefine/>
    <w:qFormat/>
    <w:uiPriority w:val="0"/>
    <w:rPr>
      <w:rFonts w:ascii="Times New Roman" w:hAnsi="Times New Roman" w:eastAsia="宋体" w:cs="Times New Roman"/>
      <w:szCs w:val="24"/>
    </w:rPr>
  </w:style>
  <w:style w:type="character" w:customStyle="1" w:styleId="86">
    <w:name w:val="文档结构图 Char"/>
    <w:link w:val="22"/>
    <w:autoRedefine/>
    <w:semiHidden/>
    <w:qFormat/>
    <w:uiPriority w:val="99"/>
    <w:rPr>
      <w:rFonts w:ascii="Times New Roman" w:hAnsi="Times New Roman" w:eastAsia="宋体" w:cs="Times New Roman"/>
      <w:szCs w:val="24"/>
      <w:shd w:val="clear" w:color="auto" w:fill="000080"/>
    </w:rPr>
  </w:style>
  <w:style w:type="character" w:customStyle="1" w:styleId="87">
    <w:name w:val="批注文字 Char2"/>
    <w:link w:val="4"/>
    <w:autoRedefine/>
    <w:qFormat/>
    <w:uiPriority w:val="0"/>
    <w:rPr>
      <w:rFonts w:ascii="Times New Roman" w:hAnsi="Times New Roman" w:eastAsia="宋体" w:cs="Times New Roman"/>
      <w:szCs w:val="24"/>
    </w:rPr>
  </w:style>
  <w:style w:type="character" w:customStyle="1" w:styleId="88">
    <w:name w:val="正文文本 3 Char"/>
    <w:link w:val="24"/>
    <w:autoRedefine/>
    <w:qFormat/>
    <w:uiPriority w:val="0"/>
    <w:rPr>
      <w:kern w:val="2"/>
      <w:sz w:val="16"/>
      <w:szCs w:val="16"/>
    </w:rPr>
  </w:style>
  <w:style w:type="character" w:customStyle="1" w:styleId="89">
    <w:name w:val="正文文本缩进 Char"/>
    <w:link w:val="3"/>
    <w:autoRedefine/>
    <w:qFormat/>
    <w:uiPriority w:val="99"/>
    <w:rPr>
      <w:kern w:val="2"/>
      <w:sz w:val="21"/>
      <w:szCs w:val="24"/>
    </w:rPr>
  </w:style>
  <w:style w:type="character" w:customStyle="1" w:styleId="90">
    <w:name w:val="纯文本 Char"/>
    <w:link w:val="32"/>
    <w:autoRedefine/>
    <w:qFormat/>
    <w:uiPriority w:val="99"/>
    <w:rPr>
      <w:rFonts w:ascii="宋体" w:hAnsi="Courier New" w:eastAsia="宋体" w:cs="Times New Roman"/>
      <w:szCs w:val="20"/>
    </w:rPr>
  </w:style>
  <w:style w:type="character" w:customStyle="1" w:styleId="91">
    <w:name w:val="日期 Char"/>
    <w:link w:val="33"/>
    <w:autoRedefine/>
    <w:qFormat/>
    <w:uiPriority w:val="0"/>
    <w:rPr>
      <w:spacing w:val="20"/>
      <w:kern w:val="2"/>
      <w:sz w:val="28"/>
      <w:lang w:val="zh-CN"/>
    </w:rPr>
  </w:style>
  <w:style w:type="character" w:customStyle="1" w:styleId="92">
    <w:name w:val="正文文本缩进 2 Char"/>
    <w:link w:val="34"/>
    <w:autoRedefine/>
    <w:qFormat/>
    <w:uiPriority w:val="0"/>
    <w:rPr>
      <w:kern w:val="2"/>
      <w:sz w:val="21"/>
      <w:szCs w:val="24"/>
    </w:rPr>
  </w:style>
  <w:style w:type="character" w:customStyle="1" w:styleId="93">
    <w:name w:val="批注框文本 Char"/>
    <w:link w:val="35"/>
    <w:autoRedefine/>
    <w:qFormat/>
    <w:uiPriority w:val="99"/>
    <w:rPr>
      <w:rFonts w:ascii="Times New Roman" w:hAnsi="Times New Roman" w:eastAsia="宋体" w:cs="Times New Roman"/>
      <w:sz w:val="18"/>
      <w:szCs w:val="18"/>
    </w:rPr>
  </w:style>
  <w:style w:type="character" w:customStyle="1" w:styleId="94">
    <w:name w:val="页脚 Char"/>
    <w:link w:val="36"/>
    <w:autoRedefine/>
    <w:qFormat/>
    <w:uiPriority w:val="0"/>
    <w:rPr>
      <w:rFonts w:ascii="Times New Roman" w:hAnsi="Times New Roman" w:eastAsia="宋体" w:cs="Times New Roman"/>
      <w:sz w:val="18"/>
      <w:szCs w:val="18"/>
    </w:rPr>
  </w:style>
  <w:style w:type="character" w:customStyle="1" w:styleId="95">
    <w:name w:val="页眉 Char"/>
    <w:link w:val="38"/>
    <w:autoRedefine/>
    <w:qFormat/>
    <w:uiPriority w:val="0"/>
    <w:rPr>
      <w:rFonts w:ascii="Times New Roman" w:hAnsi="Times New Roman" w:eastAsia="宋体" w:cs="Times New Roman"/>
      <w:sz w:val="18"/>
      <w:szCs w:val="18"/>
    </w:rPr>
  </w:style>
  <w:style w:type="character" w:customStyle="1" w:styleId="96">
    <w:name w:val="签名 Char"/>
    <w:link w:val="39"/>
    <w:autoRedefine/>
    <w:semiHidden/>
    <w:qFormat/>
    <w:uiPriority w:val="99"/>
    <w:rPr>
      <w:rFonts w:ascii="宋体"/>
      <w:kern w:val="2"/>
      <w:sz w:val="24"/>
    </w:rPr>
  </w:style>
  <w:style w:type="character" w:customStyle="1" w:styleId="97">
    <w:name w:val="副标题 Char"/>
    <w:link w:val="44"/>
    <w:autoRedefine/>
    <w:qFormat/>
    <w:uiPriority w:val="11"/>
    <w:rPr>
      <w:rFonts w:ascii="Cambria" w:hAnsi="Cambria"/>
      <w:b/>
      <w:iCs/>
      <w:color w:val="4F81BD"/>
      <w:spacing w:val="15"/>
      <w:sz w:val="30"/>
      <w:szCs w:val="24"/>
      <w:lang w:val="zh-CN" w:eastAsia="en-US" w:bidi="en-US"/>
    </w:rPr>
  </w:style>
  <w:style w:type="character" w:customStyle="1" w:styleId="98">
    <w:name w:val="正文文本缩进 3 Char"/>
    <w:link w:val="48"/>
    <w:autoRedefine/>
    <w:semiHidden/>
    <w:qFormat/>
    <w:uiPriority w:val="0"/>
    <w:rPr>
      <w:rFonts w:ascii="宋体"/>
      <w:kern w:val="2"/>
      <w:sz w:val="16"/>
      <w:szCs w:val="16"/>
      <w:lang w:val="zh-CN"/>
    </w:rPr>
  </w:style>
  <w:style w:type="character" w:customStyle="1" w:styleId="99">
    <w:name w:val="正文文本 2 Char"/>
    <w:link w:val="52"/>
    <w:autoRedefine/>
    <w:qFormat/>
    <w:uiPriority w:val="99"/>
    <w:rPr>
      <w:kern w:val="2"/>
      <w:sz w:val="21"/>
      <w:szCs w:val="24"/>
    </w:rPr>
  </w:style>
  <w:style w:type="character" w:customStyle="1" w:styleId="100">
    <w:name w:val="HTML 预设格式 Char"/>
    <w:link w:val="54"/>
    <w:autoRedefine/>
    <w:qFormat/>
    <w:uiPriority w:val="0"/>
    <w:rPr>
      <w:rFonts w:ascii="宋体" w:hAnsi="宋体" w:eastAsia="宋体" w:cs="宋体"/>
      <w:kern w:val="0"/>
      <w:sz w:val="24"/>
      <w:szCs w:val="24"/>
    </w:rPr>
  </w:style>
  <w:style w:type="character" w:customStyle="1" w:styleId="101">
    <w:name w:val="标题 Char"/>
    <w:link w:val="26"/>
    <w:autoRedefine/>
    <w:qFormat/>
    <w:uiPriority w:val="10"/>
    <w:rPr>
      <w:rFonts w:ascii="Arial" w:hAnsi="Arial" w:eastAsia="隶书" w:cs="Arial"/>
      <w:b/>
      <w:bCs/>
      <w:sz w:val="32"/>
      <w:szCs w:val="32"/>
    </w:rPr>
  </w:style>
  <w:style w:type="character" w:customStyle="1" w:styleId="102">
    <w:name w:val="批注主题 Char"/>
    <w:link w:val="56"/>
    <w:autoRedefine/>
    <w:qFormat/>
    <w:uiPriority w:val="0"/>
    <w:rPr>
      <w:rFonts w:ascii="Times New Roman" w:hAnsi="Times New Roman" w:eastAsia="宋体" w:cs="Times New Roman"/>
      <w:b/>
      <w:bCs/>
      <w:szCs w:val="24"/>
    </w:rPr>
  </w:style>
  <w:style w:type="character" w:customStyle="1" w:styleId="103">
    <w:name w:val="正文首行缩进 Char"/>
    <w:link w:val="57"/>
    <w:autoRedefine/>
    <w:qFormat/>
    <w:uiPriority w:val="99"/>
    <w:rPr>
      <w:rFonts w:ascii="Times New Roman" w:hAnsi="Times New Roman" w:eastAsia="宋体" w:cs="Times New Roman"/>
      <w:kern w:val="2"/>
      <w:sz w:val="21"/>
      <w:szCs w:val="24"/>
    </w:rPr>
  </w:style>
  <w:style w:type="character" w:customStyle="1" w:styleId="104">
    <w:name w:val="正文首行缩进 2 Char"/>
    <w:link w:val="2"/>
    <w:autoRedefine/>
    <w:semiHidden/>
    <w:qFormat/>
    <w:uiPriority w:val="99"/>
  </w:style>
  <w:style w:type="character" w:customStyle="1" w:styleId="105">
    <w:name w:val="国际广场图标格式 Char Char"/>
    <w:link w:val="106"/>
    <w:autoRedefine/>
    <w:qFormat/>
    <w:uiPriority w:val="0"/>
    <w:rPr>
      <w:rFonts w:ascii="宋体" w:cs="宋体"/>
      <w:kern w:val="2"/>
      <w:sz w:val="24"/>
      <w:szCs w:val="24"/>
    </w:rPr>
  </w:style>
  <w:style w:type="paragraph" w:customStyle="1" w:styleId="106">
    <w:name w:val="国际广场图标格式"/>
    <w:basedOn w:val="1"/>
    <w:link w:val="105"/>
    <w:autoRedefine/>
    <w:qFormat/>
    <w:uiPriority w:val="0"/>
    <w:pPr>
      <w:spacing w:afterLines="50"/>
      <w:jc w:val="center"/>
    </w:pPr>
    <w:rPr>
      <w:rFonts w:ascii="宋体" w:cs="宋体"/>
      <w:sz w:val="24"/>
    </w:rPr>
  </w:style>
  <w:style w:type="character" w:customStyle="1" w:styleId="107">
    <w:name w:val="方案正文 Char"/>
    <w:link w:val="108"/>
    <w:autoRedefine/>
    <w:qFormat/>
    <w:uiPriority w:val="0"/>
    <w:rPr>
      <w:rFonts w:ascii="宋体" w:hAnsi="宋体"/>
      <w:kern w:val="2"/>
      <w:sz w:val="24"/>
      <w:szCs w:val="24"/>
      <w:lang w:val="zh-CN"/>
    </w:rPr>
  </w:style>
  <w:style w:type="paragraph" w:customStyle="1" w:styleId="108">
    <w:name w:val="方案正文"/>
    <w:basedOn w:val="1"/>
    <w:link w:val="107"/>
    <w:autoRedefine/>
    <w:qFormat/>
    <w:uiPriority w:val="0"/>
    <w:pPr>
      <w:spacing w:line="360" w:lineRule="auto"/>
      <w:ind w:firstLine="480"/>
      <w:jc w:val="left"/>
    </w:pPr>
    <w:rPr>
      <w:rFonts w:ascii="宋体" w:hAnsi="宋体"/>
      <w:sz w:val="24"/>
      <w:lang w:val="zh-CN"/>
    </w:rPr>
  </w:style>
  <w:style w:type="character" w:customStyle="1" w:styleId="109">
    <w:name w:val="正文-标准 Char"/>
    <w:link w:val="110"/>
    <w:autoRedefine/>
    <w:qFormat/>
    <w:locked/>
    <w:uiPriority w:val="0"/>
    <w:rPr>
      <w:rFonts w:ascii="宋体"/>
      <w:sz w:val="28"/>
    </w:rPr>
  </w:style>
  <w:style w:type="paragraph" w:customStyle="1" w:styleId="110">
    <w:name w:val="正文-标准"/>
    <w:basedOn w:val="19"/>
    <w:link w:val="109"/>
    <w:autoRedefine/>
    <w:qFormat/>
    <w:uiPriority w:val="0"/>
    <w:pPr>
      <w:spacing w:before="120" w:after="120" w:line="400" w:lineRule="exact"/>
      <w:ind w:firstLine="200"/>
    </w:pPr>
    <w:rPr>
      <w:rFonts w:ascii="宋体"/>
      <w:sz w:val="28"/>
      <w:szCs w:val="20"/>
    </w:rPr>
  </w:style>
  <w:style w:type="character" w:customStyle="1" w:styleId="111">
    <w:name w:val="批注文字 Char1"/>
    <w:autoRedefine/>
    <w:qFormat/>
    <w:uiPriority w:val="0"/>
    <w:rPr>
      <w:rFonts w:ascii="Times New Roman" w:hAnsi="Times New Roman"/>
      <w:sz w:val="24"/>
    </w:rPr>
  </w:style>
  <w:style w:type="character" w:customStyle="1" w:styleId="112">
    <w:name w:val="模板 插图 Char"/>
    <w:link w:val="113"/>
    <w:autoRedefine/>
    <w:qFormat/>
    <w:uiPriority w:val="0"/>
    <w:rPr>
      <w:rFonts w:ascii="宋体"/>
      <w:sz w:val="24"/>
      <w:szCs w:val="24"/>
    </w:rPr>
  </w:style>
  <w:style w:type="paragraph" w:customStyle="1" w:styleId="113">
    <w:name w:val="模板 插图"/>
    <w:basedOn w:val="1"/>
    <w:link w:val="112"/>
    <w:autoRedefine/>
    <w:qFormat/>
    <w:uiPriority w:val="0"/>
    <w:pPr>
      <w:snapToGrid w:val="0"/>
      <w:jc w:val="center"/>
    </w:pPr>
    <w:rPr>
      <w:rFonts w:ascii="宋体"/>
      <w:kern w:val="0"/>
      <w:sz w:val="24"/>
    </w:rPr>
  </w:style>
  <w:style w:type="character" w:customStyle="1" w:styleId="114">
    <w:name w:val="description6"/>
    <w:autoRedefine/>
    <w:qFormat/>
    <w:uiPriority w:val="0"/>
  </w:style>
  <w:style w:type="character" w:customStyle="1" w:styleId="115">
    <w:name w:val="表格居中 Char"/>
    <w:link w:val="116"/>
    <w:autoRedefine/>
    <w:qFormat/>
    <w:uiPriority w:val="0"/>
    <w:rPr>
      <w:rFonts w:ascii="宋体" w:hAnsi="宋体"/>
      <w:sz w:val="24"/>
      <w:szCs w:val="24"/>
      <w:lang w:val="zh-CN"/>
    </w:rPr>
  </w:style>
  <w:style w:type="paragraph" w:customStyle="1" w:styleId="116">
    <w:name w:val="表格居中"/>
    <w:basedOn w:val="1"/>
    <w:link w:val="115"/>
    <w:autoRedefine/>
    <w:qFormat/>
    <w:uiPriority w:val="0"/>
    <w:pPr>
      <w:jc w:val="center"/>
    </w:pPr>
    <w:rPr>
      <w:rFonts w:ascii="宋体" w:hAnsi="宋体"/>
      <w:kern w:val="0"/>
      <w:sz w:val="24"/>
      <w:lang w:val="zh-CN"/>
    </w:rPr>
  </w:style>
  <w:style w:type="character" w:customStyle="1" w:styleId="117">
    <w:name w:val="不明显强调1"/>
    <w:autoRedefine/>
    <w:qFormat/>
    <w:uiPriority w:val="19"/>
    <w:rPr>
      <w:i/>
      <w:iCs/>
      <w:color w:val="808080"/>
    </w:rPr>
  </w:style>
  <w:style w:type="character" w:customStyle="1" w:styleId="118">
    <w:name w:val="不明显参考1"/>
    <w:autoRedefine/>
    <w:qFormat/>
    <w:uiPriority w:val="31"/>
    <w:rPr>
      <w:smallCaps/>
      <w:color w:val="C0504D"/>
      <w:u w:val="single"/>
    </w:rPr>
  </w:style>
  <w:style w:type="character" w:customStyle="1" w:styleId="119">
    <w:name w:val="明显参考1"/>
    <w:autoRedefine/>
    <w:qFormat/>
    <w:uiPriority w:val="32"/>
    <w:rPr>
      <w:b/>
      <w:bCs/>
      <w:smallCaps/>
      <w:color w:val="C0504D"/>
      <w:spacing w:val="5"/>
      <w:u w:val="single"/>
    </w:rPr>
  </w:style>
  <w:style w:type="character" w:customStyle="1" w:styleId="120">
    <w:name w:val="书籍标题1"/>
    <w:autoRedefine/>
    <w:qFormat/>
    <w:uiPriority w:val="33"/>
    <w:rPr>
      <w:b/>
      <w:bCs/>
      <w:smallCaps/>
      <w:spacing w:val="5"/>
    </w:rPr>
  </w:style>
  <w:style w:type="character" w:customStyle="1" w:styleId="121">
    <w:name w:val="模板 表格居中 Char"/>
    <w:link w:val="122"/>
    <w:autoRedefine/>
    <w:qFormat/>
    <w:uiPriority w:val="0"/>
    <w:rPr>
      <w:b/>
      <w:sz w:val="24"/>
      <w:szCs w:val="24"/>
    </w:rPr>
  </w:style>
  <w:style w:type="paragraph" w:customStyle="1" w:styleId="122">
    <w:name w:val="模板 表格居中"/>
    <w:basedOn w:val="1"/>
    <w:next w:val="1"/>
    <w:link w:val="121"/>
    <w:autoRedefine/>
    <w:qFormat/>
    <w:uiPriority w:val="0"/>
    <w:pPr>
      <w:adjustRightInd w:val="0"/>
      <w:jc w:val="center"/>
    </w:pPr>
    <w:rPr>
      <w:b/>
      <w:kern w:val="0"/>
      <w:sz w:val="24"/>
    </w:rPr>
  </w:style>
  <w:style w:type="character" w:customStyle="1" w:styleId="123">
    <w:name w:val="模板 插图标题 Char"/>
    <w:link w:val="124"/>
    <w:autoRedefine/>
    <w:qFormat/>
    <w:locked/>
    <w:uiPriority w:val="0"/>
    <w:rPr>
      <w:rFonts w:ascii="宋体"/>
      <w:b/>
      <w:sz w:val="24"/>
      <w:szCs w:val="24"/>
    </w:rPr>
  </w:style>
  <w:style w:type="paragraph" w:customStyle="1" w:styleId="124">
    <w:name w:val="模板 插图标题"/>
    <w:basedOn w:val="1"/>
    <w:next w:val="1"/>
    <w:link w:val="123"/>
    <w:autoRedefine/>
    <w:qFormat/>
    <w:uiPriority w:val="0"/>
    <w:pPr>
      <w:adjustRightInd w:val="0"/>
      <w:jc w:val="center"/>
    </w:pPr>
    <w:rPr>
      <w:rFonts w:ascii="宋体"/>
      <w:b/>
      <w:kern w:val="0"/>
      <w:sz w:val="24"/>
    </w:rPr>
  </w:style>
  <w:style w:type="character" w:customStyle="1" w:styleId="125">
    <w:name w:val="ttag"/>
    <w:autoRedefine/>
    <w:qFormat/>
    <w:uiPriority w:val="0"/>
  </w:style>
  <w:style w:type="character" w:customStyle="1" w:styleId="126">
    <w:name w:val="unnamed1"/>
    <w:autoRedefine/>
    <w:qFormat/>
    <w:uiPriority w:val="0"/>
  </w:style>
  <w:style w:type="character" w:customStyle="1" w:styleId="127">
    <w:name w:val="postbody"/>
    <w:autoRedefine/>
    <w:qFormat/>
    <w:uiPriority w:val="0"/>
  </w:style>
  <w:style w:type="character" w:customStyle="1" w:styleId="128">
    <w:name w:val="2 Char"/>
    <w:link w:val="129"/>
    <w:autoRedefine/>
    <w:qFormat/>
    <w:locked/>
    <w:uiPriority w:val="0"/>
    <w:rPr>
      <w:rFonts w:ascii="Dotum" w:hAnsi="Dotum" w:eastAsia="仿宋_GB2312"/>
      <w:color w:val="000000"/>
      <w:kern w:val="2"/>
      <w:sz w:val="24"/>
      <w:szCs w:val="24"/>
    </w:rPr>
  </w:style>
  <w:style w:type="paragraph" w:customStyle="1" w:styleId="129">
    <w:name w:val="2"/>
    <w:basedOn w:val="1"/>
    <w:link w:val="128"/>
    <w:autoRedefine/>
    <w:qFormat/>
    <w:uiPriority w:val="0"/>
    <w:pPr>
      <w:adjustRightInd w:val="0"/>
      <w:snapToGrid w:val="0"/>
    </w:pPr>
    <w:rPr>
      <w:rFonts w:ascii="Dotum" w:hAnsi="Dotum" w:eastAsia="仿宋_GB2312"/>
      <w:color w:val="000000"/>
      <w:sz w:val="24"/>
    </w:rPr>
  </w:style>
  <w:style w:type="character" w:customStyle="1" w:styleId="130">
    <w:name w:val="MSG_EN_FONT_STYLE_NAME_TEMPLATE_ROLE_NUMBER MSG_EN_FONT_STYLE_NAME_BY_ROLE_TEXT 19_"/>
    <w:link w:val="131"/>
    <w:autoRedefine/>
    <w:qFormat/>
    <w:uiPriority w:val="99"/>
    <w:rPr>
      <w:rFonts w:ascii="PMingLiU" w:eastAsia="PMingLiU" w:cs="PMingLiU"/>
      <w:spacing w:val="30"/>
      <w:sz w:val="28"/>
      <w:szCs w:val="28"/>
      <w:shd w:val="clear" w:color="auto" w:fill="FFFFFF"/>
    </w:rPr>
  </w:style>
  <w:style w:type="paragraph" w:customStyle="1" w:styleId="131">
    <w:name w:val="MSG_EN_FONT_STYLE_NAME_TEMPLATE_ROLE_NUMBER MSG_EN_FONT_STYLE_NAME_BY_ROLE_TEXT 19"/>
    <w:basedOn w:val="1"/>
    <w:link w:val="130"/>
    <w:autoRedefine/>
    <w:qFormat/>
    <w:uiPriority w:val="99"/>
    <w:pPr>
      <w:shd w:val="clear" w:color="auto" w:fill="FFFFFF"/>
      <w:spacing w:before="320" w:after="320" w:line="280" w:lineRule="exact"/>
      <w:jc w:val="left"/>
    </w:pPr>
    <w:rPr>
      <w:rFonts w:ascii="PMingLiU" w:eastAsia="PMingLiU" w:cs="PMingLiU"/>
      <w:spacing w:val="30"/>
      <w:kern w:val="0"/>
      <w:sz w:val="28"/>
      <w:szCs w:val="28"/>
    </w:rPr>
  </w:style>
  <w:style w:type="character" w:customStyle="1" w:styleId="132">
    <w:name w:val="表格文字1 Char"/>
    <w:link w:val="133"/>
    <w:autoRedefine/>
    <w:qFormat/>
    <w:uiPriority w:val="0"/>
    <w:rPr>
      <w:rFonts w:ascii="宋体" w:hAnsi="Plotter"/>
      <w:sz w:val="21"/>
    </w:rPr>
  </w:style>
  <w:style w:type="paragraph" w:customStyle="1" w:styleId="133">
    <w:name w:val="表格文字1"/>
    <w:link w:val="132"/>
    <w:autoRedefine/>
    <w:qFormat/>
    <w:uiPriority w:val="0"/>
    <w:pPr>
      <w:widowControl w:val="0"/>
      <w:spacing w:line="320" w:lineRule="exact"/>
      <w:jc w:val="center"/>
    </w:pPr>
    <w:rPr>
      <w:rFonts w:ascii="宋体" w:hAnsi="Plotter" w:eastAsia="宋体" w:cs="Times New Roman"/>
      <w:sz w:val="21"/>
      <w:lang w:val="en-US" w:eastAsia="zh-CN" w:bidi="ar-SA"/>
    </w:rPr>
  </w:style>
  <w:style w:type="character" w:customStyle="1" w:styleId="134">
    <w:name w:val="表格文字2 Char"/>
    <w:link w:val="135"/>
    <w:autoRedefine/>
    <w:qFormat/>
    <w:uiPriority w:val="0"/>
    <w:rPr>
      <w:rFonts w:ascii="宋体" w:cs="宋体"/>
      <w:kern w:val="2"/>
      <w:sz w:val="24"/>
      <w:szCs w:val="24"/>
    </w:rPr>
  </w:style>
  <w:style w:type="paragraph" w:customStyle="1" w:styleId="135">
    <w:name w:val="表格文字2"/>
    <w:basedOn w:val="136"/>
    <w:link w:val="134"/>
    <w:autoRedefine/>
    <w:qFormat/>
    <w:uiPriority w:val="0"/>
    <w:pPr>
      <w:spacing w:line="240" w:lineRule="auto"/>
      <w:ind w:firstLine="0" w:firstLineChars="0"/>
      <w:jc w:val="center"/>
    </w:pPr>
  </w:style>
  <w:style w:type="paragraph" w:customStyle="1" w:styleId="136">
    <w:name w:val="央1"/>
    <w:basedOn w:val="1"/>
    <w:link w:val="137"/>
    <w:autoRedefine/>
    <w:qFormat/>
    <w:uiPriority w:val="0"/>
    <w:pPr>
      <w:adjustRightInd w:val="0"/>
      <w:snapToGrid w:val="0"/>
      <w:spacing w:line="440" w:lineRule="exact"/>
      <w:ind w:firstLine="200" w:firstLineChars="200"/>
    </w:pPr>
    <w:rPr>
      <w:rFonts w:ascii="宋体" w:cs="宋体"/>
      <w:sz w:val="24"/>
    </w:rPr>
  </w:style>
  <w:style w:type="character" w:customStyle="1" w:styleId="137">
    <w:name w:val="央1 Char"/>
    <w:link w:val="136"/>
    <w:autoRedefine/>
    <w:qFormat/>
    <w:uiPriority w:val="0"/>
    <w:rPr>
      <w:rFonts w:ascii="宋体" w:cs="宋体"/>
      <w:kern w:val="2"/>
      <w:sz w:val="24"/>
      <w:szCs w:val="24"/>
    </w:rPr>
  </w:style>
  <w:style w:type="character" w:customStyle="1" w:styleId="138">
    <w:name w:val="MSG_EN_FONT_STYLE_NAME_TEMPLATE_ROLE_NUMBER MSG_EN_FONT_STYLE_NAME_BY_ROLE_TEXT 19 + MSG_EN_FONT_STYLE_MODIFER_SIZE 9.59"/>
    <w:autoRedefine/>
    <w:qFormat/>
    <w:uiPriority w:val="99"/>
    <w:rPr>
      <w:rFonts w:ascii="PMingLiU" w:eastAsia="PMingLiU" w:cs="PMingLiU"/>
      <w:spacing w:val="10"/>
      <w:sz w:val="19"/>
      <w:szCs w:val="19"/>
      <w:u w:val="none"/>
      <w:shd w:val="clear" w:color="auto" w:fill="FFFFFF"/>
    </w:rPr>
  </w:style>
  <w:style w:type="character" w:customStyle="1" w:styleId="139">
    <w:name w:val="normaltextsmall1"/>
    <w:autoRedefine/>
    <w:qFormat/>
    <w:uiPriority w:val="0"/>
    <w:rPr>
      <w:rFonts w:hint="default" w:ascii="Verdana" w:hAnsi="Verdana"/>
      <w:color w:val="000000"/>
      <w:sz w:val="18"/>
    </w:rPr>
  </w:style>
  <w:style w:type="character" w:customStyle="1" w:styleId="140">
    <w:name w:val="央2 Char"/>
    <w:link w:val="141"/>
    <w:autoRedefine/>
    <w:qFormat/>
    <w:uiPriority w:val="0"/>
    <w:rPr>
      <w:rFonts w:ascii="宋体" w:cs="宋体"/>
      <w:kern w:val="2"/>
      <w:sz w:val="24"/>
      <w:szCs w:val="24"/>
    </w:rPr>
  </w:style>
  <w:style w:type="paragraph" w:customStyle="1" w:styleId="141">
    <w:name w:val="央2"/>
    <w:basedOn w:val="136"/>
    <w:next w:val="136"/>
    <w:link w:val="140"/>
    <w:autoRedefine/>
    <w:qFormat/>
    <w:uiPriority w:val="0"/>
    <w:pPr>
      <w:ind w:firstLine="0" w:firstLineChars="0"/>
    </w:pPr>
  </w:style>
  <w:style w:type="character" w:customStyle="1" w:styleId="142">
    <w:name w:val="表格居中小四 Char Char"/>
    <w:link w:val="143"/>
    <w:autoRedefine/>
    <w:qFormat/>
    <w:uiPriority w:val="0"/>
    <w:rPr>
      <w:rFonts w:ascii="宋体" w:hAnsi="宋体"/>
      <w:color w:val="000000"/>
      <w:kern w:val="2"/>
      <w:sz w:val="24"/>
      <w:szCs w:val="24"/>
    </w:rPr>
  </w:style>
  <w:style w:type="paragraph" w:customStyle="1" w:styleId="143">
    <w:name w:val="表格居中小四"/>
    <w:basedOn w:val="1"/>
    <w:link w:val="142"/>
    <w:autoRedefine/>
    <w:qFormat/>
    <w:uiPriority w:val="0"/>
    <w:pPr>
      <w:adjustRightInd w:val="0"/>
      <w:snapToGrid w:val="0"/>
      <w:spacing w:line="360" w:lineRule="auto"/>
      <w:jc w:val="center"/>
    </w:pPr>
    <w:rPr>
      <w:rFonts w:ascii="宋体" w:hAnsi="宋体"/>
      <w:color w:val="000000"/>
      <w:sz w:val="24"/>
    </w:rPr>
  </w:style>
  <w:style w:type="character" w:customStyle="1" w:styleId="144">
    <w:name w:val="Heading 5 Char"/>
    <w:autoRedefine/>
    <w:qFormat/>
    <w:uiPriority w:val="9"/>
    <w:rPr>
      <w:rFonts w:ascii="宋体" w:hAnsi="宋体" w:eastAsia="宋体"/>
      <w:b/>
      <w:kern w:val="2"/>
      <w:sz w:val="28"/>
      <w:lang w:val="en-US" w:eastAsia="zh-CN"/>
    </w:rPr>
  </w:style>
  <w:style w:type="character" w:customStyle="1" w:styleId="145">
    <w:name w:val="zs_正文 Char"/>
    <w:link w:val="146"/>
    <w:autoRedefine/>
    <w:qFormat/>
    <w:uiPriority w:val="0"/>
    <w:rPr>
      <w:rFonts w:ascii="宋体" w:hAnsi="宋体"/>
      <w:sz w:val="24"/>
      <w:szCs w:val="28"/>
      <w:lang w:val="zh-CN"/>
    </w:rPr>
  </w:style>
  <w:style w:type="paragraph" w:customStyle="1" w:styleId="146">
    <w:name w:val="zs_正文"/>
    <w:basedOn w:val="1"/>
    <w:link w:val="145"/>
    <w:autoRedefine/>
    <w:qFormat/>
    <w:uiPriority w:val="0"/>
    <w:pPr>
      <w:spacing w:line="360" w:lineRule="auto"/>
      <w:ind w:firstLine="200" w:firstLineChars="200"/>
      <w:jc w:val="left"/>
    </w:pPr>
    <w:rPr>
      <w:rFonts w:ascii="宋体" w:hAnsi="宋体"/>
      <w:kern w:val="0"/>
      <w:sz w:val="24"/>
      <w:szCs w:val="28"/>
      <w:lang w:val="zh-CN"/>
    </w:rPr>
  </w:style>
  <w:style w:type="character" w:customStyle="1" w:styleId="147">
    <w:name w:val="占位符文本1"/>
    <w:autoRedefine/>
    <w:semiHidden/>
    <w:qFormat/>
    <w:uiPriority w:val="99"/>
    <w:rPr>
      <w:color w:val="808080"/>
    </w:rPr>
  </w:style>
  <w:style w:type="character" w:customStyle="1" w:styleId="148">
    <w:name w:val="明显引用 Char"/>
    <w:link w:val="149"/>
    <w:autoRedefine/>
    <w:qFormat/>
    <w:uiPriority w:val="30"/>
    <w:rPr>
      <w:rFonts w:ascii="Calibri" w:hAnsi="Calibri"/>
      <w:b/>
      <w:bCs/>
      <w:i/>
      <w:iCs/>
      <w:color w:val="4F81BD"/>
      <w:sz w:val="21"/>
      <w:szCs w:val="22"/>
      <w:lang w:val="zh-CN" w:eastAsia="en-US" w:bidi="en-US"/>
    </w:rPr>
  </w:style>
  <w:style w:type="paragraph" w:customStyle="1" w:styleId="149">
    <w:name w:val="明显引用1"/>
    <w:basedOn w:val="1"/>
    <w:next w:val="1"/>
    <w:link w:val="148"/>
    <w:autoRedefine/>
    <w:qFormat/>
    <w:uiPriority w:val="30"/>
    <w:pPr>
      <w:widowControl/>
      <w:pBdr>
        <w:bottom w:val="single" w:color="4F81BD" w:sz="4" w:space="4"/>
      </w:pBdr>
      <w:spacing w:before="200" w:after="280"/>
      <w:ind w:left="936" w:right="936"/>
      <w:jc w:val="left"/>
    </w:pPr>
    <w:rPr>
      <w:rFonts w:ascii="Calibri" w:hAnsi="Calibri"/>
      <w:b/>
      <w:bCs/>
      <w:i/>
      <w:iCs/>
      <w:color w:val="4F81BD"/>
      <w:kern w:val="0"/>
      <w:szCs w:val="22"/>
      <w:lang w:val="zh-CN" w:eastAsia="en-US" w:bidi="en-US"/>
    </w:rPr>
  </w:style>
  <w:style w:type="character" w:customStyle="1" w:styleId="150">
    <w:name w:val="标题三 字符"/>
    <w:link w:val="151"/>
    <w:autoRedefine/>
    <w:qFormat/>
    <w:uiPriority w:val="0"/>
    <w:rPr>
      <w:rFonts w:ascii="宋体" w:hAnsi="宋体"/>
      <w:b/>
      <w:color w:val="000000"/>
      <w:kern w:val="2"/>
      <w:sz w:val="30"/>
      <w:szCs w:val="24"/>
    </w:rPr>
  </w:style>
  <w:style w:type="paragraph" w:customStyle="1" w:styleId="151">
    <w:name w:val="标题三"/>
    <w:basedOn w:val="8"/>
    <w:next w:val="11"/>
    <w:link w:val="150"/>
    <w:autoRedefine/>
    <w:qFormat/>
    <w:uiPriority w:val="0"/>
    <w:pPr>
      <w:spacing w:beforeLines="50" w:afterLines="50" w:line="400" w:lineRule="exact"/>
      <w:jc w:val="center"/>
    </w:pPr>
    <w:rPr>
      <w:rFonts w:ascii="宋体" w:hAnsi="宋体"/>
      <w:bCs w:val="0"/>
      <w:color w:val="000000"/>
      <w:kern w:val="2"/>
      <w:sz w:val="30"/>
      <w:szCs w:val="24"/>
    </w:rPr>
  </w:style>
  <w:style w:type="character" w:customStyle="1" w:styleId="152">
    <w:name w:val="font11"/>
    <w:autoRedefine/>
    <w:qFormat/>
    <w:uiPriority w:val="0"/>
    <w:rPr>
      <w:rFonts w:hint="eastAsia" w:ascii="宋体" w:hAnsi="宋体" w:eastAsia="宋体" w:cs="宋体"/>
      <w:b/>
      <w:color w:val="000000"/>
      <w:sz w:val="22"/>
      <w:szCs w:val="22"/>
      <w:u w:val="none"/>
    </w:rPr>
  </w:style>
  <w:style w:type="character" w:customStyle="1" w:styleId="153">
    <w:name w:val="无间隔 字符"/>
    <w:autoRedefine/>
    <w:qFormat/>
    <w:uiPriority w:val="1"/>
    <w:rPr>
      <w:rFonts w:ascii="等线" w:hAnsi="等线" w:eastAsia="等线" w:cs="Times New Roman"/>
      <w:sz w:val="22"/>
      <w:szCs w:val="22"/>
    </w:rPr>
  </w:style>
  <w:style w:type="character" w:customStyle="1" w:styleId="154">
    <w:name w:val="招标文件正文 Char Char"/>
    <w:link w:val="155"/>
    <w:autoRedefine/>
    <w:qFormat/>
    <w:uiPriority w:val="0"/>
    <w:rPr>
      <w:rFonts w:ascii="仿宋_GB2312" w:hAnsi="仿宋" w:eastAsia="仿宋_GB2312" w:cs="宋体"/>
      <w:kern w:val="2"/>
      <w:sz w:val="30"/>
    </w:rPr>
  </w:style>
  <w:style w:type="paragraph" w:customStyle="1" w:styleId="155">
    <w:name w:val="招标文件正文"/>
    <w:basedOn w:val="1"/>
    <w:link w:val="154"/>
    <w:autoRedefine/>
    <w:qFormat/>
    <w:uiPriority w:val="0"/>
    <w:pPr>
      <w:tabs>
        <w:tab w:val="left" w:pos="2700"/>
      </w:tabs>
      <w:spacing w:line="460" w:lineRule="exact"/>
      <w:ind w:firstLine="600" w:firstLineChars="200"/>
    </w:pPr>
    <w:rPr>
      <w:rFonts w:ascii="仿宋_GB2312" w:hAnsi="仿宋" w:eastAsia="仿宋_GB2312" w:cs="宋体"/>
      <w:sz w:val="30"/>
      <w:szCs w:val="20"/>
    </w:rPr>
  </w:style>
  <w:style w:type="character" w:customStyle="1" w:styleId="156">
    <w:name w:val="无间隔 Char"/>
    <w:link w:val="157"/>
    <w:autoRedefine/>
    <w:qFormat/>
    <w:uiPriority w:val="1"/>
    <w:rPr>
      <w:rFonts w:ascii="Calibri" w:hAnsi="Calibri"/>
      <w:sz w:val="22"/>
      <w:szCs w:val="22"/>
    </w:rPr>
  </w:style>
  <w:style w:type="paragraph" w:customStyle="1" w:styleId="157">
    <w:name w:val="无间隔1"/>
    <w:link w:val="156"/>
    <w:autoRedefine/>
    <w:qFormat/>
    <w:uiPriority w:val="1"/>
    <w:rPr>
      <w:rFonts w:ascii="Times New Roman" w:hAnsi="Times New Roman" w:eastAsia="宋体" w:cs="Times New Roman"/>
      <w:sz w:val="22"/>
      <w:szCs w:val="22"/>
      <w:lang w:val="en-US" w:eastAsia="zh-CN" w:bidi="ar-SA"/>
    </w:rPr>
  </w:style>
  <w:style w:type="character" w:customStyle="1" w:styleId="158">
    <w:name w:val="正文缩进 Char"/>
    <w:autoRedefine/>
    <w:qFormat/>
    <w:uiPriority w:val="0"/>
    <w:rPr>
      <w:rFonts w:ascii="Times New Roman" w:hAnsi="Times New Roman" w:eastAsia="宋体" w:cs="Times New Roman"/>
      <w:szCs w:val="24"/>
    </w:rPr>
  </w:style>
  <w:style w:type="character" w:customStyle="1" w:styleId="159">
    <w:name w:val="font41"/>
    <w:autoRedefine/>
    <w:qFormat/>
    <w:uiPriority w:val="0"/>
    <w:rPr>
      <w:rFonts w:hint="eastAsia" w:ascii="宋体" w:hAnsi="宋体" w:eastAsia="宋体" w:cs="宋体"/>
      <w:b/>
      <w:bCs/>
      <w:color w:val="000000"/>
      <w:sz w:val="22"/>
      <w:szCs w:val="22"/>
      <w:u w:val="none"/>
    </w:rPr>
  </w:style>
  <w:style w:type="character" w:customStyle="1" w:styleId="160">
    <w:name w:val="公文结尾 Char"/>
    <w:link w:val="161"/>
    <w:autoRedefine/>
    <w:qFormat/>
    <w:uiPriority w:val="0"/>
  </w:style>
  <w:style w:type="paragraph" w:customStyle="1" w:styleId="161">
    <w:name w:val="公文结尾"/>
    <w:basedOn w:val="155"/>
    <w:next w:val="155"/>
    <w:link w:val="160"/>
    <w:autoRedefine/>
    <w:qFormat/>
    <w:uiPriority w:val="0"/>
    <w:pPr>
      <w:wordWrap w:val="0"/>
      <w:jc w:val="right"/>
    </w:pPr>
    <w:rPr>
      <w:rFonts w:ascii="Times New Roman" w:hAnsi="Times New Roman" w:eastAsia="宋体" w:cs="Times New Roman"/>
      <w:kern w:val="0"/>
      <w:sz w:val="20"/>
    </w:rPr>
  </w:style>
  <w:style w:type="character" w:customStyle="1" w:styleId="162">
    <w:name w:val="正文缩进 Char1"/>
    <w:autoRedefine/>
    <w:qFormat/>
    <w:uiPriority w:val="0"/>
    <w:rPr>
      <w:kern w:val="2"/>
      <w:sz w:val="21"/>
    </w:rPr>
  </w:style>
  <w:style w:type="character" w:customStyle="1" w:styleId="163">
    <w:name w:val="页脚 字符"/>
    <w:autoRedefine/>
    <w:qFormat/>
    <w:uiPriority w:val="99"/>
    <w:rPr>
      <w:sz w:val="18"/>
      <w:szCs w:val="18"/>
    </w:rPr>
  </w:style>
  <w:style w:type="character" w:customStyle="1" w:styleId="164">
    <w:name w:val="正文缩进2格 Char"/>
    <w:link w:val="165"/>
    <w:autoRedefine/>
    <w:qFormat/>
    <w:locked/>
    <w:uiPriority w:val="0"/>
    <w:rPr>
      <w:rFonts w:ascii="仿宋_GB2312" w:hAnsi="宋体" w:eastAsia="仿宋_GB2312"/>
      <w:sz w:val="28"/>
    </w:rPr>
  </w:style>
  <w:style w:type="paragraph" w:customStyle="1" w:styleId="165">
    <w:name w:val="正文缩进2格"/>
    <w:basedOn w:val="1"/>
    <w:link w:val="164"/>
    <w:autoRedefine/>
    <w:qFormat/>
    <w:uiPriority w:val="0"/>
    <w:pPr>
      <w:spacing w:line="600" w:lineRule="exact"/>
      <w:ind w:firstLine="639" w:firstLineChars="206"/>
    </w:pPr>
    <w:rPr>
      <w:rFonts w:ascii="仿宋_GB2312" w:hAnsi="宋体" w:eastAsia="仿宋_GB2312"/>
      <w:kern w:val="0"/>
      <w:sz w:val="28"/>
      <w:szCs w:val="20"/>
    </w:rPr>
  </w:style>
  <w:style w:type="character" w:customStyle="1" w:styleId="166">
    <w:name w:val="纯文本 字符"/>
    <w:autoRedefine/>
    <w:qFormat/>
    <w:uiPriority w:val="0"/>
    <w:rPr>
      <w:rFonts w:ascii="宋体" w:hAnsi="Courier New"/>
      <w:sz w:val="34"/>
      <w:szCs w:val="21"/>
    </w:rPr>
  </w:style>
  <w:style w:type="character" w:customStyle="1" w:styleId="167">
    <w:name w:val="样式1 Char"/>
    <w:link w:val="168"/>
    <w:autoRedefine/>
    <w:qFormat/>
    <w:uiPriority w:val="0"/>
    <w:rPr>
      <w:rFonts w:ascii="Arial" w:hAnsi="Arial" w:eastAsia="黑体" w:cs="Arial"/>
      <w:bCs/>
      <w:sz w:val="30"/>
      <w:szCs w:val="21"/>
    </w:rPr>
  </w:style>
  <w:style w:type="paragraph" w:customStyle="1" w:styleId="168">
    <w:name w:val="样式1"/>
    <w:basedOn w:val="26"/>
    <w:link w:val="167"/>
    <w:autoRedefine/>
    <w:qFormat/>
    <w:uiPriority w:val="0"/>
    <w:pPr>
      <w:spacing w:before="120" w:after="120"/>
    </w:pPr>
    <w:rPr>
      <w:rFonts w:eastAsia="黑体"/>
      <w:b w:val="0"/>
      <w:sz w:val="30"/>
      <w:szCs w:val="21"/>
    </w:rPr>
  </w:style>
  <w:style w:type="character" w:customStyle="1" w:styleId="169">
    <w:name w:val="正文文本首行缩进 2 字符"/>
    <w:autoRedefine/>
    <w:qFormat/>
    <w:uiPriority w:val="0"/>
    <w:rPr>
      <w:rFonts w:ascii="Arial" w:hAnsi="Arial"/>
      <w:kern w:val="28"/>
      <w:sz w:val="21"/>
      <w:szCs w:val="24"/>
      <w:lang w:eastAsia="en-US" w:bidi="en-US"/>
    </w:rPr>
  </w:style>
  <w:style w:type="character" w:customStyle="1" w:styleId="170">
    <w:name w:val="apple-style-span"/>
    <w:autoRedefine/>
    <w:qFormat/>
    <w:uiPriority w:val="0"/>
  </w:style>
  <w:style w:type="character" w:customStyle="1" w:styleId="171">
    <w:name w:val="批注文字 字符"/>
    <w:autoRedefine/>
    <w:qFormat/>
    <w:uiPriority w:val="0"/>
    <w:rPr>
      <w:sz w:val="24"/>
      <w:szCs w:val="24"/>
    </w:rPr>
  </w:style>
  <w:style w:type="character" w:customStyle="1" w:styleId="172">
    <w:name w:val="纯文本 Char_0"/>
    <w:link w:val="173"/>
    <w:autoRedefine/>
    <w:qFormat/>
    <w:uiPriority w:val="0"/>
    <w:rPr>
      <w:rFonts w:ascii="宋体" w:hAnsi="Courier New" w:cs="Courier New"/>
      <w:kern w:val="2"/>
      <w:sz w:val="21"/>
      <w:szCs w:val="21"/>
    </w:rPr>
  </w:style>
  <w:style w:type="paragraph" w:customStyle="1" w:styleId="173">
    <w:name w:val="Plain Text_0"/>
    <w:basedOn w:val="174"/>
    <w:link w:val="172"/>
    <w:autoRedefine/>
    <w:qFormat/>
    <w:uiPriority w:val="0"/>
    <w:rPr>
      <w:rFonts w:ascii="宋体" w:hAnsi="Courier New" w:cs="Courier New"/>
      <w:szCs w:val="21"/>
    </w:rPr>
  </w:style>
  <w:style w:type="paragraph" w:customStyle="1" w:styleId="174">
    <w:name w:val="Normal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5">
    <w:name w:val="表正文 Char2"/>
    <w:autoRedefine/>
    <w:qFormat/>
    <w:uiPriority w:val="0"/>
    <w:rPr>
      <w:rFonts w:eastAsia="宋体"/>
      <w:kern w:val="2"/>
      <w:sz w:val="21"/>
      <w:szCs w:val="24"/>
      <w:lang w:val="en-US" w:eastAsia="zh-CN" w:bidi="ar-SA"/>
    </w:rPr>
  </w:style>
  <w:style w:type="character" w:customStyle="1" w:styleId="176">
    <w:name w:val="样式1 Char Char Char"/>
    <w:link w:val="177"/>
    <w:autoRedefine/>
    <w:qFormat/>
    <w:uiPriority w:val="0"/>
    <w:rPr>
      <w:rFonts w:ascii="Times New Roman" w:hAnsi="Times New Roman" w:eastAsia="宋体" w:cs="Times New Roman"/>
      <w:sz w:val="24"/>
      <w:szCs w:val="20"/>
    </w:rPr>
  </w:style>
  <w:style w:type="paragraph" w:customStyle="1" w:styleId="177">
    <w:name w:val="样式1 Char Char"/>
    <w:basedOn w:val="1"/>
    <w:next w:val="1"/>
    <w:link w:val="176"/>
    <w:autoRedefine/>
    <w:qFormat/>
    <w:uiPriority w:val="0"/>
    <w:pPr>
      <w:spacing w:line="360" w:lineRule="auto"/>
      <w:ind w:firstLine="516" w:firstLineChars="215"/>
    </w:pPr>
    <w:rPr>
      <w:kern w:val="0"/>
      <w:sz w:val="24"/>
      <w:szCs w:val="20"/>
    </w:rPr>
  </w:style>
  <w:style w:type="character" w:customStyle="1" w:styleId="178">
    <w:name w:val="apple-converted-space"/>
    <w:autoRedefine/>
    <w:qFormat/>
    <w:uiPriority w:val="0"/>
  </w:style>
  <w:style w:type="character" w:customStyle="1" w:styleId="179">
    <w:name w:val="样式2 Char"/>
    <w:link w:val="180"/>
    <w:autoRedefine/>
    <w:qFormat/>
    <w:uiPriority w:val="0"/>
    <w:rPr>
      <w:rFonts w:ascii="Times New Roman" w:hAnsi="Times New Roman" w:eastAsia="宋体" w:cs="Times New Roman"/>
      <w:szCs w:val="24"/>
    </w:rPr>
  </w:style>
  <w:style w:type="paragraph" w:customStyle="1" w:styleId="180">
    <w:name w:val="样式2"/>
    <w:basedOn w:val="4"/>
    <w:link w:val="179"/>
    <w:autoRedefine/>
    <w:qFormat/>
    <w:uiPriority w:val="0"/>
  </w:style>
  <w:style w:type="character" w:customStyle="1" w:styleId="181">
    <w:name w:val="页眉 字符"/>
    <w:autoRedefine/>
    <w:qFormat/>
    <w:uiPriority w:val="99"/>
    <w:rPr>
      <w:sz w:val="18"/>
      <w:szCs w:val="18"/>
    </w:rPr>
  </w:style>
  <w:style w:type="character" w:customStyle="1" w:styleId="182">
    <w:name w:val="标题一 字符"/>
    <w:link w:val="183"/>
    <w:autoRedefine/>
    <w:qFormat/>
    <w:uiPriority w:val="0"/>
    <w:rPr>
      <w:rFonts w:ascii="宋体"/>
      <w:b/>
      <w:kern w:val="2"/>
      <w:sz w:val="32"/>
      <w:szCs w:val="32"/>
    </w:rPr>
  </w:style>
  <w:style w:type="paragraph" w:customStyle="1" w:styleId="183">
    <w:name w:val="标题一"/>
    <w:basedOn w:val="6"/>
    <w:next w:val="11"/>
    <w:link w:val="182"/>
    <w:autoRedefine/>
    <w:qFormat/>
    <w:uiPriority w:val="0"/>
    <w:pPr>
      <w:keepLines w:val="0"/>
      <w:spacing w:before="0" w:after="0" w:line="360" w:lineRule="auto"/>
      <w:jc w:val="left"/>
    </w:pPr>
    <w:rPr>
      <w:rFonts w:ascii="宋体" w:hAnsi="Times New Roman" w:eastAsia="宋体"/>
      <w:b/>
      <w:kern w:val="2"/>
    </w:rPr>
  </w:style>
  <w:style w:type="character" w:customStyle="1" w:styleId="184">
    <w:name w:val="NormalCharacter"/>
    <w:autoRedefine/>
    <w:qFormat/>
    <w:uiPriority w:val="0"/>
  </w:style>
  <w:style w:type="character" w:customStyle="1" w:styleId="185">
    <w:name w:val="居中正文 Char"/>
    <w:link w:val="186"/>
    <w:autoRedefine/>
    <w:qFormat/>
    <w:uiPriority w:val="0"/>
    <w:rPr>
      <w:sz w:val="21"/>
      <w:szCs w:val="28"/>
    </w:rPr>
  </w:style>
  <w:style w:type="paragraph" w:customStyle="1" w:styleId="186">
    <w:name w:val="居中正文"/>
    <w:basedOn w:val="11"/>
    <w:link w:val="185"/>
    <w:autoRedefine/>
    <w:qFormat/>
    <w:uiPriority w:val="0"/>
    <w:pPr>
      <w:ind w:firstLine="0" w:firstLineChars="0"/>
      <w:jc w:val="center"/>
    </w:pPr>
    <w:rPr>
      <w:rFonts w:hAnsi="Times New Roman"/>
      <w:lang w:val="en-US"/>
    </w:rPr>
  </w:style>
  <w:style w:type="character" w:customStyle="1" w:styleId="187">
    <w:name w:val="居中表格 Char"/>
    <w:link w:val="188"/>
    <w:autoRedefine/>
    <w:qFormat/>
    <w:uiPriority w:val="0"/>
    <w:rPr>
      <w:sz w:val="21"/>
      <w:szCs w:val="28"/>
    </w:rPr>
  </w:style>
  <w:style w:type="paragraph" w:customStyle="1" w:styleId="188">
    <w:name w:val="居中表格"/>
    <w:basedOn w:val="186"/>
    <w:link w:val="187"/>
    <w:autoRedefine/>
    <w:qFormat/>
    <w:uiPriority w:val="0"/>
    <w:pPr>
      <w:spacing w:line="276" w:lineRule="auto"/>
    </w:pPr>
  </w:style>
  <w:style w:type="character" w:customStyle="1" w:styleId="189">
    <w:name w:val="资信 Char"/>
    <w:link w:val="190"/>
    <w:autoRedefine/>
    <w:qFormat/>
    <w:uiPriority w:val="0"/>
    <w:rPr>
      <w:rFonts w:ascii="宋体" w:hAnsi="宋体"/>
      <w:sz w:val="24"/>
      <w:szCs w:val="28"/>
      <w:lang w:val="zh-CN"/>
    </w:rPr>
  </w:style>
  <w:style w:type="paragraph" w:customStyle="1" w:styleId="190">
    <w:name w:val="资信"/>
    <w:basedOn w:val="1"/>
    <w:link w:val="189"/>
    <w:autoRedefine/>
    <w:qFormat/>
    <w:uiPriority w:val="0"/>
    <w:pPr>
      <w:spacing w:line="360" w:lineRule="auto"/>
      <w:jc w:val="center"/>
    </w:pPr>
    <w:rPr>
      <w:rFonts w:ascii="宋体" w:hAnsi="宋体"/>
      <w:kern w:val="0"/>
      <w:sz w:val="24"/>
      <w:szCs w:val="28"/>
      <w:lang w:val="zh-CN"/>
    </w:rPr>
  </w:style>
  <w:style w:type="character" w:customStyle="1" w:styleId="191">
    <w:name w:val="标题2.1 字符"/>
    <w:link w:val="192"/>
    <w:autoRedefine/>
    <w:qFormat/>
    <w:uiPriority w:val="0"/>
    <w:rPr>
      <w:rFonts w:ascii="宋体" w:hAnsi="宋体"/>
      <w:b/>
      <w:color w:val="000000"/>
      <w:kern w:val="2"/>
      <w:sz w:val="24"/>
      <w:szCs w:val="24"/>
    </w:rPr>
  </w:style>
  <w:style w:type="paragraph" w:customStyle="1" w:styleId="192">
    <w:name w:val="标题2.1"/>
    <w:basedOn w:val="8"/>
    <w:next w:val="11"/>
    <w:link w:val="191"/>
    <w:autoRedefine/>
    <w:qFormat/>
    <w:uiPriority w:val="0"/>
    <w:pPr>
      <w:spacing w:beforeLines="50" w:afterLines="50" w:line="400" w:lineRule="exact"/>
      <w:ind w:left="627" w:hanging="627"/>
    </w:pPr>
    <w:rPr>
      <w:rFonts w:ascii="宋体" w:hAnsi="宋体"/>
      <w:bCs w:val="0"/>
      <w:color w:val="000000"/>
      <w:kern w:val="2"/>
      <w:sz w:val="24"/>
      <w:szCs w:val="24"/>
    </w:rPr>
  </w:style>
  <w:style w:type="character" w:customStyle="1" w:styleId="193">
    <w:name w:val="textcontents"/>
    <w:autoRedefine/>
    <w:qFormat/>
    <w:uiPriority w:val="0"/>
  </w:style>
  <w:style w:type="character" w:customStyle="1" w:styleId="194">
    <w:name w:val="批注文字 Char"/>
    <w:autoRedefine/>
    <w:qFormat/>
    <w:uiPriority w:val="0"/>
    <w:rPr>
      <w:rFonts w:ascii="宋体" w:hAnsi="Times New Roman"/>
      <w:kern w:val="2"/>
      <w:sz w:val="24"/>
    </w:rPr>
  </w:style>
  <w:style w:type="character" w:customStyle="1" w:styleId="195">
    <w:name w:val="引用 Char"/>
    <w:link w:val="196"/>
    <w:autoRedefine/>
    <w:qFormat/>
    <w:uiPriority w:val="29"/>
    <w:rPr>
      <w:rFonts w:ascii="Calibri" w:hAnsi="Calibri"/>
      <w:i/>
      <w:iCs/>
      <w:color w:val="000000"/>
      <w:sz w:val="21"/>
      <w:szCs w:val="22"/>
      <w:lang w:val="zh-CN" w:eastAsia="en-US" w:bidi="en-US"/>
    </w:rPr>
  </w:style>
  <w:style w:type="paragraph" w:customStyle="1" w:styleId="196">
    <w:name w:val="引用1"/>
    <w:basedOn w:val="1"/>
    <w:next w:val="1"/>
    <w:link w:val="195"/>
    <w:autoRedefine/>
    <w:qFormat/>
    <w:uiPriority w:val="29"/>
    <w:pPr>
      <w:widowControl/>
      <w:jc w:val="left"/>
    </w:pPr>
    <w:rPr>
      <w:rFonts w:ascii="Calibri" w:hAnsi="Calibri"/>
      <w:i/>
      <w:iCs/>
      <w:color w:val="000000"/>
      <w:kern w:val="0"/>
      <w:szCs w:val="22"/>
      <w:lang w:val="zh-CN" w:eastAsia="en-US" w:bidi="en-US"/>
    </w:rPr>
  </w:style>
  <w:style w:type="character" w:customStyle="1" w:styleId="197">
    <w:name w:val="明显强调1"/>
    <w:autoRedefine/>
    <w:qFormat/>
    <w:uiPriority w:val="21"/>
    <w:rPr>
      <w:b/>
      <w:bCs/>
      <w:i/>
      <w:iCs/>
      <w:color w:val="4F81BD"/>
    </w:rPr>
  </w:style>
  <w:style w:type="character" w:customStyle="1" w:styleId="198">
    <w:name w:val="纯文本 Char1"/>
    <w:autoRedefine/>
    <w:qFormat/>
    <w:uiPriority w:val="0"/>
    <w:rPr>
      <w:rFonts w:ascii="宋体" w:hAnsi="Courier New" w:eastAsia="宋体" w:cs="Courier New"/>
      <w:szCs w:val="21"/>
    </w:rPr>
  </w:style>
  <w:style w:type="paragraph" w:customStyle="1" w:styleId="199">
    <w:name w:val="Char Char Char1 Char1"/>
    <w:basedOn w:val="22"/>
    <w:autoRedefine/>
    <w:qFormat/>
    <w:uiPriority w:val="0"/>
    <w:rPr>
      <w:rFonts w:ascii="Tahoma" w:hAnsi="Tahoma"/>
      <w:kern w:val="2"/>
      <w:sz w:val="24"/>
    </w:rPr>
  </w:style>
  <w:style w:type="paragraph" w:customStyle="1" w:styleId="200">
    <w:name w:val="Char14"/>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style9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3">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4">
    <w:name w:val="首行缩进:  2 字符"/>
    <w:basedOn w:val="1"/>
    <w:autoRedefine/>
    <w:qFormat/>
    <w:uiPriority w:val="0"/>
    <w:pPr>
      <w:spacing w:line="413" w:lineRule="auto"/>
      <w:ind w:firstLine="480" w:firstLineChars="200"/>
      <w:jc w:val="left"/>
    </w:pPr>
    <w:rPr>
      <w:rFonts w:cs="宋体"/>
      <w:sz w:val="24"/>
      <w:szCs w:val="20"/>
    </w:rPr>
  </w:style>
  <w:style w:type="paragraph" w:customStyle="1" w:styleId="205">
    <w:name w:val="Normal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 Char Char1 Char2"/>
    <w:basedOn w:val="22"/>
    <w:autoRedefine/>
    <w:qFormat/>
    <w:uiPriority w:val="0"/>
    <w:rPr>
      <w:rFonts w:ascii="Tahoma" w:hAnsi="Tahoma"/>
      <w:kern w:val="2"/>
      <w:sz w:val="24"/>
    </w:rPr>
  </w:style>
  <w:style w:type="paragraph" w:customStyle="1" w:styleId="207">
    <w:name w:val="条"/>
    <w:basedOn w:val="1"/>
    <w:autoRedefine/>
    <w:qFormat/>
    <w:uiPriority w:val="0"/>
    <w:pPr>
      <w:spacing w:line="360" w:lineRule="exact"/>
    </w:pPr>
    <w:rPr>
      <w:rFonts w:ascii="宋体" w:hAnsi="宋体"/>
      <w:b/>
      <w:szCs w:val="21"/>
    </w:rPr>
  </w:style>
  <w:style w:type="paragraph" w:customStyle="1" w:styleId="20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09">
    <w:name w:val="_Style 2"/>
    <w:basedOn w:val="1"/>
    <w:autoRedefine/>
    <w:qFormat/>
    <w:uiPriority w:val="34"/>
    <w:pPr>
      <w:ind w:firstLine="420" w:firstLineChars="200"/>
    </w:pPr>
    <w:rPr>
      <w:rFonts w:ascii="Calibri" w:hAnsi="Calibri"/>
      <w:szCs w:val="22"/>
    </w:rPr>
  </w:style>
  <w:style w:type="paragraph" w:customStyle="1" w:styleId="210">
    <w:name w:val="表格文字五号-两端对齐"/>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xl22"/>
    <w:basedOn w:val="1"/>
    <w:autoRedefine/>
    <w:qFormat/>
    <w:uiPriority w:val="0"/>
    <w:pPr>
      <w:widowControl/>
      <w:spacing w:before="100" w:beforeAutospacing="1" w:after="100" w:afterAutospacing="1"/>
      <w:jc w:val="center"/>
    </w:pPr>
    <w:rPr>
      <w:rFonts w:ascii="宋体" w:hAnsi="宋体"/>
      <w:kern w:val="0"/>
      <w:sz w:val="24"/>
    </w:rPr>
  </w:style>
  <w:style w:type="paragraph" w:customStyle="1" w:styleId="212">
    <w:name w:val="列出段落1"/>
    <w:basedOn w:val="1"/>
    <w:autoRedefine/>
    <w:qFormat/>
    <w:uiPriority w:val="34"/>
    <w:pPr>
      <w:ind w:firstLine="420" w:firstLineChars="200"/>
    </w:pPr>
  </w:style>
  <w:style w:type="paragraph" w:customStyle="1" w:styleId="213">
    <w:name w:val="正文1"/>
    <w:basedOn w:val="1"/>
    <w:autoRedefine/>
    <w:qFormat/>
    <w:uiPriority w:val="0"/>
    <w:pPr>
      <w:spacing w:line="360" w:lineRule="auto"/>
      <w:jc w:val="center"/>
    </w:pPr>
    <w:rPr>
      <w:kern w:val="0"/>
      <w:sz w:val="24"/>
      <w:szCs w:val="28"/>
    </w:rPr>
  </w:style>
  <w:style w:type="paragraph" w:customStyle="1" w:styleId="214">
    <w:name w:val="修订1"/>
    <w:autoRedefine/>
    <w:semiHidden/>
    <w:qFormat/>
    <w:uiPriority w:val="99"/>
    <w:rPr>
      <w:rFonts w:ascii="Calibri" w:hAnsi="Calibri" w:eastAsia="宋体" w:cs="Times New Roman"/>
      <w:sz w:val="21"/>
      <w:szCs w:val="22"/>
      <w:lang w:val="en-US" w:eastAsia="en-US" w:bidi="en-US"/>
    </w:rPr>
  </w:style>
  <w:style w:type="paragraph" w:customStyle="1" w:styleId="215">
    <w:name w:val="xl33"/>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olor w:val="000000"/>
      <w:kern w:val="0"/>
      <w:sz w:val="18"/>
      <w:szCs w:val="18"/>
    </w:rPr>
  </w:style>
  <w:style w:type="paragraph" w:customStyle="1" w:styleId="216">
    <w:name w:val="招标文件2级标题"/>
    <w:basedOn w:val="1"/>
    <w:next w:val="25"/>
    <w:autoRedefine/>
    <w:qFormat/>
    <w:uiPriority w:val="0"/>
    <w:pPr>
      <w:widowControl/>
      <w:jc w:val="center"/>
    </w:pPr>
    <w:rPr>
      <w:rFonts w:ascii="宋体" w:hAnsi="宋体" w:cs="宋体"/>
      <w:b/>
      <w:color w:val="000000"/>
      <w:kern w:val="0"/>
      <w:sz w:val="44"/>
      <w:szCs w:val="44"/>
    </w:rPr>
  </w:style>
  <w:style w:type="paragraph" w:customStyle="1" w:styleId="217">
    <w:name w:val="样式7"/>
    <w:basedOn w:val="1"/>
    <w:autoRedefine/>
    <w:qFormat/>
    <w:uiPriority w:val="0"/>
    <w:pPr>
      <w:autoSpaceDE w:val="0"/>
      <w:autoSpaceDN w:val="0"/>
      <w:adjustRightInd w:val="0"/>
      <w:jc w:val="center"/>
    </w:pPr>
    <w:rPr>
      <w:b/>
      <w:kern w:val="20"/>
      <w:sz w:val="30"/>
      <w:szCs w:val="20"/>
    </w:rPr>
  </w:style>
  <w:style w:type="paragraph" w:customStyle="1" w:styleId="218">
    <w:name w:val="TOC 标题11"/>
    <w:basedOn w:val="6"/>
    <w:next w:val="1"/>
    <w:autoRedefine/>
    <w:unhideWhenUsed/>
    <w:qFormat/>
    <w:uiPriority w:val="39"/>
    <w:pPr>
      <w:keepNext w:val="0"/>
      <w:widowControl/>
      <w:spacing w:before="480" w:after="0" w:line="276" w:lineRule="auto"/>
      <w:jc w:val="left"/>
      <w:outlineLvl w:val="9"/>
    </w:pPr>
    <w:rPr>
      <w:rFonts w:ascii="Cambria" w:hAnsi="Cambria" w:eastAsia="宋体"/>
      <w:b/>
      <w:bCs/>
      <w:color w:val="365F91"/>
      <w:kern w:val="0"/>
      <w:sz w:val="28"/>
      <w:szCs w:val="28"/>
    </w:rPr>
  </w:style>
  <w:style w:type="paragraph" w:customStyle="1" w:styleId="219">
    <w:name w:val="TOC 标题1"/>
    <w:basedOn w:val="6"/>
    <w:next w:val="1"/>
    <w:autoRedefine/>
    <w:unhideWhenUsed/>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220">
    <w:name w:val="技术"/>
    <w:basedOn w:val="1"/>
    <w:autoRedefine/>
    <w:qFormat/>
    <w:uiPriority w:val="0"/>
    <w:pPr>
      <w:spacing w:line="360" w:lineRule="auto"/>
      <w:ind w:firstLine="480" w:firstLineChars="200"/>
      <w:jc w:val="left"/>
    </w:pPr>
    <w:rPr>
      <w:rFonts w:ascii="宋体" w:hAnsi="宋体"/>
      <w:kern w:val="0"/>
      <w:sz w:val="24"/>
      <w:szCs w:val="28"/>
    </w:rPr>
  </w:style>
  <w:style w:type="paragraph" w:customStyle="1" w:styleId="221">
    <w:name w:val="列出段落11"/>
    <w:basedOn w:val="1"/>
    <w:autoRedefine/>
    <w:qFormat/>
    <w:uiPriority w:val="0"/>
    <w:pPr>
      <w:ind w:firstLine="420" w:firstLineChars="200"/>
    </w:pPr>
  </w:style>
  <w:style w:type="paragraph" w:customStyle="1" w:styleId="222">
    <w:name w:val="！表格内容"/>
    <w:basedOn w:val="1"/>
    <w:autoRedefine/>
    <w:qFormat/>
    <w:uiPriority w:val="0"/>
    <w:pPr>
      <w:spacing w:line="320" w:lineRule="atLeast"/>
    </w:pPr>
  </w:style>
  <w:style w:type="paragraph" w:customStyle="1" w:styleId="223">
    <w:name w:val="章"/>
    <w:basedOn w:val="1"/>
    <w:autoRedefine/>
    <w:qFormat/>
    <w:uiPriority w:val="0"/>
    <w:pPr>
      <w:spacing w:line="600" w:lineRule="exact"/>
      <w:jc w:val="center"/>
    </w:pPr>
    <w:rPr>
      <w:rFonts w:eastAsia="黑体"/>
      <w:b/>
      <w:sz w:val="32"/>
      <w:szCs w:val="20"/>
    </w:rPr>
  </w:style>
  <w:style w:type="paragraph" w:customStyle="1" w:styleId="224">
    <w:name w:val="列出段落2"/>
    <w:basedOn w:val="1"/>
    <w:autoRedefine/>
    <w:qFormat/>
    <w:uiPriority w:val="0"/>
    <w:pPr>
      <w:ind w:firstLine="420" w:firstLineChars="200"/>
    </w:pPr>
  </w:style>
  <w:style w:type="paragraph" w:customStyle="1" w:styleId="225">
    <w:name w:val="List Paragraph1"/>
    <w:basedOn w:val="1"/>
    <w:autoRedefine/>
    <w:qFormat/>
    <w:uiPriority w:val="0"/>
    <w:pPr>
      <w:ind w:firstLine="420" w:firstLineChars="200"/>
    </w:pPr>
    <w:rPr>
      <w:rFonts w:ascii="Calibri" w:hAnsi="Calibri"/>
    </w:rPr>
  </w:style>
  <w:style w:type="paragraph" w:customStyle="1" w:styleId="226">
    <w:name w:val="003"/>
    <w:basedOn w:val="1"/>
    <w:autoRedefine/>
    <w:qFormat/>
    <w:uiPriority w:val="0"/>
    <w:rPr>
      <w:rFonts w:ascii="宋体"/>
      <w:sz w:val="28"/>
      <w:szCs w:val="20"/>
    </w:rPr>
  </w:style>
  <w:style w:type="paragraph" w:customStyle="1" w:styleId="227">
    <w:name w:val="WPSOffice手动目录 1"/>
    <w:autoRedefine/>
    <w:qFormat/>
    <w:uiPriority w:val="0"/>
    <w:rPr>
      <w:rFonts w:ascii="Times New Roman" w:hAnsi="Times New Roman" w:eastAsia="宋体" w:cs="Times New Roman"/>
      <w:lang w:val="en-US" w:eastAsia="zh-CN" w:bidi="ar-SA"/>
    </w:rPr>
  </w:style>
  <w:style w:type="paragraph" w:customStyle="1" w:styleId="228">
    <w:name w:val="USE 1"/>
    <w:basedOn w:val="1"/>
    <w:autoRedefine/>
    <w:qFormat/>
    <w:uiPriority w:val="0"/>
    <w:pPr>
      <w:spacing w:line="200" w:lineRule="atLeast"/>
      <w:jc w:val="left"/>
    </w:pPr>
    <w:rPr>
      <w:rFonts w:ascii="宋体" w:hAnsi="宋体"/>
      <w:b/>
      <w:sz w:val="24"/>
      <w:szCs w:val="28"/>
    </w:rPr>
  </w:style>
  <w:style w:type="paragraph" w:customStyle="1" w:styleId="229">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0">
    <w:name w:val="Table Paragraph"/>
    <w:basedOn w:val="1"/>
    <w:autoRedefine/>
    <w:qFormat/>
    <w:uiPriority w:val="1"/>
    <w:pPr>
      <w:autoSpaceDE w:val="0"/>
      <w:autoSpaceDN w:val="0"/>
      <w:spacing w:line="360" w:lineRule="auto"/>
      <w:ind w:firstLine="200" w:firstLineChars="200"/>
    </w:pPr>
    <w:rPr>
      <w:kern w:val="0"/>
      <w:sz w:val="24"/>
    </w:rPr>
  </w:style>
  <w:style w:type="paragraph" w:customStyle="1" w:styleId="231">
    <w:name w:val="缺省文本"/>
    <w:basedOn w:val="1"/>
    <w:autoRedefine/>
    <w:qFormat/>
    <w:uiPriority w:val="0"/>
    <w:pPr>
      <w:autoSpaceDE w:val="0"/>
      <w:autoSpaceDN w:val="0"/>
      <w:adjustRightInd w:val="0"/>
      <w:jc w:val="left"/>
    </w:pPr>
    <w:rPr>
      <w:kern w:val="0"/>
      <w:sz w:val="24"/>
    </w:rPr>
  </w:style>
  <w:style w:type="paragraph" w:customStyle="1" w:styleId="232">
    <w:name w:val="简单回函地址"/>
    <w:basedOn w:val="1"/>
    <w:autoRedefine/>
    <w:qFormat/>
    <w:uiPriority w:val="0"/>
  </w:style>
  <w:style w:type="paragraph" w:customStyle="1" w:styleId="233">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234">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修订2"/>
    <w:autoRedefine/>
    <w:qFormat/>
    <w:uiPriority w:val="71"/>
    <w:rPr>
      <w:rFonts w:ascii="Times New Roman" w:hAnsi="Times New Roman" w:eastAsia="宋体" w:cs="Times New Roman"/>
      <w:kern w:val="2"/>
      <w:sz w:val="21"/>
      <w:szCs w:val="24"/>
      <w:lang w:val="en-US" w:eastAsia="zh-CN" w:bidi="ar-SA"/>
    </w:rPr>
  </w:style>
  <w:style w:type="paragraph" w:customStyle="1" w:styleId="236">
    <w:name w:val="Char4"/>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7">
    <w:name w:val="正文样式"/>
    <w:basedOn w:val="1"/>
    <w:autoRedefine/>
    <w:qFormat/>
    <w:uiPriority w:val="0"/>
    <w:pPr>
      <w:jc w:val="center"/>
    </w:pPr>
    <w:rPr>
      <w:sz w:val="24"/>
    </w:rPr>
  </w:style>
  <w:style w:type="paragraph" w:customStyle="1" w:styleId="238">
    <w:name w:val="列出段落31"/>
    <w:basedOn w:val="1"/>
    <w:autoRedefine/>
    <w:qFormat/>
    <w:uiPriority w:val="0"/>
    <w:pPr>
      <w:ind w:firstLine="420" w:firstLineChars="200"/>
    </w:pPr>
  </w:style>
  <w:style w:type="paragraph" w:customStyle="1" w:styleId="23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0">
    <w:name w:val="Char1"/>
    <w:basedOn w:val="1"/>
    <w:autoRedefine/>
    <w:qFormat/>
    <w:uiPriority w:val="0"/>
    <w:rPr>
      <w:rFonts w:ascii="仿宋_GB2312" w:eastAsia="仿宋_GB2312"/>
      <w:b/>
      <w:sz w:val="32"/>
      <w:szCs w:val="32"/>
    </w:rPr>
  </w:style>
  <w:style w:type="paragraph" w:customStyle="1" w:styleId="241">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_Style 127"/>
    <w:basedOn w:val="1"/>
    <w:autoRedefine/>
    <w:qFormat/>
    <w:uiPriority w:val="0"/>
    <w:rPr>
      <w:szCs w:val="20"/>
    </w:rPr>
  </w:style>
  <w:style w:type="paragraph" w:customStyle="1" w:styleId="243">
    <w:name w:val="公文图表标题"/>
    <w:basedOn w:val="1"/>
    <w:autoRedefine/>
    <w:qFormat/>
    <w:uiPriority w:val="0"/>
    <w:pPr>
      <w:jc w:val="center"/>
    </w:pPr>
    <w:rPr>
      <w:rFonts w:ascii="宋体" w:hAnsi="宋体" w:cs="宋体"/>
      <w:bCs/>
      <w:sz w:val="28"/>
      <w:szCs w:val="20"/>
    </w:rPr>
  </w:style>
  <w:style w:type="paragraph" w:customStyle="1" w:styleId="244">
    <w:name w:val="Char Char Char Char Char Char Char Char Char Char3"/>
    <w:basedOn w:val="1"/>
    <w:autoRedefine/>
    <w:qFormat/>
    <w:uiPriority w:val="0"/>
    <w:pPr>
      <w:tabs>
        <w:tab w:val="left" w:pos="720"/>
      </w:tabs>
      <w:ind w:left="720" w:hanging="720"/>
    </w:pPr>
    <w:rPr>
      <w:sz w:val="24"/>
    </w:rPr>
  </w:style>
  <w:style w:type="paragraph" w:customStyle="1" w:styleId="245">
    <w:name w:val="节"/>
    <w:basedOn w:val="223"/>
    <w:autoRedefine/>
    <w:qFormat/>
    <w:uiPriority w:val="0"/>
    <w:pPr>
      <w:tabs>
        <w:tab w:val="right" w:leader="dot" w:pos="8654"/>
      </w:tabs>
      <w:spacing w:beforeLines="50" w:afterLines="50"/>
      <w:ind w:firstLine="207" w:firstLineChars="74"/>
    </w:pPr>
    <w:rPr>
      <w:rFonts w:ascii="宋体" w:hAnsi="宋体"/>
      <w:bCs/>
      <w:sz w:val="30"/>
      <w:szCs w:val="32"/>
    </w:rPr>
  </w:style>
  <w:style w:type="paragraph" w:customStyle="1" w:styleId="246">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7">
    <w:name w:val="xl37"/>
    <w:basedOn w:val="1"/>
    <w:autoRedefine/>
    <w:qFormat/>
    <w:uiPriority w:val="0"/>
    <w:pPr>
      <w:widowControl/>
      <w:spacing w:before="100" w:beforeAutospacing="1" w:after="100" w:afterAutospacing="1"/>
      <w:jc w:val="center"/>
    </w:pPr>
    <w:rPr>
      <w:rFonts w:ascii="宋体" w:hAnsi="宋体"/>
      <w:kern w:val="0"/>
      <w:sz w:val="28"/>
      <w:szCs w:val="20"/>
    </w:rPr>
  </w:style>
  <w:style w:type="paragraph" w:customStyle="1" w:styleId="248">
    <w:name w:val="Normal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9">
    <w:name w:val="无间隔1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列出段落12"/>
    <w:basedOn w:val="1"/>
    <w:autoRedefine/>
    <w:qFormat/>
    <w:uiPriority w:val="0"/>
    <w:pPr>
      <w:ind w:firstLine="420" w:firstLineChars="200"/>
    </w:pPr>
  </w:style>
  <w:style w:type="paragraph" w:customStyle="1" w:styleId="251">
    <w:name w:val="表字居中"/>
    <w:basedOn w:val="1"/>
    <w:autoRedefine/>
    <w:qFormat/>
    <w:uiPriority w:val="0"/>
    <w:pPr>
      <w:spacing w:line="240" w:lineRule="atLeast"/>
      <w:jc w:val="center"/>
    </w:pPr>
    <w:rPr>
      <w:sz w:val="24"/>
    </w:rPr>
  </w:style>
  <w:style w:type="paragraph" w:customStyle="1" w:styleId="252">
    <w:name w:val="文档正文"/>
    <w:basedOn w:val="1"/>
    <w:autoRedefine/>
    <w:qFormat/>
    <w:uiPriority w:val="0"/>
    <w:pPr>
      <w:spacing w:line="480" w:lineRule="atLeast"/>
      <w:ind w:firstLine="567" w:firstLineChars="200"/>
      <w:textAlignment w:val="baseline"/>
    </w:pPr>
    <w:rPr>
      <w:rFonts w:ascii="长城仿宋"/>
      <w:szCs w:val="20"/>
    </w:rPr>
  </w:style>
  <w:style w:type="paragraph" w:customStyle="1" w:styleId="253">
    <w:name w:val="表格a"/>
    <w:basedOn w:val="1"/>
    <w:autoRedefine/>
    <w:qFormat/>
    <w:uiPriority w:val="0"/>
    <w:rPr>
      <w:color w:val="000000"/>
      <w:sz w:val="32"/>
      <w:szCs w:val="20"/>
    </w:rPr>
  </w:style>
  <w:style w:type="paragraph" w:customStyle="1" w:styleId="254">
    <w:name w:val="正文文本缩进 31"/>
    <w:basedOn w:val="1"/>
    <w:autoRedefine/>
    <w:qFormat/>
    <w:uiPriority w:val="0"/>
    <w:pPr>
      <w:spacing w:line="240" w:lineRule="atLeast"/>
      <w:ind w:firstLine="420"/>
    </w:pPr>
    <w:rPr>
      <w:rFonts w:ascii="楷体_GB2312" w:hAnsi="宋体" w:eastAsia="楷体_GB2312"/>
      <w:sz w:val="24"/>
      <w:szCs w:val="20"/>
      <w:lang w:val="zh-CN"/>
    </w:rPr>
  </w:style>
  <w:style w:type="paragraph" w:customStyle="1" w:styleId="255">
    <w:name w:val="xl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56">
    <w:name w:val="样式 样式 样式 首行缩进:  0.85 厘米 + 四号 首行缩进:  2 字符 段前: 5 磅 段后: 5 磅 行距: 1.....1"/>
    <w:basedOn w:val="1"/>
    <w:autoRedefine/>
    <w:qFormat/>
    <w:uiPriority w:val="0"/>
    <w:pPr>
      <w:spacing w:after="120"/>
      <w:ind w:left="100" w:leftChars="100" w:firstLine="200" w:firstLineChars="200"/>
    </w:pPr>
    <w:rPr>
      <w:rFonts w:ascii="新宋体" w:hAnsi="新宋体" w:cs="宋体"/>
      <w:sz w:val="28"/>
      <w:szCs w:val="20"/>
    </w:rPr>
  </w:style>
  <w:style w:type="paragraph" w:customStyle="1" w:styleId="257">
    <w:name w:val="样式 紧缩量  1 磅"/>
    <w:basedOn w:val="1"/>
    <w:autoRedefine/>
    <w:qFormat/>
    <w:uiPriority w:val="0"/>
    <w:pPr>
      <w:ind w:firstLine="567" w:firstLineChars="200"/>
    </w:pPr>
    <w:rPr>
      <w:rFonts w:ascii="仿宋_GB2312" w:cs="宋体"/>
      <w:kern w:val="32"/>
      <w:sz w:val="24"/>
    </w:rPr>
  </w:style>
  <w:style w:type="paragraph" w:customStyle="1" w:styleId="258">
    <w:name w:val="Char5"/>
    <w:basedOn w:val="1"/>
    <w:autoRedefine/>
    <w:qFormat/>
    <w:uiPriority w:val="0"/>
    <w:pPr>
      <w:widowControl/>
      <w:tabs>
        <w:tab w:val="left" w:pos="360"/>
      </w:tabs>
      <w:jc w:val="left"/>
    </w:pPr>
    <w:rPr>
      <w:kern w:val="0"/>
      <w:sz w:val="20"/>
      <w:szCs w:val="20"/>
    </w:rPr>
  </w:style>
  <w:style w:type="paragraph" w:customStyle="1" w:styleId="259">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0">
    <w:name w:val="默认段落字体 Para Char"/>
    <w:basedOn w:val="1"/>
    <w:autoRedefine/>
    <w:semiHidden/>
    <w:qFormat/>
    <w:uiPriority w:val="0"/>
    <w:pPr>
      <w:ind w:firstLine="480" w:firstLineChars="200"/>
    </w:pPr>
    <w:rPr>
      <w:rFonts w:ascii="宋体"/>
      <w:sz w:val="24"/>
      <w:szCs w:val="21"/>
    </w:rPr>
  </w:style>
  <w:style w:type="paragraph" w:customStyle="1" w:styleId="261">
    <w:name w:val="Char Char Char Char Char Char Char Char Char Char"/>
    <w:basedOn w:val="1"/>
    <w:autoRedefine/>
    <w:qFormat/>
    <w:uiPriority w:val="0"/>
    <w:pPr>
      <w:tabs>
        <w:tab w:val="left" w:pos="720"/>
      </w:tabs>
      <w:ind w:left="720" w:hanging="720"/>
    </w:pPr>
    <w:rPr>
      <w:sz w:val="24"/>
    </w:rPr>
  </w:style>
  <w:style w:type="paragraph" w:customStyle="1" w:styleId="262">
    <w:name w:val="插图"/>
    <w:basedOn w:val="108"/>
    <w:autoRedefine/>
    <w:qFormat/>
    <w:uiPriority w:val="0"/>
    <w:pPr>
      <w:spacing w:line="240" w:lineRule="auto"/>
      <w:ind w:firstLine="0"/>
      <w:jc w:val="center"/>
    </w:pPr>
  </w:style>
  <w:style w:type="paragraph" w:customStyle="1" w:styleId="263">
    <w:name w:val="PP 行"/>
    <w:basedOn w:val="39"/>
    <w:autoRedefine/>
    <w:qFormat/>
    <w:uiPriority w:val="0"/>
    <w:pPr>
      <w:spacing w:line="240" w:lineRule="auto"/>
    </w:pPr>
    <w:rPr>
      <w:rFonts w:ascii="Times New Roman"/>
      <w:sz w:val="21"/>
      <w:szCs w:val="24"/>
    </w:rPr>
  </w:style>
  <w:style w:type="paragraph" w:customStyle="1" w:styleId="264">
    <w:name w:val="Default"/>
    <w:autoRedefine/>
    <w:qFormat/>
    <w:uiPriority w:val="0"/>
    <w:pPr>
      <w:widowControl w:val="0"/>
      <w:autoSpaceDE w:val="0"/>
      <w:autoSpaceDN w:val="0"/>
      <w:adjustRightInd w:val="0"/>
    </w:pPr>
    <w:rPr>
      <w:rFonts w:ascii=".a....oú" w:hAnsi="Times New Roman" w:eastAsia=".a....oú" w:cs=".a....oú"/>
      <w:color w:val="000000"/>
      <w:sz w:val="24"/>
      <w:szCs w:val="24"/>
      <w:lang w:val="en-US" w:eastAsia="zh-CN" w:bidi="ar-SA"/>
    </w:rPr>
  </w:style>
  <w:style w:type="paragraph" w:customStyle="1" w:styleId="265">
    <w:name w:val="样式 标题 5 + (中文) 黑体 小四 段前: 0 磅 段后: 0 磅 行距: 1.5 倍行距"/>
    <w:basedOn w:val="10"/>
    <w:autoRedefine/>
    <w:qFormat/>
    <w:uiPriority w:val="0"/>
    <w:pPr>
      <w:tabs>
        <w:tab w:val="left" w:pos="284"/>
      </w:tabs>
      <w:spacing w:beforeLines="50" w:afterLines="50" w:line="312" w:lineRule="auto"/>
      <w:ind w:left="964" w:hanging="397"/>
    </w:pPr>
    <w:rPr>
      <w:rFonts w:ascii="Times New Roman" w:eastAsia="黑体"/>
      <w:b w:val="0"/>
      <w:bCs w:val="0"/>
      <w:kern w:val="2"/>
      <w:sz w:val="32"/>
      <w:lang w:val="en-US"/>
    </w:rPr>
  </w:style>
  <w:style w:type="paragraph" w:customStyle="1" w:styleId="266">
    <w:name w:val="Default Paragraph Char Char Char Char"/>
    <w:basedOn w:val="1"/>
    <w:next w:val="1"/>
    <w:autoRedefine/>
    <w:qFormat/>
    <w:uiPriority w:val="0"/>
    <w:pPr>
      <w:widowControl/>
      <w:spacing w:line="360" w:lineRule="auto"/>
      <w:jc w:val="left"/>
    </w:pPr>
    <w:rPr>
      <w:kern w:val="0"/>
      <w:szCs w:val="20"/>
      <w:lang w:eastAsia="en-US"/>
    </w:rPr>
  </w:style>
  <w:style w:type="paragraph" w:customStyle="1" w:styleId="267">
    <w:name w:val="Char Char Char Char Char Char Char Char Char Char2"/>
    <w:basedOn w:val="1"/>
    <w:autoRedefine/>
    <w:qFormat/>
    <w:uiPriority w:val="0"/>
    <w:rPr>
      <w:rFonts w:ascii="Arial" w:hAnsi="Arial" w:cs="Arial"/>
      <w:sz w:val="20"/>
      <w:szCs w:val="20"/>
    </w:rPr>
  </w:style>
  <w:style w:type="paragraph" w:customStyle="1" w:styleId="268">
    <w:name w:val="样式 标题 3 + 宋体 五号"/>
    <w:basedOn w:val="8"/>
    <w:autoRedefine/>
    <w:qFormat/>
    <w:uiPriority w:val="0"/>
    <w:pPr>
      <w:spacing w:beforeLines="50" w:afterLines="50" w:line="240" w:lineRule="auto"/>
      <w:ind w:left="627" w:hanging="627"/>
    </w:pPr>
    <w:rPr>
      <w:rFonts w:ascii="宋体" w:hAnsi="宋体"/>
      <w:bCs w:val="0"/>
      <w:kern w:val="2"/>
      <w:sz w:val="21"/>
    </w:rPr>
  </w:style>
  <w:style w:type="paragraph" w:customStyle="1" w:styleId="269">
    <w:name w:val="Char1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0">
    <w:name w:val="林正"/>
    <w:basedOn w:val="1"/>
    <w:autoRedefine/>
    <w:qFormat/>
    <w:uiPriority w:val="0"/>
    <w:pPr>
      <w:tabs>
        <w:tab w:val="left" w:pos="0"/>
        <w:tab w:val="left" w:pos="1120"/>
      </w:tabs>
      <w:spacing w:line="360" w:lineRule="auto"/>
      <w:ind w:left="561" w:leftChars="267" w:firstLine="420" w:firstLineChars="150"/>
      <w:jc w:val="left"/>
    </w:pPr>
    <w:rPr>
      <w:rFonts w:ascii="宋体" w:hAnsi="宋体"/>
      <w:kern w:val="0"/>
      <w:sz w:val="28"/>
      <w:szCs w:val="20"/>
      <w:lang w:val="zh-CN"/>
    </w:rPr>
  </w:style>
  <w:style w:type="paragraph" w:customStyle="1" w:styleId="271">
    <w:name w:val="正文（小四）"/>
    <w:basedOn w:val="1"/>
    <w:autoRedefine/>
    <w:qFormat/>
    <w:uiPriority w:val="0"/>
    <w:pPr>
      <w:snapToGrid w:val="0"/>
    </w:pPr>
    <w:rPr>
      <w:spacing w:val="-30"/>
      <w:sz w:val="24"/>
      <w:szCs w:val="20"/>
    </w:rPr>
  </w:style>
  <w:style w:type="paragraph" w:customStyle="1" w:styleId="27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
    <w:name w:val="流程图文字"/>
    <w:basedOn w:val="1"/>
    <w:autoRedefine/>
    <w:qFormat/>
    <w:uiPriority w:val="0"/>
    <w:pPr>
      <w:spacing w:line="320" w:lineRule="exact"/>
      <w:jc w:val="center"/>
    </w:pPr>
    <w:rPr>
      <w:rFonts w:ascii="宋体" w:hAnsi="宋体"/>
      <w:sz w:val="24"/>
    </w:rPr>
  </w:style>
  <w:style w:type="paragraph" w:customStyle="1" w:styleId="274">
    <w:name w:val="Char6"/>
    <w:basedOn w:val="1"/>
    <w:next w:val="1"/>
    <w:autoRedefine/>
    <w:qFormat/>
    <w:uiPriority w:val="0"/>
    <w:pPr>
      <w:widowControl/>
      <w:spacing w:line="360" w:lineRule="auto"/>
      <w:jc w:val="left"/>
    </w:pPr>
    <w:rPr>
      <w:kern w:val="0"/>
      <w:szCs w:val="20"/>
      <w:lang w:eastAsia="en-US"/>
    </w:rPr>
  </w:style>
  <w:style w:type="paragraph" w:customStyle="1" w:styleId="275">
    <w:name w:val="文本框字体"/>
    <w:basedOn w:val="1"/>
    <w:autoRedefine/>
    <w:qFormat/>
    <w:uiPriority w:val="0"/>
    <w:pPr>
      <w:jc w:val="center"/>
    </w:pPr>
    <w:rPr>
      <w:rFonts w:ascii="宋体" w:hAnsi="宋体"/>
      <w:kern w:val="28"/>
      <w:szCs w:val="21"/>
    </w:rPr>
  </w:style>
  <w:style w:type="paragraph" w:customStyle="1" w:styleId="276">
    <w:name w:val="Char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Char Char Char1 Char"/>
    <w:basedOn w:val="22"/>
    <w:autoRedefine/>
    <w:qFormat/>
    <w:uiPriority w:val="0"/>
    <w:rPr>
      <w:rFonts w:ascii="Tahoma" w:hAnsi="Tahoma"/>
      <w:kern w:val="2"/>
      <w:sz w:val="24"/>
    </w:rPr>
  </w:style>
  <w:style w:type="paragraph" w:customStyle="1" w:styleId="278">
    <w:name w:val="Char Char Char Char Char Char Char Char Char Char1"/>
    <w:basedOn w:val="1"/>
    <w:autoRedefine/>
    <w:qFormat/>
    <w:uiPriority w:val="0"/>
    <w:pPr>
      <w:tabs>
        <w:tab w:val="left" w:pos="720"/>
      </w:tabs>
      <w:ind w:left="720" w:hanging="720"/>
    </w:pPr>
    <w:rPr>
      <w:sz w:val="24"/>
    </w:rPr>
  </w:style>
  <w:style w:type="paragraph" w:customStyle="1" w:styleId="279">
    <w:name w:val="表格 中"/>
    <w:autoRedefine/>
    <w:qFormat/>
    <w:uiPriority w:val="0"/>
    <w:pPr>
      <w:spacing w:line="360" w:lineRule="auto"/>
      <w:jc w:val="center"/>
    </w:pPr>
    <w:rPr>
      <w:rFonts w:ascii="宋体" w:hAnsi="Calibri" w:eastAsia="宋体" w:cs="Times New Roman"/>
      <w:sz w:val="24"/>
      <w:lang w:val="en-US" w:eastAsia="zh-CN" w:bidi="ar-SA"/>
    </w:rPr>
  </w:style>
  <w:style w:type="paragraph" w:customStyle="1" w:styleId="280">
    <w:name w:val="表格小四"/>
    <w:basedOn w:val="1"/>
    <w:autoRedefine/>
    <w:qFormat/>
    <w:uiPriority w:val="0"/>
    <w:pPr>
      <w:snapToGrid w:val="0"/>
      <w:jc w:val="center"/>
    </w:pPr>
    <w:rPr>
      <w:rFonts w:ascii="宋体" w:hAnsi="宋体" w:eastAsia="仿宋_GB2312"/>
      <w:szCs w:val="20"/>
    </w:rPr>
  </w:style>
  <w:style w:type="paragraph" w:customStyle="1" w:styleId="281">
    <w:name w:val="列出段落3"/>
    <w:basedOn w:val="1"/>
    <w:autoRedefine/>
    <w:qFormat/>
    <w:uiPriority w:val="0"/>
    <w:pPr>
      <w:ind w:firstLine="420" w:firstLineChars="200"/>
    </w:pPr>
  </w:style>
  <w:style w:type="paragraph" w:customStyle="1" w:styleId="282">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b/>
      <w:bCs/>
      <w:color w:val="000000"/>
      <w:kern w:val="0"/>
      <w:sz w:val="24"/>
    </w:rPr>
  </w:style>
  <w:style w:type="paragraph" w:customStyle="1" w:styleId="283">
    <w:name w:val="Normal_3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修订21"/>
    <w:autoRedefine/>
    <w:semiHidden/>
    <w:qFormat/>
    <w:uiPriority w:val="99"/>
    <w:rPr>
      <w:rFonts w:ascii="宋体" w:hAnsi="Times New Roman" w:eastAsia="宋体" w:cs="Times New Roman"/>
      <w:kern w:val="2"/>
      <w:sz w:val="24"/>
      <w:lang w:val="en-US" w:eastAsia="zh-CN" w:bidi="ar-SA"/>
    </w:rPr>
  </w:style>
  <w:style w:type="table" w:customStyle="1" w:styleId="285">
    <w:name w:val="网格型12"/>
    <w:basedOn w:val="58"/>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网格表 5 深色 - 着色 31"/>
    <w:basedOn w:val="58"/>
    <w:autoRedefine/>
    <w:qFormat/>
    <w:uiPriority w:val="50"/>
    <w:rPr>
      <w:rFonts w:ascii="Calibri" w:hAnsi="Calibri"/>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DEDED"/>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A5A5A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A5A5A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A5A5A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A5A5A5"/>
      </w:tcPr>
    </w:tblStylePr>
    <w:tblStylePr w:type="band1Vert">
      <w:tcPr>
        <w:shd w:val="clear" w:color="auto" w:fill="DBDBDB"/>
      </w:tcPr>
    </w:tblStylePr>
    <w:tblStylePr w:type="band1Horz">
      <w:tcPr>
        <w:shd w:val="clear" w:color="auto" w:fill="DBDBDB"/>
      </w:tcPr>
    </w:tblStylePr>
  </w:style>
  <w:style w:type="table" w:customStyle="1" w:styleId="287">
    <w:name w:val="网格表 6 彩色1"/>
    <w:basedOn w:val="58"/>
    <w:autoRedefine/>
    <w:qFormat/>
    <w:uiPriority w:val="51"/>
    <w:rPr>
      <w:rFonts w:ascii="Calibri" w:hAnsi="Calibri"/>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88">
    <w:name w:val="清单表 7 彩色 - 着色 51"/>
    <w:basedOn w:val="58"/>
    <w:autoRedefine/>
    <w:qFormat/>
    <w:uiPriority w:val="52"/>
    <w:rPr>
      <w:rFonts w:ascii="Calibri" w:hAnsi="Calibri"/>
      <w:color w:val="2F5496"/>
    </w:rPr>
    <w:tblStylePr w:type="firstRow">
      <w:rPr>
        <w:rFonts w:eastAsia="Symbol" w:cs="Times New Roman"/>
        <w:i/>
        <w:iCs/>
        <w:sz w:val="26"/>
      </w:rPr>
      <w:tcPr>
        <w:tcBorders>
          <w:top w:val="nil"/>
          <w:left w:val="nil"/>
          <w:bottom w:val="single" w:color="4472C4" w:sz="4" w:space="0"/>
          <w:right w:val="nil"/>
          <w:insideH w:val="nil"/>
          <w:insideV w:val="nil"/>
          <w:tl2br w:val="nil"/>
          <w:tr2bl w:val="nil"/>
        </w:tcBorders>
        <w:shd w:val="clear" w:color="auto" w:fill="FFFFFF"/>
      </w:tcPr>
    </w:tblStylePr>
    <w:tblStylePr w:type="lastRow">
      <w:rPr>
        <w:rFonts w:eastAsia="Symbol" w:cs="Times New Roman"/>
        <w:i/>
        <w:iCs/>
        <w:sz w:val="26"/>
      </w:rPr>
      <w:tcPr>
        <w:tcBorders>
          <w:top w:val="single" w:color="4472C4" w:sz="4" w:space="0"/>
          <w:left w:val="nil"/>
          <w:bottom w:val="nil"/>
          <w:right w:val="nil"/>
          <w:insideH w:val="nil"/>
          <w:insideV w:val="nil"/>
          <w:tl2br w:val="nil"/>
          <w:tr2bl w:val="nil"/>
        </w:tcBorders>
        <w:shd w:val="clear" w:color="auto" w:fill="FFFFFF"/>
      </w:tcPr>
    </w:tblStylePr>
    <w:tblStylePr w:type="firstCol">
      <w:pPr>
        <w:jc w:val="right"/>
      </w:pPr>
      <w:rPr>
        <w:rFonts w:eastAsia="Symbol" w:cs="Times New Roman"/>
        <w:i/>
        <w:iCs/>
        <w:sz w:val="26"/>
      </w:rPr>
      <w:tcPr>
        <w:tcBorders>
          <w:top w:val="nil"/>
          <w:left w:val="nil"/>
          <w:bottom w:val="nil"/>
          <w:right w:val="single" w:color="4472C4" w:sz="4" w:space="0"/>
          <w:insideH w:val="nil"/>
          <w:insideV w:val="nil"/>
          <w:tl2br w:val="nil"/>
          <w:tr2bl w:val="nil"/>
        </w:tcBorders>
        <w:shd w:val="clear" w:color="auto" w:fill="FFFFFF"/>
      </w:tcPr>
    </w:tblStylePr>
    <w:tblStylePr w:type="lastCol">
      <w:rPr>
        <w:rFonts w:eastAsia="Symbol" w:cs="Times New Roman"/>
        <w:i/>
        <w:iCs/>
        <w:sz w:val="26"/>
      </w:rPr>
      <w:tcPr>
        <w:tcBorders>
          <w:top w:val="nil"/>
          <w:left w:val="single" w:color="4472C4" w:sz="4" w:space="0"/>
          <w:bottom w:val="nil"/>
          <w:right w:val="nil"/>
          <w:insideH w:val="nil"/>
          <w:insideV w:val="nil"/>
          <w:tl2br w:val="nil"/>
          <w:tr2bl w:val="nil"/>
        </w:tcBorders>
        <w:shd w:val="clear" w:color="auto" w:fill="FFFFFF"/>
      </w:tcPr>
    </w:tblStylePr>
    <w:tblStylePr w:type="band1Vert">
      <w:tcPr>
        <w:shd w:val="clear" w:color="auto" w:fill="D9E2F3"/>
      </w:tcPr>
    </w:tblStylePr>
    <w:tblStylePr w:type="band1Horz">
      <w:tcPr>
        <w:shd w:val="clear" w:color="auto" w:fill="D9E2F3"/>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289">
    <w:name w:val="网格型3"/>
    <w:basedOn w:val="58"/>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清单表 4 - 着色 41"/>
    <w:basedOn w:val="58"/>
    <w:autoRedefine/>
    <w:qFormat/>
    <w:uiPriority w:val="49"/>
    <w:rPr>
      <w:rFonts w:ascii="Calibri" w:hAnsi="Calibri"/>
    </w:rPr>
    <w:tblPr>
      <w:tblBorders>
        <w:top w:val="single" w:color="FFD966" w:sz="4" w:space="0"/>
        <w:left w:val="single" w:color="FFD966" w:sz="4" w:space="0"/>
        <w:bottom w:val="single" w:color="FFD966" w:sz="4" w:space="0"/>
        <w:right w:val="single" w:color="FFD966" w:sz="4" w:space="0"/>
        <w:insideH w:val="single" w:color="FFD966" w:sz="4" w:space="0"/>
      </w:tblBorders>
    </w:tblPr>
    <w:tblStylePr w:type="firstRow">
      <w:rPr>
        <w:b/>
        <w:bCs/>
        <w:color w:val="FFFFFF"/>
      </w:rPr>
      <w:tcPr>
        <w:tcBorders>
          <w:top w:val="single" w:color="FFC000" w:sz="4" w:space="0"/>
          <w:left w:val="single" w:color="FFC000" w:sz="4" w:space="0"/>
          <w:bottom w:val="single" w:color="FFC000" w:sz="4" w:space="0"/>
          <w:right w:val="single" w:color="FFC000" w:sz="4" w:space="0"/>
          <w:insideH w:val="nil"/>
          <w:insideV w:val="nil"/>
          <w:tl2br w:val="nil"/>
          <w:tr2bl w:val="nil"/>
        </w:tcBorders>
        <w:shd w:val="clear" w:color="auto" w:fill="FFC000"/>
      </w:tcPr>
    </w:tblStylePr>
    <w:tblStylePr w:type="lastRow">
      <w:rPr>
        <w:b/>
        <w:bCs/>
      </w:rPr>
      <w:tcPr>
        <w:tcBorders>
          <w:top w:val="double" w:color="FFD9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 w:type="table" w:customStyle="1" w:styleId="291">
    <w:name w:val="网格型9"/>
    <w:basedOn w:val="5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清单表 4 - 着色 11"/>
    <w:basedOn w:val="58"/>
    <w:autoRedefine/>
    <w:qFormat/>
    <w:uiPriority w:val="49"/>
    <w:rPr>
      <w:rFonts w:ascii="Calibri" w:hAnsi="Calibri"/>
    </w:rPr>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93">
    <w:name w:val="Table Normal"/>
    <w:autoRedefine/>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294">
    <w:name w:val="网格表 4 - 着色 31"/>
    <w:basedOn w:val="58"/>
    <w:autoRedefine/>
    <w:qFormat/>
    <w:uiPriority w:val="49"/>
    <w:rPr>
      <w:rFonts w:ascii="Calibri" w:hAnsi="Calibri"/>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295">
    <w:name w:val="网格型2"/>
    <w:basedOn w:val="5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网格表 5 深色 - 着色 21"/>
    <w:basedOn w:val="58"/>
    <w:autoRedefine/>
    <w:qFormat/>
    <w:uiPriority w:val="50"/>
    <w:rPr>
      <w:rFonts w:ascii="Calibri" w:hAnsi="Calibri"/>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297">
    <w:name w:val="网格型8"/>
    <w:basedOn w:val="5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
    <w:name w:val="清单表 6 彩色 - 着色 31"/>
    <w:basedOn w:val="58"/>
    <w:autoRedefine/>
    <w:qFormat/>
    <w:uiPriority w:val="51"/>
    <w:rPr>
      <w:rFonts w:ascii="Calibri" w:hAnsi="Calibri"/>
      <w:color w:val="7B7B7B"/>
    </w:rPr>
    <w:tblPr>
      <w:tblBorders>
        <w:top w:val="single" w:color="A5A5A5" w:sz="4" w:space="0"/>
        <w:bottom w:val="single" w:color="A5A5A5" w:sz="4" w:space="0"/>
      </w:tblBorders>
    </w:tblPr>
    <w:tblStylePr w:type="firstRow">
      <w:rPr>
        <w:b/>
        <w:bCs/>
      </w:rPr>
      <w:tcPr>
        <w:tcBorders>
          <w:top w:val="nil"/>
          <w:left w:val="nil"/>
          <w:bottom w:val="single" w:color="A5A5A5" w:sz="4" w:space="0"/>
          <w:right w:val="nil"/>
          <w:insideH w:val="nil"/>
          <w:insideV w:val="nil"/>
          <w:tl2br w:val="nil"/>
          <w:tr2bl w:val="nil"/>
        </w:tcBorders>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299">
    <w:name w:val="网格表 4 - 着色 11"/>
    <w:basedOn w:val="58"/>
    <w:autoRedefine/>
    <w:qFormat/>
    <w:uiPriority w:val="49"/>
    <w:rPr>
      <w:rFonts w:ascii="Calibri" w:hAnsi="Calibri"/>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00">
    <w:name w:val="清单表 6 彩色 - 着色 11"/>
    <w:basedOn w:val="58"/>
    <w:autoRedefine/>
    <w:qFormat/>
    <w:uiPriority w:val="51"/>
    <w:rPr>
      <w:rFonts w:ascii="Calibri" w:hAnsi="Calibri"/>
      <w:color w:val="2E74B5"/>
    </w:rPr>
    <w:tblPr>
      <w:tblBorders>
        <w:top w:val="single" w:color="5B9BD5" w:sz="4" w:space="0"/>
        <w:bottom w:val="single" w:color="5B9BD5" w:sz="4" w:space="0"/>
      </w:tblBorders>
    </w:tblPr>
    <w:tblStylePr w:type="firstRow">
      <w:rPr>
        <w:b/>
        <w:bCs/>
      </w:rPr>
      <w:tcPr>
        <w:tcBorders>
          <w:top w:val="nil"/>
          <w:left w:val="nil"/>
          <w:bottom w:val="single" w:color="5B9BD5" w:sz="4" w:space="0"/>
          <w:right w:val="nil"/>
          <w:insideH w:val="nil"/>
          <w:insideV w:val="nil"/>
          <w:tl2br w:val="nil"/>
          <w:tr2bl w:val="nil"/>
        </w:tcBorders>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01">
    <w:name w:val="网格型7"/>
    <w:basedOn w:val="5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
    <w:name w:val="网格表 4 - 着色 111"/>
    <w:basedOn w:val="58"/>
    <w:autoRedefine/>
    <w:qFormat/>
    <w:uiPriority w:val="49"/>
    <w:rPr>
      <w:rFonts w:ascii="Calibri" w:hAnsi="Calibri"/>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03">
    <w:name w:val="网格表 4 - 着色 51"/>
    <w:basedOn w:val="58"/>
    <w:autoRedefine/>
    <w:qFormat/>
    <w:uiPriority w:val="49"/>
    <w:rPr>
      <w:rFonts w:ascii="Calibri" w:hAnsi="Calibr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04">
    <w:name w:val="中等深浅网格 3 - 着色 61"/>
    <w:basedOn w:val="58"/>
    <w:autoRedefine/>
    <w:qFormat/>
    <w:uiPriority w:val="69"/>
    <w:rPr>
      <w:rFonts w:ascii="Calibri" w:hAnsi="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BEBD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l2br w:val="nil"/>
          <w:tr2bl w:val="nil"/>
        </w:tcBorders>
        <w:shd w:val="clear" w:color="auto" w:fill="70AD47"/>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70AD47"/>
      </w:tcPr>
    </w:tblStylePr>
    <w:tblStylePr w:type="firstCol">
      <w:rPr>
        <w:b/>
        <w:bCs/>
        <w:i w:val="0"/>
        <w:iCs w:val="0"/>
        <w:color w:val="FFFFFF"/>
      </w:rPr>
      <w:tcPr>
        <w:tcBorders>
          <w:top w:val="nil"/>
          <w:left w:val="single" w:color="FFFFFF" w:sz="8" w:space="0"/>
          <w:bottom w:val="nil"/>
          <w:right w:val="single" w:color="FFFFFF" w:sz="24" w:space="0"/>
          <w:insideH w:val="nil"/>
          <w:insideV w:val="nil"/>
          <w:tl2br w:val="nil"/>
          <w:tr2bl w:val="nil"/>
        </w:tcBorders>
        <w:shd w:val="clear" w:color="auto" w:fill="70AD47"/>
      </w:tcPr>
    </w:tblStylePr>
    <w:tblStylePr w:type="lastCol">
      <w:rPr>
        <w:b/>
        <w:bCs/>
        <w:i w:val="0"/>
        <w:iCs w:val="0"/>
        <w:color w:val="FFFFFF"/>
      </w:rPr>
      <w:tcPr>
        <w:tcBorders>
          <w:top w:val="nil"/>
          <w:left w:val="single" w:color="FFFFFF" w:sz="24" w:space="0"/>
          <w:bottom w:val="nil"/>
          <w:right w:val="nil"/>
          <w:insideH w:val="nil"/>
          <w:insideV w:val="nil"/>
          <w:tl2br w:val="nil"/>
          <w:tr2bl w:val="nil"/>
        </w:tcBorders>
        <w:shd w:val="clear" w:color="auto" w:fill="70AD47"/>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7D8A0"/>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B7D8A0"/>
      </w:tcPr>
    </w:tblStylePr>
  </w:style>
  <w:style w:type="table" w:customStyle="1" w:styleId="305">
    <w:name w:val="网格表 5 深色 - 着色 51"/>
    <w:basedOn w:val="58"/>
    <w:autoRedefine/>
    <w:qFormat/>
    <w:uiPriority w:val="50"/>
    <w:rPr>
      <w:rFonts w:ascii="Calibri" w:hAnsi="Calibri"/>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4472C4"/>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4472C4"/>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306">
    <w:name w:val="网格型5"/>
    <w:basedOn w:val="58"/>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
    <w:name w:val="网格表 31"/>
    <w:basedOn w:val="58"/>
    <w:autoRedefine/>
    <w:qFormat/>
    <w:uiPriority w:val="48"/>
    <w:rPr>
      <w:rFonts w:ascii="Calibri" w:hAnsi="Calibri"/>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bottom w:val="nil"/>
          <w:right w:val="nil"/>
          <w:insideH w:val="nil"/>
          <w:insideV w:val="nil"/>
          <w:tl2br w:val="nil"/>
          <w:tr2bl w:val="nil"/>
        </w:tcBorders>
        <w:shd w:val="clear" w:color="auto" w:fill="FFFFFF"/>
      </w:tcPr>
    </w:tblStylePr>
    <w:tblStylePr w:type="lastRow">
      <w:rPr>
        <w:b/>
        <w:bCs/>
      </w:rPr>
      <w:tcPr>
        <w:tcBorders>
          <w:top w:val="nil"/>
          <w:left w:val="nil"/>
          <w:bottom w:val="nil"/>
          <w:right w:val="nil"/>
          <w:insideH w:val="nil"/>
          <w:insideV w:val="nil"/>
          <w:tl2br w:val="nil"/>
          <w:tr2bl w:val="nil"/>
        </w:tcBorders>
        <w:shd w:val="clear" w:color="auto" w:fill="FFFFFF"/>
      </w:tcPr>
    </w:tblStylePr>
    <w:tblStylePr w:type="firstCol">
      <w:pPr>
        <w:jc w:val="right"/>
      </w:pPr>
      <w:rPr>
        <w:i/>
        <w:iCs/>
      </w:rPr>
      <w:tcPr>
        <w:tcBorders>
          <w:top w:val="nil"/>
          <w:left w:val="nil"/>
          <w:bottom w:val="nil"/>
          <w:right w:val="nil"/>
          <w:insideH w:val="nil"/>
          <w:insideV w:val="nil"/>
          <w:tl2br w:val="nil"/>
          <w:tr2bl w:val="nil"/>
        </w:tcBorders>
        <w:shd w:val="clear" w:color="auto" w:fill="FFFFFF"/>
      </w:tcPr>
    </w:tblStylePr>
    <w:tblStylePr w:type="lastCol">
      <w:rPr>
        <w:i/>
        <w:iCs/>
      </w:rPr>
      <w:tcPr>
        <w:tcBorders>
          <w:top w:val="nil"/>
          <w:left w:val="nil"/>
          <w:bottom w:val="nil"/>
          <w:right w:val="nil"/>
          <w:insideH w:val="nil"/>
          <w:insideV w:val="nil"/>
          <w:tl2br w:val="nil"/>
          <w:tr2bl w:val="nil"/>
        </w:tcBorders>
        <w:shd w:val="clear" w:color="auto" w:fill="FFFFFF"/>
      </w:tcPr>
    </w:tblStylePr>
    <w:tblStylePr w:type="band1Vert">
      <w:tcPr>
        <w:shd w:val="clear" w:color="auto" w:fill="CCCCCC"/>
      </w:tcPr>
    </w:tblStylePr>
    <w:tblStylePr w:type="band1Horz">
      <w:tcPr>
        <w:shd w:val="clear" w:color="auto" w:fill="CCCCCC"/>
      </w:tcPr>
    </w:tblStylePr>
    <w:tblStylePr w:type="neCell">
      <w:tcPr>
        <w:tcBorders>
          <w:top w:val="nil"/>
          <w:left w:val="nil"/>
          <w:bottom w:val="single" w:color="666666" w:sz="4" w:space="0"/>
          <w:right w:val="nil"/>
          <w:insideH w:val="nil"/>
          <w:insideV w:val="nil"/>
          <w:tl2br w:val="nil"/>
          <w:tr2bl w:val="nil"/>
        </w:tcBorders>
      </w:tcPr>
    </w:tblStylePr>
    <w:tblStylePr w:type="nwCell">
      <w:tcPr>
        <w:tcBorders>
          <w:top w:val="nil"/>
          <w:left w:val="nil"/>
          <w:bottom w:val="single" w:color="666666" w:sz="4" w:space="0"/>
          <w:right w:val="nil"/>
          <w:insideH w:val="nil"/>
          <w:insideV w:val="nil"/>
          <w:tl2br w:val="nil"/>
          <w:tr2bl w:val="nil"/>
        </w:tcBorders>
      </w:tcPr>
    </w:tblStylePr>
    <w:tblStylePr w:type="seCell">
      <w:tcPr>
        <w:tcBorders>
          <w:top w:val="single" w:color="666666" w:sz="4" w:space="0"/>
          <w:left w:val="nil"/>
          <w:bottom w:val="nil"/>
          <w:right w:val="nil"/>
          <w:insideH w:val="nil"/>
          <w:insideV w:val="nil"/>
          <w:tl2br w:val="nil"/>
          <w:tr2bl w:val="nil"/>
        </w:tcBorders>
      </w:tcPr>
    </w:tblStylePr>
    <w:tblStylePr w:type="swCell">
      <w:tcPr>
        <w:tcBorders>
          <w:top w:val="single" w:color="666666" w:sz="4" w:space="0"/>
          <w:left w:val="nil"/>
          <w:bottom w:val="nil"/>
          <w:right w:val="nil"/>
          <w:insideH w:val="nil"/>
          <w:insideV w:val="nil"/>
          <w:tl2br w:val="nil"/>
          <w:tr2bl w:val="nil"/>
        </w:tcBorders>
      </w:tcPr>
    </w:tblStylePr>
  </w:style>
  <w:style w:type="table" w:customStyle="1" w:styleId="308">
    <w:name w:val="无格式表格 51"/>
    <w:basedOn w:val="58"/>
    <w:autoRedefine/>
    <w:qFormat/>
    <w:uiPriority w:val="45"/>
    <w:rPr>
      <w:rFonts w:ascii="Calibri" w:hAnsi="Calibri"/>
    </w:rPr>
    <w:tblStylePr w:type="firstRow">
      <w:rPr>
        <w:rFonts w:eastAsia="Symbol" w:cs="Times New Roman"/>
        <w:i/>
        <w:iCs/>
        <w:sz w:val="26"/>
      </w:rPr>
      <w:tcPr>
        <w:tcBorders>
          <w:top w:val="nil"/>
          <w:left w:val="nil"/>
          <w:bottom w:val="single" w:color="7F7F7F" w:sz="4" w:space="0"/>
          <w:right w:val="nil"/>
          <w:insideH w:val="nil"/>
          <w:insideV w:val="nil"/>
          <w:tl2br w:val="nil"/>
          <w:tr2bl w:val="nil"/>
        </w:tcBorders>
        <w:shd w:val="clear" w:color="auto" w:fill="FFFFFF"/>
      </w:tcPr>
    </w:tblStylePr>
    <w:tblStylePr w:type="lastRow">
      <w:rPr>
        <w:rFonts w:eastAsia="Symbol" w:cs="Times New Roman"/>
        <w:i/>
        <w:iCs/>
        <w:sz w:val="26"/>
      </w:rPr>
      <w:tcPr>
        <w:tcBorders>
          <w:top w:val="single" w:color="7F7F7F" w:sz="4" w:space="0"/>
          <w:left w:val="nil"/>
          <w:bottom w:val="nil"/>
          <w:right w:val="nil"/>
          <w:insideH w:val="nil"/>
          <w:insideV w:val="nil"/>
          <w:tl2br w:val="nil"/>
          <w:tr2bl w:val="nil"/>
        </w:tcBorders>
        <w:shd w:val="clear" w:color="auto" w:fill="FFFFFF"/>
      </w:tcPr>
    </w:tblStylePr>
    <w:tblStylePr w:type="firstCol">
      <w:pPr>
        <w:jc w:val="right"/>
      </w:pPr>
      <w:rPr>
        <w:rFonts w:eastAsia="Symbol" w:cs="Times New Roman"/>
        <w:i/>
        <w:iCs/>
        <w:sz w:val="26"/>
      </w:rPr>
      <w:tcPr>
        <w:tcBorders>
          <w:top w:val="nil"/>
          <w:left w:val="nil"/>
          <w:bottom w:val="nil"/>
          <w:right w:val="single" w:color="7F7F7F" w:sz="4" w:space="0"/>
          <w:insideH w:val="nil"/>
          <w:insideV w:val="nil"/>
          <w:tl2br w:val="nil"/>
          <w:tr2bl w:val="nil"/>
        </w:tcBorders>
        <w:shd w:val="clear" w:color="auto" w:fill="FFFFFF"/>
      </w:tcPr>
    </w:tblStylePr>
    <w:tblStylePr w:type="lastCol">
      <w:rPr>
        <w:rFonts w:eastAsia="Symbol" w:cs="Times New Roman"/>
        <w:i/>
        <w:iCs/>
        <w:sz w:val="26"/>
      </w:rPr>
      <w:tcPr>
        <w:tcBorders>
          <w:top w:val="nil"/>
          <w:left w:val="single" w:color="7F7F7F" w:sz="4" w:space="0"/>
          <w:bottom w:val="nil"/>
          <w:right w:val="nil"/>
          <w:insideH w:val="nil"/>
          <w:insideV w:val="nil"/>
          <w:tl2br w:val="nil"/>
          <w:tr2bl w:val="nil"/>
        </w:tcBorders>
        <w:shd w:val="clear" w:color="auto" w:fill="FFFFFF"/>
      </w:tcPr>
    </w:tblStylePr>
    <w:tblStylePr w:type="band1Vert">
      <w:tcPr>
        <w:shd w:val="clear" w:color="auto" w:fill="F2F2F2"/>
      </w:tcPr>
    </w:tblStylePr>
    <w:tblStylePr w:type="band1Horz">
      <w:tcPr>
        <w:shd w:val="clear" w:color="auto" w:fill="F2F2F2"/>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309">
    <w:name w:val="网格型6"/>
    <w:basedOn w:val="5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网格表 5 深色 - 着色 61"/>
    <w:basedOn w:val="58"/>
    <w:autoRedefine/>
    <w:qFormat/>
    <w:uiPriority w:val="50"/>
    <w:rPr>
      <w:rFonts w:ascii="Calibri" w:hAnsi="Calibri"/>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E2EFD9"/>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70AD47"/>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70AD47"/>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70AD47"/>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70AD47"/>
      </w:tcPr>
    </w:tblStylePr>
    <w:tblStylePr w:type="band1Vert">
      <w:tcPr>
        <w:shd w:val="clear" w:color="auto" w:fill="C5E0B3"/>
      </w:tcPr>
    </w:tblStylePr>
    <w:tblStylePr w:type="band1Horz">
      <w:tcPr>
        <w:shd w:val="clear" w:color="auto" w:fill="C5E0B3"/>
      </w:tcPr>
    </w:tblStylePr>
  </w:style>
  <w:style w:type="table" w:customStyle="1" w:styleId="311">
    <w:name w:val="网格型21"/>
    <w:basedOn w:val="5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
    <w:name w:val="清单表 7 彩色 - 着色 61"/>
    <w:basedOn w:val="58"/>
    <w:autoRedefine/>
    <w:qFormat/>
    <w:uiPriority w:val="52"/>
    <w:rPr>
      <w:rFonts w:ascii="Calibri" w:hAnsi="Calibri"/>
      <w:color w:val="538135"/>
    </w:rPr>
    <w:tblStylePr w:type="firstRow">
      <w:rPr>
        <w:rFonts w:eastAsia="Symbol" w:cs="Times New Roman"/>
        <w:i/>
        <w:iCs/>
        <w:sz w:val="26"/>
      </w:rPr>
      <w:tcPr>
        <w:tcBorders>
          <w:top w:val="nil"/>
          <w:left w:val="nil"/>
          <w:bottom w:val="single" w:color="70AD47" w:sz="4" w:space="0"/>
          <w:right w:val="nil"/>
          <w:insideH w:val="nil"/>
          <w:insideV w:val="nil"/>
          <w:tl2br w:val="nil"/>
          <w:tr2bl w:val="nil"/>
        </w:tcBorders>
        <w:shd w:val="clear" w:color="auto" w:fill="FFFFFF"/>
      </w:tcPr>
    </w:tblStylePr>
    <w:tblStylePr w:type="lastRow">
      <w:rPr>
        <w:rFonts w:eastAsia="Symbol" w:cs="Times New Roman"/>
        <w:i/>
        <w:iCs/>
        <w:sz w:val="26"/>
      </w:rPr>
      <w:tcPr>
        <w:tcBorders>
          <w:top w:val="single" w:color="70AD47" w:sz="4" w:space="0"/>
          <w:left w:val="nil"/>
          <w:bottom w:val="nil"/>
          <w:right w:val="nil"/>
          <w:insideH w:val="nil"/>
          <w:insideV w:val="nil"/>
          <w:tl2br w:val="nil"/>
          <w:tr2bl w:val="nil"/>
        </w:tcBorders>
        <w:shd w:val="clear" w:color="auto" w:fill="FFFFFF"/>
      </w:tcPr>
    </w:tblStylePr>
    <w:tblStylePr w:type="firstCol">
      <w:pPr>
        <w:jc w:val="right"/>
      </w:pPr>
      <w:rPr>
        <w:rFonts w:eastAsia="Symbol" w:cs="Times New Roman"/>
        <w:i/>
        <w:iCs/>
        <w:sz w:val="26"/>
      </w:rPr>
      <w:tcPr>
        <w:tcBorders>
          <w:top w:val="nil"/>
          <w:left w:val="nil"/>
          <w:bottom w:val="nil"/>
          <w:right w:val="single" w:color="70AD47" w:sz="4" w:space="0"/>
          <w:insideH w:val="nil"/>
          <w:insideV w:val="nil"/>
          <w:tl2br w:val="nil"/>
          <w:tr2bl w:val="nil"/>
        </w:tcBorders>
        <w:shd w:val="clear" w:color="auto" w:fill="FFFFFF"/>
      </w:tcPr>
    </w:tblStylePr>
    <w:tblStylePr w:type="lastCol">
      <w:rPr>
        <w:rFonts w:eastAsia="Symbol" w:cs="Times New Roman"/>
        <w:i/>
        <w:iCs/>
        <w:sz w:val="26"/>
      </w:rPr>
      <w:tcPr>
        <w:tcBorders>
          <w:top w:val="nil"/>
          <w:left w:val="single" w:color="70AD47" w:sz="4" w:space="0"/>
          <w:bottom w:val="nil"/>
          <w:right w:val="nil"/>
          <w:insideH w:val="nil"/>
          <w:insideV w:val="nil"/>
          <w:tl2br w:val="nil"/>
          <w:tr2bl w:val="nil"/>
        </w:tcBorders>
        <w:shd w:val="clear" w:color="auto" w:fill="FFFFFF"/>
      </w:tcPr>
    </w:tblStylePr>
    <w:tblStylePr w:type="band1Vert">
      <w:tcPr>
        <w:shd w:val="clear" w:color="auto" w:fill="E2EFD9"/>
      </w:tcPr>
    </w:tblStylePr>
    <w:tblStylePr w:type="band1Horz">
      <w:tcPr>
        <w:shd w:val="clear" w:color="auto" w:fill="E2EFD9"/>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tcPr>
        <w:tcBorders>
          <w:top w:val="nil"/>
          <w:left w:val="nil"/>
          <w:bottom w:val="nil"/>
          <w:right w:val="nil"/>
          <w:insideH w:val="nil"/>
          <w:insideV w:val="nil"/>
          <w:tl2br w:val="nil"/>
          <w:tr2bl w:val="nil"/>
        </w:tcBorders>
      </w:tcPr>
    </w:tblStylePr>
  </w:style>
  <w:style w:type="table" w:customStyle="1" w:styleId="313">
    <w:name w:val="网格型13"/>
    <w:basedOn w:val="5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网格型111"/>
    <w:basedOn w:val="58"/>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
    <w:name w:val="网格表 6 彩色2"/>
    <w:basedOn w:val="58"/>
    <w:autoRedefine/>
    <w:qFormat/>
    <w:uiPriority w:val="51"/>
    <w:rPr>
      <w:rFonts w:ascii="Calibri" w:hAnsi="Calibri"/>
      <w:color w:val="00000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top w:val="nil"/>
          <w:left w:val="nil"/>
          <w:bottom w:val="single" w:color="666666" w:sz="12" w:space="0"/>
          <w:right w:val="nil"/>
          <w:insideH w:val="nil"/>
          <w:insideV w:val="nil"/>
          <w:tl2br w:val="nil"/>
          <w:tr2bl w:val="nil"/>
        </w:tcBorders>
      </w:tcPr>
    </w:tblStylePr>
    <w:tblStylePr w:type="lastRow">
      <w:rPr>
        <w:b/>
        <w:bCs/>
      </w:rPr>
      <w:tcPr>
        <w:tcBorders>
          <w:top w:val="double" w:color="66666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316">
    <w:name w:val="网格型10"/>
    <w:basedOn w:val="5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
    <w:name w:val="网格型4"/>
    <w:basedOn w:val="58"/>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网格型1"/>
    <w:basedOn w:val="5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
    <w:name w:val="清单表 1 浅色 - 着色 51"/>
    <w:basedOn w:val="58"/>
    <w:autoRedefine/>
    <w:qFormat/>
    <w:uiPriority w:val="46"/>
    <w:rPr>
      <w:rFonts w:ascii="Calibri" w:hAnsi="Calibri"/>
    </w:rPr>
    <w:tblStylePr w:type="firstRow">
      <w:rPr>
        <w:b/>
        <w:bCs/>
      </w:rPr>
      <w:tcPr>
        <w:tcBorders>
          <w:top w:val="nil"/>
          <w:left w:val="nil"/>
          <w:bottom w:val="single" w:color="8EAADB" w:sz="4" w:space="0"/>
          <w:right w:val="nil"/>
          <w:insideH w:val="nil"/>
          <w:insideV w:val="nil"/>
          <w:tl2br w:val="nil"/>
          <w:tr2bl w:val="nil"/>
        </w:tcBorders>
      </w:tcPr>
    </w:tblStylePr>
    <w:tblStylePr w:type="lastRow">
      <w:rPr>
        <w:b/>
        <w:bCs/>
      </w:rPr>
      <w:tcPr>
        <w:tcBorders>
          <w:top w:val="single" w:color="8EAADB"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20">
    <w:name w:val="网格型31"/>
    <w:basedOn w:val="5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
    <w:name w:val="网格表 5 深色1"/>
    <w:basedOn w:val="58"/>
    <w:autoRedefine/>
    <w:qFormat/>
    <w:uiPriority w:val="50"/>
    <w:rPr>
      <w:rFonts w:ascii="Calibri" w:hAnsi="Calibri"/>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000000"/>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000000"/>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322">
    <w:name w:val="网格型11"/>
    <w:basedOn w:val="5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清单表 2 - 着色 11"/>
    <w:basedOn w:val="58"/>
    <w:autoRedefine/>
    <w:qFormat/>
    <w:uiPriority w:val="47"/>
    <w:rPr>
      <w:rFonts w:ascii="Calibri" w:hAnsi="Calibri"/>
    </w:rPr>
    <w:tblPr>
      <w:tblBorders>
        <w:top w:val="single" w:color="9CC2E5" w:sz="4" w:space="0"/>
        <w:bottom w:val="single" w:color="9CC2E5" w:sz="4" w:space="0"/>
        <w:insideH w:val="single" w:color="9CC2E5"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324">
    <w:name w:val="网格表 5 深色 - 着色 11"/>
    <w:basedOn w:val="58"/>
    <w:autoRedefine/>
    <w:qFormat/>
    <w:uiPriority w:val="50"/>
    <w:rPr>
      <w:rFonts w:ascii="Calibri" w:hAnsi="Calibri"/>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paragraph" w:customStyle="1" w:styleId="325">
    <w:name w:val="仿宋三号"/>
    <w:basedOn w:val="1"/>
    <w:autoRedefine/>
    <w:qFormat/>
    <w:uiPriority w:val="0"/>
    <w:pPr>
      <w:widowControl/>
      <w:adjustRightInd w:val="0"/>
      <w:spacing w:line="560" w:lineRule="exact"/>
      <w:ind w:firstLine="880" w:firstLineChars="200"/>
      <w:jc w:val="left"/>
    </w:pPr>
    <w:rPr>
      <w:rFonts w:eastAsia="仿宋"/>
      <w:kern w:val="0"/>
      <w:sz w:val="32"/>
      <w:szCs w:val="32"/>
    </w:rPr>
  </w:style>
  <w:style w:type="paragraph" w:customStyle="1" w:styleId="326">
    <w:name w:val="正文-仿宋GB三号"/>
    <w:link w:val="327"/>
    <w:autoRedefine/>
    <w:qFormat/>
    <w:uiPriority w:val="0"/>
    <w:pPr>
      <w:spacing w:line="560" w:lineRule="exact"/>
      <w:ind w:firstLine="420" w:firstLineChars="200"/>
    </w:pPr>
    <w:rPr>
      <w:rFonts w:ascii="仿宋_GB2312" w:hAnsi="仿宋_GB2312" w:eastAsia="仿宋_GB2312" w:cs="Times New Roman"/>
      <w:sz w:val="32"/>
      <w:lang w:val="en-US" w:eastAsia="zh-CN" w:bidi="ar-SA"/>
    </w:rPr>
  </w:style>
  <w:style w:type="character" w:customStyle="1" w:styleId="327">
    <w:name w:val="正文-仿宋GB三号 Char"/>
    <w:link w:val="326"/>
    <w:autoRedefine/>
    <w:qFormat/>
    <w:uiPriority w:val="0"/>
    <w:rPr>
      <w:rFonts w:ascii="仿宋_GB2312" w:hAnsi="仿宋_GB2312" w:eastAsia="仿宋_GB2312" w:cs="Times New Roman"/>
      <w:sz w:val="32"/>
      <w:lang w:val="en-US" w:eastAsia="zh-CN" w:bidi="ar-SA"/>
    </w:rPr>
  </w:style>
  <w:style w:type="character" w:customStyle="1" w:styleId="328">
    <w:name w:val="16"/>
    <w:autoRedefine/>
    <w:qFormat/>
    <w:uiPriority w:val="0"/>
    <w:rPr>
      <w:rFonts w:hint="eastAsia" w:ascii="仿宋_GB2312" w:eastAsia="仿宋_GB2312" w:cs="Times New Roman"/>
      <w:sz w:val="32"/>
      <w:szCs w:val="32"/>
    </w:rPr>
  </w:style>
  <w:style w:type="paragraph" w:customStyle="1" w:styleId="329">
    <w:name w:val="二级标题"/>
    <w:basedOn w:val="326"/>
    <w:next w:val="326"/>
    <w:autoRedefine/>
    <w:qFormat/>
    <w:uiPriority w:val="0"/>
    <w:pPr>
      <w:ind w:firstLine="640"/>
      <w:outlineLvl w:val="2"/>
    </w:pPr>
    <w:rPr>
      <w:rFonts w:hint="eastAsia" w:ascii="楷体" w:hAnsi="楷体" w:eastAsia="宋体" w:cs="楷体"/>
      <w:sz w:val="24"/>
      <w:szCs w:val="32"/>
    </w:rPr>
  </w:style>
  <w:style w:type="paragraph" w:customStyle="1" w:styleId="330">
    <w:name w:val="TOC 标题2"/>
    <w:basedOn w:val="6"/>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color w:val="2E75B6" w:themeColor="accent1" w:themeShade="BF"/>
      <w:kern w:val="0"/>
    </w:rPr>
  </w:style>
  <w:style w:type="paragraph" w:styleId="331">
    <w:name w:val="List Paragraph"/>
    <w:basedOn w:val="1"/>
    <w:autoRedefine/>
    <w:qFormat/>
    <w:uiPriority w:val="99"/>
    <w:pPr>
      <w:ind w:firstLine="420" w:firstLineChars="200"/>
    </w:pPr>
  </w:style>
  <w:style w:type="table" w:customStyle="1" w:styleId="332">
    <w:name w:val="Table Grid_1"/>
    <w:basedOn w:val="58"/>
    <w:autoRedefine/>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3">
    <w:name w:val="style93_0"/>
    <w:basedOn w:val="205"/>
    <w:autoRedefine/>
    <w:qFormat/>
    <w:uiPriority w:val="0"/>
    <w:pPr>
      <w:widowControl/>
      <w:spacing w:before="100" w:beforeAutospacing="1" w:after="100" w:afterAutospacing="1"/>
      <w:jc w:val="left"/>
    </w:pPr>
    <w:rPr>
      <w:rFonts w:ascii="宋体" w:hAnsi="宋体" w:cs="宋体"/>
      <w:sz w:val="24"/>
    </w:rPr>
  </w:style>
  <w:style w:type="character" w:customStyle="1" w:styleId="334">
    <w:name w:val="font01"/>
    <w:basedOn w:val="61"/>
    <w:autoRedefine/>
    <w:qFormat/>
    <w:uiPriority w:val="0"/>
    <w:rPr>
      <w:rFonts w:hint="eastAsia" w:ascii="宋体" w:hAnsi="宋体" w:eastAsia="宋体" w:cs="宋体"/>
      <w:color w:val="000000"/>
      <w:sz w:val="24"/>
      <w:szCs w:val="24"/>
      <w:u w:val="none"/>
    </w:rPr>
  </w:style>
  <w:style w:type="character" w:customStyle="1" w:styleId="335">
    <w:name w:val="font31"/>
    <w:basedOn w:val="61"/>
    <w:autoRedefine/>
    <w:qFormat/>
    <w:uiPriority w:val="0"/>
    <w:rPr>
      <w:rFonts w:hint="eastAsia" w:ascii="宋体" w:hAnsi="宋体" w:eastAsia="宋体" w:cs="宋体"/>
      <w:color w:val="000000"/>
      <w:sz w:val="22"/>
      <w:szCs w:val="22"/>
      <w:u w:val="none"/>
    </w:rPr>
  </w:style>
  <w:style w:type="character" w:customStyle="1" w:styleId="336">
    <w:name w:val="font21"/>
    <w:basedOn w:val="61"/>
    <w:autoRedefine/>
    <w:qFormat/>
    <w:uiPriority w:val="0"/>
    <w:rPr>
      <w:rFonts w:hint="default" w:ascii="Times New Roman" w:hAnsi="Times New Roman" w:cs="Times New Roman"/>
      <w:color w:val="000000"/>
      <w:sz w:val="22"/>
      <w:szCs w:val="22"/>
      <w:u w:val="none"/>
    </w:rPr>
  </w:style>
  <w:style w:type="paragraph" w:customStyle="1" w:styleId="337">
    <w:name w:val="Normal_5"/>
    <w:next w:val="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38">
    <w:name w:val="font51"/>
    <w:basedOn w:val="61"/>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89</Pages>
  <Words>47541</Words>
  <Characters>54339</Characters>
  <Lines>246</Lines>
  <Paragraphs>69</Paragraphs>
  <TotalTime>9</TotalTime>
  <ScaleCrop>false</ScaleCrop>
  <LinksUpToDate>false</LinksUpToDate>
  <CharactersWithSpaces>56825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2023-04-29T17:27:00Z</dcterms:created>
  <dc:creator>Microsoft</dc:creator>
  <cp:lastModifiedBy>老烟囱</cp:lastModifiedBy>
  <cp:lastPrinted>2023-03-15T14:36:00Z</cp:lastPrinted>
  <dcterms:modified xsi:type="dcterms:W3CDTF">2024-03-21T10:35:49Z</dcterms:modified>
  <dc:title>项目编号：</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30278F6957A54F4F8B1AD70B6E2B53BC_13</vt:lpwstr>
  </property>
</Properties>
</file>