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2530" w:firstLineChars="900"/>
        <w:jc w:val="right"/>
        <w:rPr>
          <w:rFonts w:ascii="Arial" w:hAnsi="Arial"/>
          <w:b/>
          <w:color w:val="000000"/>
          <w:sz w:val="28"/>
          <w:u w:val="single"/>
        </w:rPr>
      </w:pPr>
      <w:bookmarkStart w:id="0" w:name="_Toc356817445"/>
      <w:bookmarkStart w:id="1" w:name="_Toc432524243"/>
      <w:bookmarkStart w:id="2" w:name="_Toc388867472"/>
      <w:bookmarkStart w:id="86" w:name="_GoBack"/>
      <w:bookmarkEnd w:id="86"/>
      <w:r>
        <w:rPr>
          <w:rFonts w:hint="eastAsia" w:ascii="Arial" w:hAnsi="Arial"/>
          <w:b/>
          <w:color w:val="000000"/>
          <w:sz w:val="28"/>
        </w:rPr>
        <w:t>项目编号：</w:t>
      </w:r>
      <w:r>
        <w:rPr>
          <w:rFonts w:hint="eastAsia" w:ascii="宋体" w:hAnsi="宋体" w:cs="宋体"/>
          <w:b/>
          <w:bCs/>
          <w:i w:val="0"/>
          <w:iCs w:val="0"/>
          <w:color w:val="000000"/>
          <w:kern w:val="2"/>
          <w:sz w:val="28"/>
          <w:szCs w:val="28"/>
          <w:u w:val="single"/>
          <w:lang w:val="en-US" w:eastAsia="zh-CN" w:bidi="ar-SA"/>
        </w:rPr>
        <w:t>HW11723125</w:t>
      </w:r>
    </w:p>
    <w:p>
      <w:pPr>
        <w:jc w:val="center"/>
        <w:rPr>
          <w:rFonts w:hint="eastAsia" w:ascii="Arial" w:hAnsi="Arial"/>
          <w:b/>
          <w:color w:val="000000"/>
          <w:sz w:val="28"/>
        </w:rPr>
      </w:pPr>
    </w:p>
    <w:p>
      <w:pPr>
        <w:rPr>
          <w:rFonts w:hint="eastAsia" w:ascii="Arial" w:hAnsi="Arial"/>
          <w:b/>
          <w:color w:val="000000"/>
          <w:sz w:val="28"/>
        </w:rPr>
      </w:pPr>
    </w:p>
    <w:p>
      <w:pPr>
        <w:jc w:val="center"/>
        <w:rPr>
          <w:rFonts w:hint="eastAsia" w:ascii="黑体" w:hAnsi="黑体" w:eastAsia="黑体"/>
          <w:b/>
          <w:color w:val="000000"/>
          <w:sz w:val="44"/>
          <w:szCs w:val="44"/>
          <w:lang w:eastAsia="zh-CN"/>
        </w:rPr>
      </w:pPr>
      <w:r>
        <w:rPr>
          <w:rFonts w:hint="eastAsia" w:ascii="黑体" w:hAnsi="黑体" w:eastAsia="黑体"/>
          <w:b/>
          <w:color w:val="000000"/>
          <w:sz w:val="44"/>
          <w:szCs w:val="44"/>
          <w:lang w:eastAsia="zh-CN"/>
        </w:rPr>
        <w:t>宁国水务有限公司2024年度PE、PPR管材、管件采购项目</w:t>
      </w:r>
    </w:p>
    <w:p>
      <w:pPr>
        <w:jc w:val="both"/>
        <w:rPr>
          <w:rFonts w:hint="eastAsia" w:ascii="黑体" w:hAnsi="黑体" w:eastAsia="黑体"/>
          <w:b/>
          <w:color w:val="000000"/>
          <w:sz w:val="44"/>
          <w:szCs w:val="44"/>
        </w:rPr>
      </w:pPr>
    </w:p>
    <w:p>
      <w:pPr>
        <w:jc w:val="center"/>
        <w:rPr>
          <w:rFonts w:hint="eastAsia" w:ascii="黑体" w:hAnsi="黑体" w:eastAsia="黑体"/>
          <w:b/>
          <w:color w:val="000000"/>
          <w:sz w:val="44"/>
          <w:szCs w:val="44"/>
        </w:rPr>
      </w:pPr>
    </w:p>
    <w:p>
      <w:pPr>
        <w:jc w:val="center"/>
        <w:rPr>
          <w:rFonts w:hint="eastAsia" w:ascii="黑体" w:hAnsi="黑体" w:eastAsia="黑体"/>
          <w:color w:val="000000"/>
          <w:sz w:val="74"/>
        </w:rPr>
      </w:pPr>
      <w:r>
        <w:rPr>
          <w:rFonts w:hint="eastAsia" w:ascii="黑体" w:hAnsi="黑体" w:eastAsia="黑体"/>
          <w:color w:val="000000"/>
          <w:sz w:val="74"/>
        </w:rPr>
        <w:t>招</w:t>
      </w:r>
    </w:p>
    <w:p>
      <w:pPr>
        <w:jc w:val="center"/>
        <w:rPr>
          <w:rFonts w:hint="eastAsia" w:ascii="黑体" w:hAnsi="黑体" w:eastAsia="黑体"/>
          <w:color w:val="000000"/>
          <w:sz w:val="74"/>
        </w:rPr>
      </w:pPr>
    </w:p>
    <w:p>
      <w:pPr>
        <w:jc w:val="center"/>
        <w:rPr>
          <w:rFonts w:hint="eastAsia" w:ascii="黑体" w:hAnsi="黑体" w:eastAsia="黑体"/>
          <w:color w:val="000000"/>
          <w:sz w:val="74"/>
        </w:rPr>
      </w:pPr>
      <w:r>
        <w:rPr>
          <w:rFonts w:hint="eastAsia" w:ascii="黑体" w:hAnsi="黑体" w:eastAsia="黑体"/>
          <w:color w:val="000000"/>
          <w:sz w:val="74"/>
        </w:rPr>
        <w:t>标</w:t>
      </w:r>
    </w:p>
    <w:p>
      <w:pPr>
        <w:jc w:val="center"/>
        <w:rPr>
          <w:rFonts w:hint="eastAsia" w:ascii="黑体" w:hAnsi="黑体" w:eastAsia="黑体"/>
          <w:color w:val="000000"/>
          <w:sz w:val="74"/>
        </w:rPr>
      </w:pPr>
    </w:p>
    <w:p>
      <w:pPr>
        <w:jc w:val="center"/>
        <w:rPr>
          <w:rFonts w:hint="eastAsia" w:ascii="黑体" w:hAnsi="黑体" w:eastAsia="黑体"/>
          <w:color w:val="000000"/>
          <w:sz w:val="74"/>
        </w:rPr>
      </w:pPr>
      <w:r>
        <w:rPr>
          <w:rFonts w:hint="eastAsia" w:ascii="黑体" w:hAnsi="黑体" w:eastAsia="黑体"/>
          <w:color w:val="000000"/>
          <w:sz w:val="74"/>
        </w:rPr>
        <w:t>文</w:t>
      </w:r>
    </w:p>
    <w:p>
      <w:pPr>
        <w:jc w:val="center"/>
        <w:rPr>
          <w:rFonts w:hint="eastAsia" w:ascii="黑体" w:hAnsi="黑体" w:eastAsia="黑体"/>
          <w:color w:val="000000"/>
          <w:sz w:val="74"/>
        </w:rPr>
      </w:pPr>
    </w:p>
    <w:p>
      <w:pPr>
        <w:jc w:val="center"/>
        <w:rPr>
          <w:rFonts w:hint="eastAsia" w:ascii="黑体" w:hAnsi="黑体" w:eastAsia="黑体"/>
          <w:color w:val="000000"/>
          <w:sz w:val="74"/>
        </w:rPr>
      </w:pPr>
      <w:r>
        <w:rPr>
          <w:rFonts w:hint="eastAsia" w:ascii="黑体" w:hAnsi="黑体" w:eastAsia="黑体"/>
          <w:color w:val="000000"/>
          <w:sz w:val="74"/>
        </w:rPr>
        <w:t>件</w:t>
      </w:r>
    </w:p>
    <w:p>
      <w:pPr>
        <w:rPr>
          <w:rFonts w:hint="eastAsia" w:ascii="Arial" w:hAnsi="Arial" w:eastAsia="隶书"/>
          <w:color w:val="000000"/>
          <w:sz w:val="52"/>
        </w:rPr>
      </w:pPr>
    </w:p>
    <w:p>
      <w:pPr>
        <w:ind w:firstLine="1656" w:firstLineChars="550"/>
        <w:rPr>
          <w:rFonts w:hint="eastAsia" w:ascii="黑体" w:hAnsi="Arial" w:eastAsia="黑体"/>
          <w:b/>
          <w:color w:val="000000"/>
          <w:sz w:val="30"/>
          <w:szCs w:val="30"/>
        </w:rPr>
      </w:pPr>
      <w:r>
        <w:rPr>
          <w:rFonts w:hint="eastAsia" w:ascii="黑体" w:hAnsi="Arial" w:eastAsia="黑体"/>
          <w:b/>
          <w:color w:val="000000"/>
          <w:sz w:val="30"/>
          <w:szCs w:val="30"/>
        </w:rPr>
        <w:t xml:space="preserve">采   购   人： 宁国水务有限公司 </w:t>
      </w:r>
    </w:p>
    <w:p>
      <w:pPr>
        <w:ind w:firstLine="2259" w:firstLineChars="750"/>
        <w:rPr>
          <w:rFonts w:hint="eastAsia" w:ascii="黑体" w:hAnsi="Arial" w:eastAsia="黑体"/>
          <w:b/>
          <w:color w:val="000000"/>
          <w:sz w:val="30"/>
          <w:szCs w:val="30"/>
        </w:rPr>
      </w:pPr>
    </w:p>
    <w:p>
      <w:pPr>
        <w:ind w:firstLine="2409" w:firstLineChars="800"/>
        <w:rPr>
          <w:rFonts w:hint="default" w:ascii="黑体" w:hAnsi="Arial" w:eastAsia="黑体"/>
          <w:b/>
          <w:color w:val="000000"/>
          <w:sz w:val="30"/>
          <w:szCs w:val="30"/>
          <w:lang w:val="en-US" w:eastAsia="zh-CN"/>
        </w:rPr>
      </w:pPr>
      <w:r>
        <w:rPr>
          <w:rFonts w:hint="eastAsia" w:ascii="黑体" w:hAnsi="Arial" w:eastAsia="黑体"/>
          <w:b/>
          <w:color w:val="000000"/>
          <w:sz w:val="30"/>
          <w:szCs w:val="30"/>
        </w:rPr>
        <w:t xml:space="preserve">日    期： </w:t>
      </w:r>
      <w:r>
        <w:rPr>
          <w:rFonts w:hint="eastAsia" w:ascii="黑体" w:hAnsi="Arial" w:eastAsia="黑体"/>
          <w:b/>
          <w:color w:val="000000"/>
          <w:sz w:val="30"/>
          <w:szCs w:val="30"/>
          <w:lang w:val="en-US" w:eastAsia="zh-CN"/>
        </w:rPr>
        <w:t>2024.2</w:t>
      </w:r>
    </w:p>
    <w:p>
      <w:pPr>
        <w:pStyle w:val="48"/>
        <w:rPr>
          <w:rFonts w:hint="eastAsia" w:ascii="黑体" w:hAnsi="Arial" w:eastAsia="黑体"/>
          <w:b/>
          <w:color w:val="000000"/>
          <w:sz w:val="30"/>
          <w:szCs w:val="30"/>
          <w:lang w:val="en-US" w:eastAsia="zh-CN"/>
        </w:rPr>
      </w:pPr>
    </w:p>
    <w:p>
      <w:pPr>
        <w:pStyle w:val="48"/>
        <w:rPr>
          <w:rFonts w:hint="eastAsia" w:ascii="黑体" w:hAnsi="Arial" w:eastAsia="黑体"/>
          <w:b/>
          <w:color w:val="000000"/>
          <w:sz w:val="30"/>
          <w:szCs w:val="30"/>
          <w:lang w:val="en-US" w:eastAsia="zh-CN"/>
        </w:rPr>
      </w:pPr>
    </w:p>
    <w:bookmarkEnd w:id="0"/>
    <w:bookmarkEnd w:id="1"/>
    <w:bookmarkEnd w:id="2"/>
    <w:p>
      <w:pPr>
        <w:pStyle w:val="2"/>
        <w:numPr>
          <w:ilvl w:val="0"/>
          <w:numId w:val="0"/>
        </w:numPr>
        <w:spacing w:line="480" w:lineRule="exact"/>
        <w:rPr>
          <w:rFonts w:hint="eastAsia" w:ascii="宋体" w:hAnsi="宋体" w:eastAsia="宋体"/>
          <w:b/>
          <w:bCs/>
          <w:color w:val="000000"/>
          <w:sz w:val="32"/>
          <w:szCs w:val="32"/>
        </w:rPr>
        <w:sectPr>
          <w:pgSz w:w="11906" w:h="16838"/>
          <w:pgMar w:top="1418" w:right="1418" w:bottom="1361" w:left="1418" w:header="851" w:footer="992" w:gutter="0"/>
          <w:pgNumType w:fmt="numberInDash"/>
          <w:cols w:space="425" w:num="1"/>
          <w:docGrid w:linePitch="312" w:charSpace="0"/>
        </w:sectPr>
      </w:pPr>
      <w:bookmarkStart w:id="3" w:name="_Toc476643910"/>
      <w:bookmarkStart w:id="4" w:name="_Toc432524244"/>
      <w:bookmarkStart w:id="5" w:name="_Toc388867473"/>
    </w:p>
    <w:p>
      <w:pPr>
        <w:rPr>
          <w:rFonts w:hint="eastAsia"/>
        </w:rPr>
      </w:pPr>
    </w:p>
    <w:p>
      <w:pPr>
        <w:pStyle w:val="2"/>
        <w:numPr>
          <w:ilvl w:val="0"/>
          <w:numId w:val="3"/>
        </w:numPr>
        <w:spacing w:line="480" w:lineRule="exact"/>
        <w:jc w:val="center"/>
        <w:rPr>
          <w:rFonts w:hint="eastAsia" w:ascii="宋体" w:hAnsi="宋体" w:eastAsia="宋体"/>
          <w:b/>
          <w:bCs/>
          <w:color w:val="000000"/>
          <w:sz w:val="32"/>
          <w:szCs w:val="32"/>
        </w:rPr>
      </w:pPr>
      <w:r>
        <w:rPr>
          <w:rFonts w:hint="eastAsia" w:ascii="宋体" w:hAnsi="宋体" w:eastAsia="宋体"/>
          <w:b/>
          <w:bCs/>
          <w:color w:val="000000"/>
          <w:sz w:val="32"/>
          <w:szCs w:val="32"/>
        </w:rPr>
        <w:t>邀 请 函</w:t>
      </w:r>
      <w:bookmarkEnd w:id="3"/>
    </w:p>
    <w:p>
      <w:pPr>
        <w:rPr>
          <w:rFonts w:hint="eastAsia"/>
        </w:rPr>
      </w:pPr>
    </w:p>
    <w:p>
      <w:pPr>
        <w:numPr>
          <w:ilvl w:val="0"/>
          <w:numId w:val="0"/>
        </w:numPr>
        <w:rPr>
          <w:rFonts w:hint="eastAsia"/>
        </w:rPr>
      </w:pPr>
    </w:p>
    <w:p>
      <w:pPr>
        <w:widowControl/>
        <w:spacing w:line="360" w:lineRule="auto"/>
        <w:ind w:firstLine="480"/>
        <w:jc w:val="left"/>
        <w:rPr>
          <w:rFonts w:hint="eastAsia" w:ascii="宋体" w:hAnsi="宋体"/>
          <w:sz w:val="24"/>
          <w:szCs w:val="24"/>
        </w:rPr>
      </w:pPr>
      <w:r>
        <w:rPr>
          <w:rFonts w:hint="eastAsia" w:ascii="宋体" w:hAnsi="宋体"/>
          <w:sz w:val="24"/>
          <w:szCs w:val="24"/>
        </w:rPr>
        <w:t>根据宁国水务有限公司《采购管理办法规定》及生产经营工作需要，决定对</w:t>
      </w:r>
      <w:r>
        <w:rPr>
          <w:rFonts w:hint="eastAsia" w:ascii="宋体" w:hAnsi="宋体"/>
          <w:sz w:val="24"/>
          <w:szCs w:val="24"/>
          <w:lang w:eastAsia="zh-CN"/>
        </w:rPr>
        <w:t>宁国水务有限公司2024年度PE、PPR管材、管件采购项目</w:t>
      </w:r>
      <w:r>
        <w:rPr>
          <w:rFonts w:hint="eastAsia" w:ascii="宋体" w:hAnsi="宋体"/>
          <w:sz w:val="24"/>
          <w:szCs w:val="24"/>
        </w:rPr>
        <w:t>实施邀请招标。</w:t>
      </w:r>
    </w:p>
    <w:p>
      <w:pPr>
        <w:shd w:val="clear" w:color="auto" w:fill="FFFFFF"/>
        <w:spacing w:line="500" w:lineRule="exact"/>
        <w:ind w:firstLine="240" w:firstLineChars="100"/>
        <w:rPr>
          <w:rFonts w:hint="eastAsia" w:ascii="宋体" w:hAnsi="宋体" w:eastAsia="宋体" w:cs="宋体"/>
          <w:sz w:val="24"/>
          <w:szCs w:val="28"/>
          <w:lang w:eastAsia="zh-CN"/>
        </w:rPr>
      </w:pPr>
      <w:r>
        <w:rPr>
          <w:rFonts w:hint="eastAsia" w:ascii="宋体" w:hAnsi="宋体" w:cs="宋体"/>
          <w:sz w:val="24"/>
          <w:szCs w:val="28"/>
        </w:rPr>
        <w:t>一、</w:t>
      </w:r>
      <w:r>
        <w:rPr>
          <w:rFonts w:ascii="宋体" w:hAnsi="宋体" w:cs="宋体"/>
          <w:sz w:val="24"/>
          <w:szCs w:val="28"/>
        </w:rPr>
        <w:t xml:space="preserve"> </w:t>
      </w:r>
      <w:r>
        <w:rPr>
          <w:rFonts w:hint="eastAsia" w:ascii="宋体" w:hAnsi="宋体" w:cs="宋体"/>
          <w:sz w:val="24"/>
          <w:szCs w:val="28"/>
        </w:rPr>
        <w:t>项目名称：</w:t>
      </w:r>
      <w:r>
        <w:rPr>
          <w:rFonts w:hint="eastAsia" w:ascii="宋体" w:hAnsi="宋体" w:cs="宋体"/>
          <w:sz w:val="24"/>
          <w:szCs w:val="28"/>
          <w:lang w:eastAsia="zh-CN"/>
        </w:rPr>
        <w:t>宁国水务有限公司2024年度PE、PPR管材、管件采购项目</w:t>
      </w:r>
    </w:p>
    <w:p>
      <w:pPr>
        <w:shd w:val="clear" w:color="auto" w:fill="FFFFFF"/>
        <w:spacing w:line="500" w:lineRule="exact"/>
        <w:ind w:firstLine="240" w:firstLineChars="100"/>
        <w:rPr>
          <w:rFonts w:hint="eastAsia" w:ascii="宋体" w:hAnsi="宋体" w:cs="宋体"/>
          <w:sz w:val="24"/>
          <w:szCs w:val="28"/>
        </w:rPr>
      </w:pPr>
      <w:r>
        <w:rPr>
          <w:rFonts w:hint="eastAsia" w:ascii="宋体" w:hAnsi="宋体" w:cs="宋体"/>
          <w:sz w:val="24"/>
          <w:szCs w:val="28"/>
        </w:rPr>
        <w:t>二、项目内容：PE/PPR管材及管件</w:t>
      </w:r>
    </w:p>
    <w:p>
      <w:pPr>
        <w:shd w:val="clear" w:color="auto" w:fill="FFFFFF"/>
        <w:spacing w:line="500" w:lineRule="exact"/>
        <w:ind w:firstLine="240" w:firstLineChars="100"/>
        <w:rPr>
          <w:rFonts w:hint="eastAsia" w:ascii="宋体" w:hAnsi="宋体" w:cs="宋体"/>
          <w:sz w:val="24"/>
          <w:szCs w:val="24"/>
        </w:rPr>
      </w:pPr>
      <w:r>
        <w:rPr>
          <w:rFonts w:hint="eastAsia" w:ascii="宋体" w:hAnsi="宋体" w:cs="宋体"/>
          <w:sz w:val="24"/>
          <w:szCs w:val="28"/>
        </w:rPr>
        <w:t>三、投标人资格条件</w:t>
      </w:r>
    </w:p>
    <w:p>
      <w:pPr>
        <w:widowControl/>
        <w:numPr>
          <w:ilvl w:val="0"/>
          <w:numId w:val="4"/>
        </w:numPr>
        <w:shd w:val="clear" w:color="auto" w:fill="FFFFFF"/>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具备《中华人民共和国政府采购法》第22条规定的条件；</w:t>
      </w:r>
    </w:p>
    <w:p>
      <w:pPr>
        <w:widowControl/>
        <w:numPr>
          <w:ilvl w:val="0"/>
          <w:numId w:val="4"/>
        </w:numPr>
        <w:shd w:val="clear" w:color="auto" w:fill="FFFFFF"/>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具有有效的省级及以上卫生部门颁发的涉及饮用水卫生生产许可证批件</w:t>
      </w:r>
      <w:r>
        <w:rPr>
          <w:rFonts w:hint="eastAsia" w:ascii="宋体" w:hAnsi="宋体" w:cs="宋体"/>
          <w:color w:val="auto"/>
          <w:sz w:val="24"/>
          <w:szCs w:val="24"/>
          <w:highlight w:val="none"/>
          <w:lang w:val="en-US" w:eastAsia="zh-CN"/>
        </w:rPr>
        <w:t>或省下放审批权到地级市卫生部门颁发的设计饮用水卫生生产许可证批件</w:t>
      </w:r>
      <w:r>
        <w:rPr>
          <w:rFonts w:hint="eastAsia" w:ascii="宋体" w:hAnsi="宋体" w:cs="宋体"/>
          <w:color w:val="auto"/>
          <w:sz w:val="24"/>
          <w:szCs w:val="24"/>
          <w:highlight w:val="none"/>
        </w:rPr>
        <w:t>；</w:t>
      </w:r>
    </w:p>
    <w:p>
      <w:pPr>
        <w:widowControl/>
        <w:numPr>
          <w:ilvl w:val="0"/>
          <w:numId w:val="4"/>
        </w:numPr>
        <w:shd w:val="clear" w:color="auto" w:fill="FFFFFF"/>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投标人具有独立的法人资格,具有较强的经济实力、良好信誉和售后服务能力的生产厂家；</w:t>
      </w:r>
    </w:p>
    <w:p>
      <w:pPr>
        <w:widowControl/>
        <w:numPr>
          <w:ilvl w:val="0"/>
          <w:numId w:val="4"/>
        </w:numPr>
        <w:shd w:val="clear" w:color="auto" w:fill="FFFFFF"/>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投标人必须具备良好的售后服务保障体系，以保证本产品的售后服务。</w:t>
      </w:r>
    </w:p>
    <w:p>
      <w:pPr>
        <w:widowControl/>
        <w:numPr>
          <w:ilvl w:val="0"/>
          <w:numId w:val="4"/>
        </w:numPr>
        <w:shd w:val="clear" w:color="auto" w:fill="FFFFFF"/>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提供生产厂家的投标产品地市级及以上质量技术监督部门</w:t>
      </w:r>
      <w:r>
        <w:rPr>
          <w:rFonts w:hint="eastAsia" w:ascii="宋体" w:hAnsi="宋体" w:cs="宋体"/>
          <w:color w:val="auto"/>
          <w:sz w:val="24"/>
          <w:szCs w:val="24"/>
          <w:highlight w:val="none"/>
          <w:lang w:val="en-US" w:eastAsia="zh-CN"/>
        </w:rPr>
        <w:t>或具有资质第三方检测单位出具</w:t>
      </w:r>
      <w:r>
        <w:rPr>
          <w:rFonts w:hint="eastAsia" w:ascii="宋体" w:hAnsi="宋体" w:cs="宋体"/>
          <w:color w:val="auto"/>
          <w:sz w:val="24"/>
          <w:szCs w:val="24"/>
          <w:highlight w:val="none"/>
        </w:rPr>
        <w:t>的产品质量检测报告</w:t>
      </w:r>
    </w:p>
    <w:p>
      <w:pPr>
        <w:spacing w:line="420" w:lineRule="exact"/>
        <w:jc w:val="left"/>
        <w:rPr>
          <w:rFonts w:ascii="ˎ̥" w:hAnsi="ˎ̥"/>
          <w:sz w:val="24"/>
        </w:rPr>
      </w:pPr>
      <w:r>
        <w:rPr>
          <w:rFonts w:hint="eastAsia" w:ascii="宋体" w:hAnsi="宋体" w:cs="宋体"/>
          <w:sz w:val="24"/>
          <w:szCs w:val="28"/>
        </w:rPr>
        <w:t>四、最高限价：</w:t>
      </w:r>
      <w:r>
        <w:rPr>
          <w:rFonts w:hint="eastAsia" w:ascii="宋体" w:hAnsi="宋体" w:cs="宋体"/>
          <w:color w:val="000000"/>
          <w:sz w:val="23"/>
          <w:szCs w:val="23"/>
        </w:rPr>
        <w:t>总价</w:t>
      </w:r>
      <w:r>
        <w:rPr>
          <w:rFonts w:hint="eastAsia" w:ascii="宋体" w:hAnsi="宋体" w:cs="宋体"/>
          <w:color w:val="000000"/>
          <w:sz w:val="23"/>
          <w:szCs w:val="23"/>
          <w:lang w:val="en-US" w:eastAsia="zh-CN"/>
        </w:rPr>
        <w:t>125</w:t>
      </w:r>
      <w:r>
        <w:rPr>
          <w:rFonts w:hint="eastAsia" w:ascii="宋体" w:hAnsi="宋体" w:cs="宋体"/>
          <w:color w:val="000000"/>
          <w:sz w:val="23"/>
          <w:szCs w:val="23"/>
        </w:rPr>
        <w:t>.00万元。</w:t>
      </w:r>
    </w:p>
    <w:p>
      <w:pPr>
        <w:shd w:val="clear" w:color="auto" w:fill="FFFFFF"/>
        <w:spacing w:line="500" w:lineRule="exact"/>
        <w:rPr>
          <w:rFonts w:hint="eastAsia" w:ascii="宋体" w:hAnsi="宋体" w:cs="宋体"/>
          <w:sz w:val="24"/>
          <w:szCs w:val="24"/>
        </w:rPr>
      </w:pPr>
      <w:r>
        <w:rPr>
          <w:rFonts w:hint="eastAsia" w:ascii="宋体" w:hAnsi="宋体" w:cs="宋体"/>
          <w:sz w:val="24"/>
          <w:szCs w:val="28"/>
        </w:rPr>
        <w:t>五、获取招标文件应提供以下资料：</w:t>
      </w:r>
    </w:p>
    <w:p>
      <w:pPr>
        <w:shd w:val="clear" w:color="auto" w:fill="FFFFFF"/>
        <w:spacing w:line="500" w:lineRule="exact"/>
        <w:ind w:left="50" w:hanging="50" w:hangingChars="21"/>
        <w:rPr>
          <w:rFonts w:hint="eastAsia" w:ascii="宋体" w:hAnsi="宋体" w:cs="宋体"/>
          <w:bCs/>
          <w:sz w:val="24"/>
          <w:szCs w:val="24"/>
        </w:rPr>
      </w:pPr>
      <w:r>
        <w:rPr>
          <w:rFonts w:hint="eastAsia" w:ascii="宋体" w:hAnsi="宋体" w:cs="宋体"/>
          <w:sz w:val="24"/>
          <w:szCs w:val="28"/>
        </w:rPr>
        <w:t>1、获招标人的邀请，出具单位介绍信；</w:t>
      </w:r>
    </w:p>
    <w:p>
      <w:pPr>
        <w:shd w:val="clear" w:color="auto" w:fill="FFFFFF"/>
        <w:spacing w:line="500" w:lineRule="exact"/>
        <w:ind w:left="50" w:hanging="50" w:hangingChars="21"/>
        <w:rPr>
          <w:rFonts w:hint="eastAsia" w:ascii="宋体" w:hAnsi="宋体" w:cs="宋体"/>
          <w:bCs/>
          <w:sz w:val="24"/>
          <w:szCs w:val="24"/>
        </w:rPr>
      </w:pPr>
      <w:r>
        <w:rPr>
          <w:rFonts w:hint="eastAsia" w:ascii="宋体" w:hAnsi="宋体" w:cs="宋体"/>
          <w:sz w:val="24"/>
          <w:szCs w:val="28"/>
        </w:rPr>
        <w:t>2、单位代表的有效身份证件原件及复印件。</w:t>
      </w:r>
    </w:p>
    <w:p>
      <w:pPr>
        <w:shd w:val="clear" w:color="auto" w:fill="FFFFFF"/>
        <w:adjustRightInd w:val="0"/>
        <w:snapToGrid w:val="0"/>
        <w:spacing w:line="500" w:lineRule="exact"/>
        <w:ind w:left="50" w:hanging="50" w:hangingChars="21"/>
        <w:rPr>
          <w:rFonts w:hint="eastAsia" w:ascii="宋体" w:hAnsi="宋体" w:cs="宋体"/>
          <w:sz w:val="24"/>
          <w:szCs w:val="24"/>
        </w:rPr>
      </w:pPr>
      <w:r>
        <w:rPr>
          <w:rFonts w:hint="eastAsia" w:ascii="宋体" w:hAnsi="宋体" w:cs="宋体"/>
          <w:sz w:val="24"/>
          <w:szCs w:val="28"/>
        </w:rPr>
        <w:t>以上资料复印件使用A4纸张，并加盖公章，报名资料不退还。</w:t>
      </w:r>
    </w:p>
    <w:p>
      <w:pPr>
        <w:shd w:val="clear" w:color="auto" w:fill="FFFFFF"/>
        <w:adjustRightInd w:val="0"/>
        <w:snapToGrid w:val="0"/>
        <w:spacing w:line="500" w:lineRule="exact"/>
        <w:ind w:firstLine="50" w:firstLineChars="21"/>
        <w:rPr>
          <w:rFonts w:hint="eastAsia" w:ascii="宋体" w:hAnsi="宋体" w:cs="宋体"/>
          <w:sz w:val="24"/>
          <w:szCs w:val="24"/>
        </w:rPr>
      </w:pPr>
      <w:r>
        <w:rPr>
          <w:rFonts w:hint="eastAsia" w:ascii="宋体" w:hAnsi="宋体" w:cs="宋体"/>
          <w:sz w:val="24"/>
          <w:szCs w:val="28"/>
        </w:rPr>
        <w:t>六、相关时间和地点的规定：</w:t>
      </w:r>
    </w:p>
    <w:p>
      <w:pPr>
        <w:shd w:val="clear" w:color="auto" w:fill="FFFFFF"/>
        <w:adjustRightInd w:val="0"/>
        <w:snapToGrid w:val="0"/>
        <w:spacing w:line="500" w:lineRule="exact"/>
        <w:ind w:left="50" w:hanging="50" w:hangingChars="21"/>
        <w:rPr>
          <w:rFonts w:hint="eastAsia" w:ascii="宋体" w:hAnsi="宋体" w:eastAsia="宋体" w:cs="宋体"/>
          <w:color w:val="auto"/>
          <w:sz w:val="24"/>
          <w:szCs w:val="28"/>
          <w:highlight w:val="none"/>
          <w:lang w:eastAsia="zh-CN"/>
        </w:rPr>
      </w:pPr>
      <w:r>
        <w:rPr>
          <w:rFonts w:hint="eastAsia" w:ascii="宋体" w:hAnsi="宋体" w:cs="宋体"/>
          <w:sz w:val="24"/>
          <w:szCs w:val="28"/>
          <w:highlight w:val="none"/>
        </w:rPr>
        <w:t>1、投标报名及招标文件发售时间</w:t>
      </w:r>
      <w:r>
        <w:rPr>
          <w:rFonts w:hint="eastAsia" w:ascii="宋体" w:hAnsi="宋体" w:cs="宋体"/>
          <w:sz w:val="24"/>
          <w:szCs w:val="28"/>
          <w:highlight w:val="none"/>
          <w:lang w:eastAsia="zh-CN"/>
        </w:rPr>
        <w:t>、</w:t>
      </w:r>
      <w:r>
        <w:rPr>
          <w:rFonts w:hint="eastAsia" w:ascii="宋体" w:hAnsi="宋体" w:cs="宋体"/>
          <w:sz w:val="24"/>
          <w:szCs w:val="28"/>
          <w:highlight w:val="none"/>
        </w:rPr>
        <w:t>投标文件递交时间</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递交投标文件截止时间</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开标时间</w:t>
      </w:r>
      <w:r>
        <w:rPr>
          <w:rFonts w:hint="eastAsia" w:ascii="宋体" w:hAnsi="宋体" w:cs="宋体"/>
          <w:color w:val="auto"/>
          <w:sz w:val="24"/>
          <w:szCs w:val="28"/>
          <w:highlight w:val="none"/>
          <w:lang w:eastAsia="zh-CN"/>
        </w:rPr>
        <w:t>：</w:t>
      </w:r>
      <w:r>
        <w:rPr>
          <w:rFonts w:hint="eastAsia" w:ascii="宋体" w:hAnsi="宋体" w:cs="宋体"/>
          <w:color w:val="000000"/>
          <w:kern w:val="0"/>
          <w:sz w:val="24"/>
          <w:lang w:val="en-US" w:eastAsia="zh-CN"/>
        </w:rPr>
        <w:t>招标采购数字管理平台（</w:t>
      </w:r>
      <w:r>
        <w:fldChar w:fldCharType="begin"/>
      </w:r>
      <w:r>
        <w:instrText xml:space="preserve"> HYPERLINK "https://cg.sz-water.com.cn" </w:instrText>
      </w:r>
      <w:r>
        <w:fldChar w:fldCharType="separate"/>
      </w:r>
      <w:r>
        <w:rPr>
          <w:rStyle w:val="56"/>
        </w:rPr>
        <w:t>https://cg.sz-water.com.cn</w:t>
      </w:r>
      <w:r>
        <w:fldChar w:fldCharType="end"/>
      </w:r>
      <w:r>
        <w:rPr>
          <w:rFonts w:hint="eastAsia" w:ascii="宋体" w:hAnsi="宋体" w:cs="宋体"/>
          <w:color w:val="000000"/>
          <w:kern w:val="0"/>
          <w:sz w:val="24"/>
          <w:lang w:val="en-US" w:eastAsia="zh-CN"/>
        </w:rPr>
        <w:t>）发布时间为准</w:t>
      </w:r>
    </w:p>
    <w:p>
      <w:pPr>
        <w:shd w:val="clear" w:color="auto" w:fill="FFFFFF"/>
        <w:adjustRightInd w:val="0"/>
        <w:snapToGrid w:val="0"/>
        <w:spacing w:line="500" w:lineRule="exact"/>
        <w:ind w:left="50" w:hanging="50" w:hangingChars="21"/>
        <w:rPr>
          <w:rFonts w:hint="eastAsia" w:ascii="宋体" w:hAnsi="宋体" w:cs="宋体"/>
          <w:color w:val="2A2A2A"/>
          <w:sz w:val="24"/>
          <w:szCs w:val="28"/>
          <w:lang w:val="zh-CN"/>
        </w:rPr>
      </w:pPr>
      <w:r>
        <w:rPr>
          <w:rFonts w:hint="eastAsia" w:ascii="宋体" w:hAnsi="宋体" w:cs="宋体"/>
          <w:sz w:val="24"/>
          <w:szCs w:val="24"/>
        </w:rPr>
        <w:t>投标报名及</w:t>
      </w:r>
      <w:r>
        <w:rPr>
          <w:rFonts w:hint="eastAsia" w:ascii="宋体" w:hAnsi="宋体" w:cs="宋体"/>
          <w:sz w:val="24"/>
          <w:szCs w:val="24"/>
          <w:lang w:val="zh-CN"/>
        </w:rPr>
        <w:t>招标文件发售地点：</w:t>
      </w:r>
      <w:r>
        <w:rPr>
          <w:rFonts w:hint="eastAsia" w:ascii="宋体" w:hAnsi="宋体" w:cs="宋体"/>
          <w:color w:val="000000"/>
          <w:kern w:val="0"/>
          <w:sz w:val="24"/>
          <w:lang w:val="en-US" w:eastAsia="zh-CN"/>
        </w:rPr>
        <w:t>招标采购数字管理平台（</w:t>
      </w:r>
      <w:r>
        <w:fldChar w:fldCharType="begin"/>
      </w:r>
      <w:r>
        <w:instrText xml:space="preserve"> HYPERLINK "https://cg.sz-water.com.cn" </w:instrText>
      </w:r>
      <w:r>
        <w:fldChar w:fldCharType="separate"/>
      </w:r>
      <w:r>
        <w:rPr>
          <w:rStyle w:val="56"/>
        </w:rPr>
        <w:t>https://cg.sz-water.com.cn</w:t>
      </w:r>
      <w:r>
        <w:fldChar w:fldCharType="end"/>
      </w:r>
      <w:r>
        <w:rPr>
          <w:rFonts w:hint="eastAsia" w:ascii="宋体" w:hAnsi="宋体" w:cs="宋体"/>
          <w:color w:val="000000"/>
          <w:kern w:val="0"/>
          <w:sz w:val="24"/>
          <w:lang w:val="en-US" w:eastAsia="zh-CN"/>
        </w:rPr>
        <w:t>）</w:t>
      </w:r>
      <w:r>
        <w:rPr>
          <w:rFonts w:hint="eastAsia" w:ascii="ˎ̥" w:hAnsi="ˎ̥" w:cs="Arial"/>
          <w:sz w:val="24"/>
          <w:szCs w:val="24"/>
        </w:rPr>
        <w:t>本项目不接受联合体投标。</w:t>
      </w:r>
    </w:p>
    <w:p>
      <w:pPr>
        <w:numPr>
          <w:ilvl w:val="0"/>
          <w:numId w:val="0"/>
        </w:numPr>
        <w:spacing w:line="420" w:lineRule="exact"/>
        <w:ind w:left="-180" w:leftChars="0"/>
        <w:jc w:val="left"/>
        <w:rPr>
          <w:rFonts w:hint="default"/>
          <w:lang w:val="en-US" w:eastAsia="zh-CN"/>
        </w:rPr>
      </w:pPr>
      <w:r>
        <w:rPr>
          <w:rFonts w:hint="eastAsia" w:ascii="宋体" w:hAnsi="宋体" w:cs="宋体"/>
          <w:sz w:val="24"/>
          <w:szCs w:val="24"/>
        </w:rPr>
        <w:t xml:space="preserve"> 6、</w:t>
      </w:r>
      <w:r>
        <w:rPr>
          <w:rFonts w:hint="eastAsia" w:ascii="宋体" w:hAnsi="宋体" w:cs="宋体"/>
          <w:sz w:val="24"/>
          <w:szCs w:val="24"/>
          <w:lang w:val="zh-CN"/>
        </w:rPr>
        <w:t>投标文件递交及开标地点：</w:t>
      </w:r>
      <w:r>
        <w:rPr>
          <w:rFonts w:hint="eastAsia" w:ascii="宋体" w:hAnsi="宋体" w:cs="宋体"/>
          <w:color w:val="000000"/>
          <w:kern w:val="0"/>
          <w:sz w:val="24"/>
          <w:lang w:val="en-US" w:eastAsia="zh-CN"/>
        </w:rPr>
        <w:t>宁国水务有限公司二楼会议室及招标采购数字管理平台。</w:t>
      </w:r>
    </w:p>
    <w:p>
      <w:pPr>
        <w:shd w:val="clear" w:color="auto" w:fill="FFFFFF"/>
        <w:adjustRightInd w:val="0"/>
        <w:snapToGrid w:val="0"/>
        <w:spacing w:line="500" w:lineRule="exact"/>
        <w:rPr>
          <w:rFonts w:hint="eastAsia" w:ascii="宋体" w:hAnsi="宋体" w:cs="宋体"/>
          <w:sz w:val="24"/>
          <w:szCs w:val="24"/>
          <w:lang w:val="zh-CN"/>
        </w:rPr>
      </w:pPr>
      <w:r>
        <w:rPr>
          <w:rFonts w:hint="eastAsia" w:ascii="宋体" w:hAnsi="宋体" w:cs="宋体"/>
          <w:sz w:val="24"/>
          <w:szCs w:val="24"/>
          <w:lang w:val="zh-CN"/>
        </w:rPr>
        <w:t xml:space="preserve"> </w:t>
      </w:r>
    </w:p>
    <w:p>
      <w:pPr>
        <w:shd w:val="clear" w:color="auto" w:fill="FFFFFF"/>
        <w:spacing w:line="500" w:lineRule="exact"/>
        <w:rPr>
          <w:rFonts w:hint="eastAsia" w:ascii="宋体" w:hAnsi="宋体" w:cs="宋体"/>
          <w:sz w:val="24"/>
          <w:szCs w:val="24"/>
          <w:lang w:val="zh-CN"/>
        </w:rPr>
      </w:pPr>
      <w:r>
        <w:rPr>
          <w:rFonts w:hint="eastAsia" w:ascii="宋体" w:hAnsi="宋体" w:cs="宋体"/>
          <w:sz w:val="24"/>
          <w:szCs w:val="24"/>
          <w:lang w:val="zh-CN"/>
        </w:rPr>
        <w:t>七、招标文件售价： 本项目不采用</w:t>
      </w:r>
    </w:p>
    <w:p>
      <w:pPr>
        <w:shd w:val="clear" w:color="auto" w:fill="FFFFFF"/>
        <w:spacing w:line="500" w:lineRule="exact"/>
        <w:rPr>
          <w:rFonts w:hint="eastAsia" w:ascii="宋体" w:hAnsi="宋体" w:cs="宋体"/>
          <w:sz w:val="24"/>
          <w:szCs w:val="24"/>
        </w:rPr>
      </w:pPr>
      <w:r>
        <w:rPr>
          <w:rFonts w:hint="eastAsia" w:ascii="宋体" w:hAnsi="宋体" w:cs="宋体"/>
          <w:sz w:val="24"/>
          <w:szCs w:val="24"/>
        </w:rPr>
        <w:t>八、联系方法：</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联系人：</w:t>
      </w:r>
      <w:r>
        <w:rPr>
          <w:rFonts w:hint="eastAsia" w:ascii="宋体" w:hAnsi="宋体"/>
          <w:sz w:val="24"/>
          <w:szCs w:val="24"/>
          <w:lang w:val="en-US" w:eastAsia="zh-CN"/>
        </w:rPr>
        <w:t>余清</w:t>
      </w:r>
      <w:r>
        <w:rPr>
          <w:rFonts w:hint="eastAsia" w:ascii="宋体" w:hAnsi="宋体"/>
          <w:sz w:val="24"/>
          <w:szCs w:val="24"/>
        </w:rPr>
        <w:t xml:space="preserve">            </w:t>
      </w:r>
    </w:p>
    <w:p>
      <w:pPr>
        <w:widowControl/>
        <w:spacing w:line="360" w:lineRule="auto"/>
        <w:ind w:firstLine="480" w:firstLineChars="200"/>
        <w:jc w:val="left"/>
        <w:rPr>
          <w:rFonts w:hint="eastAsia" w:ascii="宋体" w:hAnsi="宋体"/>
          <w:sz w:val="23"/>
          <w:szCs w:val="23"/>
        </w:rPr>
      </w:pPr>
      <w:r>
        <w:rPr>
          <w:rFonts w:hint="eastAsia" w:ascii="宋体" w:hAnsi="宋体"/>
          <w:sz w:val="24"/>
          <w:szCs w:val="24"/>
        </w:rPr>
        <w:t>联系电话：</w:t>
      </w:r>
      <w:r>
        <w:rPr>
          <w:rFonts w:hint="eastAsia" w:ascii="宋体" w:hAnsi="宋体"/>
          <w:sz w:val="24"/>
          <w:szCs w:val="24"/>
          <w:lang w:val="en-US" w:eastAsia="zh-CN"/>
        </w:rPr>
        <w:t>18205639394</w:t>
      </w:r>
      <w:r>
        <w:rPr>
          <w:rFonts w:hint="eastAsia" w:ascii="宋体" w:hAnsi="宋体"/>
          <w:sz w:val="24"/>
          <w:szCs w:val="24"/>
        </w:rPr>
        <w:t xml:space="preserve"> </w:t>
      </w:r>
      <w:r>
        <w:rPr>
          <w:rFonts w:hint="eastAsia" w:ascii="宋体" w:hAnsi="宋体"/>
          <w:sz w:val="23"/>
          <w:szCs w:val="23"/>
        </w:rPr>
        <w:t xml:space="preserve">  </w:t>
      </w:r>
    </w:p>
    <w:p>
      <w:pPr>
        <w:shd w:val="clear" w:color="auto" w:fill="FFFFFF"/>
        <w:spacing w:line="500" w:lineRule="exact"/>
        <w:ind w:firstLine="480" w:firstLineChars="200"/>
        <w:jc w:val="left"/>
        <w:rPr>
          <w:rFonts w:hint="eastAsia" w:ascii="宋体" w:hAnsi="宋体" w:cs="宋体"/>
          <w:sz w:val="24"/>
          <w:szCs w:val="28"/>
          <w:lang w:val="zh-CN"/>
        </w:rPr>
      </w:pPr>
      <w:r>
        <w:rPr>
          <w:rFonts w:hint="eastAsia" w:ascii="宋体" w:hAnsi="宋体" w:cs="宋体"/>
          <w:sz w:val="24"/>
          <w:szCs w:val="28"/>
          <w:lang w:val="zh-CN"/>
        </w:rPr>
        <w:t xml:space="preserve">    </w:t>
      </w:r>
    </w:p>
    <w:p>
      <w:pPr>
        <w:shd w:val="clear" w:color="auto" w:fill="FFFFFF"/>
        <w:spacing w:line="500" w:lineRule="exact"/>
        <w:ind w:firstLine="480" w:firstLineChars="200"/>
        <w:jc w:val="left"/>
        <w:rPr>
          <w:rFonts w:hint="eastAsia" w:ascii="宋体" w:hAnsi="宋体" w:cs="宋体"/>
          <w:sz w:val="24"/>
          <w:szCs w:val="24"/>
        </w:rPr>
      </w:pPr>
    </w:p>
    <w:p>
      <w:pPr>
        <w:spacing w:line="460" w:lineRule="exact"/>
        <w:ind w:left="7315" w:hanging="7315" w:hangingChars="2286"/>
        <w:jc w:val="center"/>
        <w:rPr>
          <w:rFonts w:ascii="仿宋_GB2312" w:eastAsia="仿宋_GB2312"/>
          <w:sz w:val="32"/>
          <w:szCs w:val="32"/>
        </w:rPr>
      </w:pPr>
      <w:r>
        <w:rPr>
          <w:rFonts w:hint="eastAsia" w:ascii="仿宋_GB2312" w:eastAsia="仿宋_GB2312"/>
          <w:sz w:val="32"/>
          <w:szCs w:val="32"/>
        </w:rPr>
        <w:t>回   执  单</w:t>
      </w:r>
    </w:p>
    <w:p>
      <w:pPr>
        <w:spacing w:line="460" w:lineRule="exact"/>
        <w:ind w:left="4801" w:hanging="4800" w:hangingChars="2286"/>
        <w:jc w:val="center"/>
        <w:rPr>
          <w:rFonts w:hint="eastAsia" w:ascii="仿宋_GB2312" w:eastAsia="仿宋_GB2312"/>
          <w:szCs w:val="21"/>
        </w:rPr>
      </w:pPr>
    </w:p>
    <w:p>
      <w:pPr>
        <w:spacing w:line="460" w:lineRule="exact"/>
        <w:ind w:firstLine="510"/>
        <w:rPr>
          <w:rFonts w:hint="eastAsia" w:ascii="仿宋_GB2312" w:hAnsi="宋体" w:eastAsia="仿宋_GB2312"/>
          <w:sz w:val="28"/>
          <w:szCs w:val="28"/>
        </w:rPr>
      </w:pPr>
      <w:r>
        <w:rPr>
          <w:rFonts w:hint="eastAsia" w:ascii="仿宋_GB2312" w:hAnsi="宋体" w:eastAsia="仿宋_GB2312"/>
          <w:sz w:val="28"/>
          <w:szCs w:val="28"/>
        </w:rPr>
        <w:t>为了确认贵公司已收到此招标邀请书并参与本次招投标,请贵公司收到此函后,</w:t>
      </w:r>
      <w:r>
        <w:rPr>
          <w:rFonts w:hint="eastAsia" w:ascii="仿宋_GB2312" w:hAnsi="宋体" w:eastAsia="仿宋_GB2312"/>
          <w:color w:val="auto"/>
          <w:sz w:val="28"/>
          <w:szCs w:val="28"/>
        </w:rPr>
        <w:t>务必在</w:t>
      </w:r>
      <w:r>
        <w:rPr>
          <w:rFonts w:hint="eastAsia" w:ascii="宋体" w:hAnsi="宋体" w:cs="宋体"/>
          <w:color w:val="auto"/>
          <w:sz w:val="24"/>
          <w:szCs w:val="28"/>
          <w:highlight w:val="none"/>
        </w:rPr>
        <w:t>开标时间</w:t>
      </w:r>
      <w:r>
        <w:rPr>
          <w:rFonts w:hint="eastAsia" w:ascii="仿宋_GB2312" w:hAnsi="宋体" w:eastAsia="仿宋_GB2312"/>
          <w:color w:val="auto"/>
          <w:sz w:val="28"/>
          <w:szCs w:val="28"/>
        </w:rPr>
        <w:t>前回执</w:t>
      </w:r>
      <w:r>
        <w:rPr>
          <w:rFonts w:hint="eastAsia" w:ascii="仿宋_GB2312" w:hAnsi="宋体" w:eastAsia="仿宋_GB2312"/>
          <w:sz w:val="28"/>
          <w:szCs w:val="28"/>
        </w:rPr>
        <w:t>,将回执单盖章签字，并回传至我公司</w:t>
      </w:r>
      <w:r>
        <w:rPr>
          <w:rFonts w:hint="eastAsia" w:ascii="仿宋_GB2312" w:hAnsi="宋体" w:eastAsia="仿宋_GB2312"/>
          <w:sz w:val="28"/>
          <w:szCs w:val="28"/>
          <w:lang w:val="en-US" w:eastAsia="zh-CN"/>
        </w:rPr>
        <w:t>或者另附于投标文件封面</w:t>
      </w:r>
      <w:r>
        <w:rPr>
          <w:rFonts w:hint="eastAsia" w:ascii="仿宋_GB2312" w:hAnsi="宋体" w:eastAsia="仿宋_GB2312"/>
          <w:sz w:val="28"/>
          <w:szCs w:val="28"/>
        </w:rPr>
        <w:t>。如没有确认回执,我公司将视同贵公司弃权。非常感谢您的合作支持!（也可电子版回传邮箱</w:t>
      </w:r>
      <w:r>
        <w:rPr>
          <w:rFonts w:hint="eastAsia" w:ascii="仿宋_GB2312" w:hAnsi="宋体" w:eastAsia="仿宋_GB2312"/>
          <w:sz w:val="28"/>
          <w:szCs w:val="28"/>
          <w:lang w:val="en-US" w:eastAsia="zh-CN"/>
        </w:rPr>
        <w:t>978473775</w:t>
      </w:r>
      <w:r>
        <w:rPr>
          <w:rFonts w:ascii="仿宋_GB2312" w:hAnsi="宋体" w:eastAsia="仿宋_GB2312"/>
          <w:sz w:val="28"/>
          <w:szCs w:val="28"/>
        </w:rPr>
        <w:t>@</w:t>
      </w:r>
      <w:r>
        <w:rPr>
          <w:rFonts w:hint="eastAsia" w:ascii="仿宋_GB2312" w:hAnsi="宋体" w:eastAsia="仿宋_GB2312"/>
          <w:sz w:val="28"/>
          <w:szCs w:val="28"/>
        </w:rPr>
        <w:t>qq</w:t>
      </w:r>
      <w:r>
        <w:rPr>
          <w:rFonts w:ascii="仿宋_GB2312" w:hAnsi="宋体" w:eastAsia="仿宋_GB2312"/>
          <w:sz w:val="28"/>
          <w:szCs w:val="28"/>
        </w:rPr>
        <w:t>.com</w:t>
      </w:r>
      <w:r>
        <w:rPr>
          <w:rFonts w:hint="eastAsia" w:ascii="仿宋_GB2312" w:hAnsi="宋体" w:eastAsia="仿宋_GB2312"/>
          <w:sz w:val="28"/>
          <w:szCs w:val="28"/>
        </w:rPr>
        <w:t>）</w:t>
      </w:r>
    </w:p>
    <w:p>
      <w:pPr>
        <w:spacing w:line="460" w:lineRule="exact"/>
        <w:ind w:firstLine="510"/>
        <w:rPr>
          <w:rFonts w:hint="eastAsia" w:ascii="仿宋_GB2312" w:eastAsia="仿宋_GB2312"/>
          <w:sz w:val="28"/>
          <w:szCs w:val="28"/>
        </w:rPr>
      </w:pPr>
    </w:p>
    <w:p>
      <w:pPr>
        <w:spacing w:line="460" w:lineRule="exact"/>
        <w:ind w:firstLine="3752" w:firstLineChars="1340"/>
        <w:rPr>
          <w:rFonts w:hint="eastAsia" w:ascii="仿宋_GB2312" w:eastAsia="仿宋_GB2312"/>
          <w:sz w:val="28"/>
          <w:szCs w:val="28"/>
        </w:rPr>
      </w:pPr>
      <w:r>
        <w:rPr>
          <w:rFonts w:hint="eastAsia" w:ascii="仿宋_GB2312" w:eastAsia="仿宋_GB2312"/>
          <w:sz w:val="28"/>
          <w:szCs w:val="28"/>
        </w:rPr>
        <w:t>投标单位(盖章):</w:t>
      </w:r>
    </w:p>
    <w:p>
      <w:pPr>
        <w:spacing w:line="460" w:lineRule="exact"/>
        <w:ind w:firstLine="4085" w:firstLineChars="1459"/>
        <w:rPr>
          <w:rFonts w:hint="eastAsia" w:ascii="仿宋_GB2312" w:eastAsia="仿宋_GB2312"/>
          <w:sz w:val="28"/>
          <w:szCs w:val="28"/>
        </w:rPr>
      </w:pPr>
    </w:p>
    <w:p>
      <w:pPr>
        <w:spacing w:line="460" w:lineRule="exact"/>
        <w:ind w:firstLine="3752" w:firstLineChars="1340"/>
        <w:rPr>
          <w:rFonts w:hint="eastAsia" w:ascii="仿宋_GB2312" w:eastAsia="仿宋_GB2312"/>
          <w:sz w:val="28"/>
          <w:szCs w:val="28"/>
        </w:rPr>
      </w:pPr>
      <w:r>
        <w:rPr>
          <w:rFonts w:hint="eastAsia" w:ascii="仿宋_GB2312" w:eastAsia="仿宋_GB2312"/>
          <w:sz w:val="28"/>
          <w:szCs w:val="28"/>
        </w:rPr>
        <w:t>授权代表(签字):</w:t>
      </w:r>
    </w:p>
    <w:p>
      <w:pPr>
        <w:spacing w:line="460" w:lineRule="exact"/>
        <w:ind w:firstLine="4085" w:firstLineChars="1459"/>
        <w:rPr>
          <w:rFonts w:hint="eastAsia" w:ascii="仿宋_GB2312" w:eastAsia="仿宋_GB2312"/>
          <w:sz w:val="28"/>
          <w:szCs w:val="28"/>
        </w:rPr>
      </w:pPr>
    </w:p>
    <w:p>
      <w:pPr>
        <w:spacing w:line="460" w:lineRule="exact"/>
        <w:ind w:firstLine="3752" w:firstLineChars="1340"/>
        <w:rPr>
          <w:rFonts w:hint="eastAsia" w:ascii="仿宋_GB2312" w:eastAsia="仿宋_GB2312"/>
          <w:sz w:val="28"/>
          <w:szCs w:val="28"/>
        </w:rPr>
      </w:pPr>
      <w:r>
        <w:rPr>
          <w:rFonts w:hint="eastAsia" w:ascii="仿宋_GB2312" w:eastAsia="仿宋_GB2312"/>
          <w:sz w:val="28"/>
          <w:szCs w:val="28"/>
        </w:rPr>
        <w:t>日期:</w:t>
      </w:r>
    </w:p>
    <w:p>
      <w:pPr>
        <w:shd w:val="clear" w:color="auto" w:fill="FFFFFF"/>
        <w:spacing w:line="500" w:lineRule="exact"/>
        <w:ind w:firstLine="480" w:firstLineChars="200"/>
        <w:jc w:val="left"/>
        <w:rPr>
          <w:rFonts w:hint="eastAsia" w:ascii="宋体" w:hAnsi="宋体" w:cs="宋体"/>
          <w:sz w:val="24"/>
          <w:szCs w:val="28"/>
          <w:lang w:val="zh-CN"/>
        </w:rPr>
      </w:pPr>
      <w:r>
        <w:rPr>
          <w:rFonts w:hint="eastAsia" w:ascii="宋体" w:hAnsi="宋体" w:cs="宋体"/>
          <w:sz w:val="24"/>
          <w:szCs w:val="28"/>
          <w:lang w:val="zh-CN"/>
        </w:rPr>
        <w:t xml:space="preserve">    </w:t>
      </w:r>
    </w:p>
    <w:p>
      <w:pPr>
        <w:shd w:val="clear" w:color="auto" w:fill="FFFFFF"/>
        <w:spacing w:line="500" w:lineRule="exact"/>
        <w:ind w:firstLine="480" w:firstLineChars="200"/>
        <w:jc w:val="left"/>
        <w:rPr>
          <w:rFonts w:hint="eastAsia" w:ascii="宋体" w:hAnsi="宋体" w:cs="宋体"/>
          <w:sz w:val="24"/>
          <w:szCs w:val="24"/>
        </w:rPr>
      </w:pPr>
    </w:p>
    <w:p>
      <w:pPr>
        <w:rPr>
          <w:rFonts w:hint="eastAsia"/>
          <w:lang w:bidi="he-IL"/>
        </w:rPr>
      </w:pPr>
    </w:p>
    <w:p>
      <w:pPr>
        <w:rPr>
          <w:rFonts w:hint="eastAsia"/>
          <w:lang w:bidi="he-IL"/>
        </w:rPr>
      </w:pPr>
    </w:p>
    <w:p>
      <w:pPr>
        <w:rPr>
          <w:rFonts w:hint="eastAsia"/>
          <w:lang w:bidi="he-IL"/>
        </w:rPr>
      </w:pPr>
    </w:p>
    <w:p>
      <w:pPr>
        <w:rPr>
          <w:rFonts w:hint="eastAsia"/>
          <w:lang w:bidi="he-IL"/>
        </w:rPr>
      </w:pPr>
    </w:p>
    <w:p>
      <w:pPr>
        <w:rPr>
          <w:rFonts w:hint="eastAsia"/>
          <w:lang w:bidi="he-IL"/>
        </w:rPr>
      </w:pPr>
    </w:p>
    <w:p>
      <w:pPr>
        <w:rPr>
          <w:rFonts w:hint="eastAsia"/>
          <w:lang w:bidi="he-IL"/>
        </w:rPr>
      </w:pPr>
    </w:p>
    <w:p>
      <w:pPr>
        <w:pStyle w:val="19"/>
        <w:rPr>
          <w:rFonts w:hint="eastAsia"/>
          <w:lang w:bidi="he-IL"/>
        </w:rPr>
      </w:pPr>
    </w:p>
    <w:p>
      <w:pPr>
        <w:pStyle w:val="19"/>
        <w:rPr>
          <w:rFonts w:hint="eastAsia"/>
          <w:lang w:bidi="he-IL"/>
        </w:rPr>
      </w:pPr>
    </w:p>
    <w:p>
      <w:pPr>
        <w:pStyle w:val="19"/>
        <w:rPr>
          <w:rFonts w:hint="eastAsia"/>
          <w:lang w:bidi="he-IL"/>
        </w:rPr>
      </w:pPr>
    </w:p>
    <w:p>
      <w:pPr>
        <w:rPr>
          <w:rFonts w:hint="eastAsia"/>
          <w:lang w:bidi="he-IL"/>
        </w:rPr>
      </w:pPr>
    </w:p>
    <w:p>
      <w:pPr>
        <w:rPr>
          <w:rFonts w:hint="eastAsia"/>
          <w:lang w:bidi="he-IL"/>
        </w:rPr>
      </w:pPr>
    </w:p>
    <w:p>
      <w:pPr>
        <w:rPr>
          <w:rFonts w:hint="eastAsia"/>
          <w:lang w:bidi="he-IL"/>
        </w:rPr>
      </w:pPr>
    </w:p>
    <w:p>
      <w:pPr>
        <w:pStyle w:val="2"/>
        <w:numPr>
          <w:ilvl w:val="0"/>
          <w:numId w:val="0"/>
        </w:numPr>
        <w:spacing w:line="480" w:lineRule="exact"/>
        <w:jc w:val="both"/>
        <w:rPr>
          <w:rFonts w:hint="eastAsia" w:ascii="宋体" w:hAnsi="宋体" w:eastAsia="宋体"/>
          <w:b/>
          <w:bCs/>
          <w:color w:val="000000"/>
          <w:sz w:val="32"/>
          <w:szCs w:val="32"/>
        </w:rPr>
      </w:pPr>
      <w:bookmarkStart w:id="6" w:name="_Toc476643911"/>
    </w:p>
    <w:p>
      <w:pPr>
        <w:rPr>
          <w:rFonts w:hint="eastAsia"/>
        </w:rPr>
      </w:pPr>
    </w:p>
    <w:p>
      <w:pPr>
        <w:pStyle w:val="2"/>
        <w:numPr>
          <w:ilvl w:val="0"/>
          <w:numId w:val="0"/>
        </w:numPr>
        <w:spacing w:line="480" w:lineRule="exact"/>
        <w:jc w:val="both"/>
        <w:rPr>
          <w:rFonts w:ascii="宋体" w:hAnsi="宋体" w:eastAsia="宋体"/>
          <w:b/>
          <w:bCs/>
          <w:color w:val="000000"/>
          <w:sz w:val="32"/>
          <w:szCs w:val="32"/>
        </w:rPr>
      </w:pPr>
      <w:r>
        <w:rPr>
          <w:rFonts w:hint="eastAsia" w:ascii="宋体" w:hAnsi="宋体" w:eastAsia="宋体"/>
          <w:b/>
          <w:bCs/>
          <w:color w:val="000000"/>
          <w:sz w:val="32"/>
          <w:szCs w:val="32"/>
        </w:rPr>
        <w:t>第</w:t>
      </w:r>
      <w:bookmarkStart w:id="7" w:name="_Hlk450146187"/>
      <w:r>
        <w:rPr>
          <w:rFonts w:hint="eastAsia" w:ascii="宋体" w:hAnsi="宋体" w:eastAsia="宋体"/>
          <w:b/>
          <w:bCs/>
          <w:color w:val="000000"/>
          <w:sz w:val="32"/>
          <w:szCs w:val="32"/>
        </w:rPr>
        <w:t xml:space="preserve">二章  </w:t>
      </w:r>
      <w:bookmarkEnd w:id="7"/>
      <w:r>
        <w:rPr>
          <w:rFonts w:hint="eastAsia" w:ascii="宋体" w:hAnsi="宋体" w:eastAsia="宋体"/>
          <w:b/>
          <w:bCs/>
          <w:color w:val="000000"/>
          <w:sz w:val="32"/>
          <w:szCs w:val="32"/>
        </w:rPr>
        <w:t>投标人须知</w:t>
      </w:r>
      <w:bookmarkEnd w:id="4"/>
      <w:bookmarkEnd w:id="5"/>
      <w:bookmarkEnd w:id="6"/>
    </w:p>
    <w:p>
      <w:pPr>
        <w:jc w:val="both"/>
        <w:rPr>
          <w:b/>
          <w:sz w:val="28"/>
          <w:szCs w:val="28"/>
        </w:rPr>
      </w:pPr>
      <w:r>
        <w:rPr>
          <w:b/>
          <w:sz w:val="28"/>
          <w:szCs w:val="28"/>
        </w:rPr>
        <w:t>一、投标人须知前附表</w:t>
      </w:r>
    </w:p>
    <w:tbl>
      <w:tblPr>
        <w:tblStyle w:val="4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36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86" w:hRule="atLeast"/>
          <w:jc w:val="center"/>
        </w:trPr>
        <w:tc>
          <w:tcPr>
            <w:tcW w:w="921" w:type="dxa"/>
            <w:vAlign w:val="center"/>
          </w:tcPr>
          <w:p>
            <w:pPr>
              <w:spacing w:line="400" w:lineRule="exact"/>
              <w:jc w:val="center"/>
              <w:rPr>
                <w:rFonts w:ascii="宋体" w:hAnsi="宋体" w:cs="Arial"/>
                <w:b/>
                <w:color w:val="000000"/>
                <w:sz w:val="24"/>
                <w:szCs w:val="24"/>
              </w:rPr>
            </w:pPr>
            <w:r>
              <w:rPr>
                <w:rFonts w:ascii="宋体" w:hAnsi="宋体" w:cs="Arial"/>
                <w:b/>
                <w:color w:val="000000"/>
                <w:sz w:val="24"/>
                <w:szCs w:val="24"/>
              </w:rPr>
              <w:t>序号</w:t>
            </w:r>
          </w:p>
        </w:tc>
        <w:tc>
          <w:tcPr>
            <w:tcW w:w="8367" w:type="dxa"/>
            <w:vAlign w:val="center"/>
          </w:tcPr>
          <w:p>
            <w:pPr>
              <w:spacing w:line="400" w:lineRule="exact"/>
              <w:jc w:val="center"/>
              <w:rPr>
                <w:rFonts w:ascii="宋体" w:hAnsi="宋体" w:cs="Arial"/>
                <w:b/>
                <w:color w:val="000000"/>
                <w:sz w:val="24"/>
                <w:szCs w:val="24"/>
              </w:rPr>
            </w:pPr>
            <w:r>
              <w:rPr>
                <w:rFonts w:ascii="宋体" w:hAnsi="宋体" w:cs="Arial"/>
                <w:b/>
                <w:color w:val="000000"/>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1" w:type="dxa"/>
            <w:vAlign w:val="center"/>
          </w:tcPr>
          <w:p>
            <w:pPr>
              <w:spacing w:line="400" w:lineRule="exact"/>
              <w:jc w:val="center"/>
              <w:rPr>
                <w:rFonts w:ascii="宋体" w:hAnsi="宋体"/>
                <w:color w:val="000000"/>
                <w:sz w:val="24"/>
                <w:szCs w:val="24"/>
              </w:rPr>
            </w:pPr>
            <w:r>
              <w:rPr>
                <w:rFonts w:ascii="宋体" w:hAnsi="宋体"/>
                <w:color w:val="000000"/>
                <w:sz w:val="24"/>
                <w:szCs w:val="24"/>
              </w:rPr>
              <w:t>1</w:t>
            </w:r>
          </w:p>
        </w:tc>
        <w:tc>
          <w:tcPr>
            <w:tcW w:w="8367" w:type="dxa"/>
            <w:vAlign w:val="center"/>
          </w:tcPr>
          <w:p>
            <w:pPr>
              <w:spacing w:line="400" w:lineRule="exact"/>
              <w:rPr>
                <w:rFonts w:hint="eastAsia" w:ascii="宋体" w:hAnsi="宋体"/>
                <w:b/>
                <w:bCs/>
                <w:sz w:val="24"/>
                <w:szCs w:val="24"/>
              </w:rPr>
            </w:pPr>
            <w:r>
              <w:rPr>
                <w:rFonts w:hint="eastAsia" w:ascii="宋体" w:hAnsi="宋体"/>
                <w:color w:val="000000"/>
                <w:sz w:val="24"/>
                <w:szCs w:val="24"/>
              </w:rPr>
              <w:t>项目名称：</w:t>
            </w:r>
            <w:r>
              <w:rPr>
                <w:rFonts w:hint="eastAsia" w:ascii="宋体" w:hAnsi="宋体"/>
                <w:sz w:val="24"/>
                <w:szCs w:val="24"/>
              </w:rPr>
              <w:t>见邀请函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21" w:type="dxa"/>
            <w:vAlign w:val="center"/>
          </w:tcPr>
          <w:p>
            <w:pPr>
              <w:spacing w:line="400" w:lineRule="exact"/>
              <w:jc w:val="center"/>
              <w:rPr>
                <w:rFonts w:ascii="宋体" w:hAnsi="宋体"/>
                <w:color w:val="000000"/>
                <w:sz w:val="24"/>
                <w:szCs w:val="24"/>
              </w:rPr>
            </w:pPr>
            <w:r>
              <w:rPr>
                <w:rFonts w:ascii="宋体" w:hAnsi="宋体"/>
                <w:color w:val="000000"/>
                <w:sz w:val="24"/>
                <w:szCs w:val="24"/>
              </w:rPr>
              <w:t>2</w:t>
            </w:r>
          </w:p>
        </w:tc>
        <w:tc>
          <w:tcPr>
            <w:tcW w:w="8367" w:type="dxa"/>
            <w:vAlign w:val="center"/>
          </w:tcPr>
          <w:p>
            <w:pPr>
              <w:autoSpaceDE w:val="0"/>
              <w:autoSpaceDN w:val="0"/>
              <w:adjustRightInd w:val="0"/>
              <w:spacing w:line="400" w:lineRule="exact"/>
              <w:jc w:val="left"/>
              <w:rPr>
                <w:rFonts w:ascii="宋体" w:hAnsi="宋体"/>
                <w:sz w:val="24"/>
                <w:szCs w:val="24"/>
              </w:rPr>
            </w:pPr>
            <w:r>
              <w:rPr>
                <w:rFonts w:hint="eastAsia" w:ascii="宋体" w:hAnsi="宋体"/>
                <w:color w:val="000000"/>
                <w:sz w:val="24"/>
                <w:szCs w:val="24"/>
              </w:rPr>
              <w:t>招标</w:t>
            </w:r>
            <w:r>
              <w:rPr>
                <w:rFonts w:ascii="宋体" w:hAnsi="宋体"/>
                <w:color w:val="000000"/>
                <w:sz w:val="24"/>
                <w:szCs w:val="24"/>
              </w:rPr>
              <w:t>人：</w:t>
            </w:r>
            <w:r>
              <w:rPr>
                <w:rFonts w:hint="eastAsia" w:ascii="宋体" w:hAnsi="宋体"/>
                <w:sz w:val="24"/>
                <w:szCs w:val="24"/>
              </w:rPr>
              <w:t>见邀请函</w:t>
            </w:r>
          </w:p>
          <w:p>
            <w:pPr>
              <w:autoSpaceDE w:val="0"/>
              <w:autoSpaceDN w:val="0"/>
              <w:adjustRightInd w:val="0"/>
              <w:spacing w:line="400" w:lineRule="exact"/>
              <w:jc w:val="left"/>
              <w:rPr>
                <w:rFonts w:ascii="宋体" w:hAnsi="宋体"/>
                <w:sz w:val="24"/>
                <w:szCs w:val="24"/>
              </w:rPr>
            </w:pPr>
            <w:r>
              <w:rPr>
                <w:rFonts w:hint="eastAsia" w:ascii="宋体" w:hAnsi="宋体"/>
                <w:sz w:val="24"/>
                <w:szCs w:val="24"/>
              </w:rPr>
              <w:t>联系人：见邀请函   电话：见邀请函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3</w:t>
            </w:r>
          </w:p>
        </w:tc>
        <w:tc>
          <w:tcPr>
            <w:tcW w:w="8367" w:type="dxa"/>
            <w:vAlign w:val="center"/>
          </w:tcPr>
          <w:p>
            <w:pPr>
              <w:spacing w:line="400" w:lineRule="exact"/>
              <w:rPr>
                <w:rFonts w:ascii="宋体" w:hAnsi="宋体"/>
                <w:sz w:val="24"/>
                <w:szCs w:val="24"/>
              </w:rPr>
            </w:pPr>
            <w:r>
              <w:rPr>
                <w:rFonts w:hint="eastAsia" w:ascii="宋体" w:hAnsi="宋体"/>
                <w:color w:val="000000"/>
                <w:sz w:val="24"/>
                <w:szCs w:val="24"/>
              </w:rPr>
              <w:t>招标代理</w:t>
            </w:r>
            <w:r>
              <w:rPr>
                <w:rFonts w:ascii="宋体" w:hAnsi="宋体"/>
                <w:color w:val="000000"/>
                <w:sz w:val="24"/>
                <w:szCs w:val="24"/>
              </w:rPr>
              <w:t>机构：</w:t>
            </w:r>
            <w:r>
              <w:rPr>
                <w:rFonts w:hint="eastAsia" w:ascii="宋体" w:hAnsi="宋体"/>
                <w:sz w:val="24"/>
                <w:szCs w:val="24"/>
              </w:rPr>
              <w:t>见邀请函</w:t>
            </w:r>
          </w:p>
          <w:p>
            <w:pPr>
              <w:spacing w:line="400" w:lineRule="exact"/>
              <w:rPr>
                <w:rFonts w:ascii="宋体" w:hAnsi="宋体"/>
                <w:color w:val="000000"/>
                <w:sz w:val="24"/>
                <w:szCs w:val="24"/>
              </w:rPr>
            </w:pPr>
            <w:r>
              <w:rPr>
                <w:rFonts w:hint="eastAsia" w:ascii="宋体" w:hAnsi="宋体"/>
                <w:sz w:val="24"/>
                <w:szCs w:val="24"/>
              </w:rPr>
              <w:t>招标代理</w:t>
            </w:r>
            <w:r>
              <w:rPr>
                <w:rFonts w:ascii="宋体" w:hAnsi="宋体"/>
                <w:sz w:val="24"/>
                <w:szCs w:val="24"/>
              </w:rPr>
              <w:t>机构地址：</w:t>
            </w:r>
            <w:r>
              <w:rPr>
                <w:rFonts w:hint="eastAsia" w:ascii="宋体" w:hAnsi="宋体"/>
                <w:sz w:val="24"/>
                <w:szCs w:val="24"/>
              </w:rPr>
              <w:t>见邀请函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4</w:t>
            </w:r>
          </w:p>
        </w:tc>
        <w:tc>
          <w:tcPr>
            <w:tcW w:w="8367" w:type="dxa"/>
            <w:vAlign w:val="center"/>
          </w:tcPr>
          <w:p>
            <w:pPr>
              <w:spacing w:line="400" w:lineRule="exact"/>
              <w:rPr>
                <w:rFonts w:ascii="宋体" w:hAnsi="宋体"/>
                <w:color w:val="000000"/>
                <w:sz w:val="24"/>
                <w:szCs w:val="24"/>
              </w:rPr>
            </w:pPr>
            <w:r>
              <w:rPr>
                <w:rFonts w:hint="eastAsia" w:ascii="宋体" w:hAnsi="宋体" w:cs="宋体"/>
                <w:color w:val="000000"/>
                <w:kern w:val="0"/>
                <w:sz w:val="24"/>
                <w:szCs w:val="24"/>
              </w:rPr>
              <w:t>供货地点：</w:t>
            </w:r>
            <w:r>
              <w:rPr>
                <w:rFonts w:hint="eastAsia" w:ascii="宋体" w:hAnsi="宋体"/>
                <w:sz w:val="24"/>
                <w:szCs w:val="24"/>
              </w:rPr>
              <w:t>招标人指定地点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5</w:t>
            </w:r>
          </w:p>
        </w:tc>
        <w:tc>
          <w:tcPr>
            <w:tcW w:w="8367" w:type="dxa"/>
            <w:vAlign w:val="center"/>
          </w:tcPr>
          <w:p>
            <w:pPr>
              <w:spacing w:line="400" w:lineRule="exact"/>
              <w:rPr>
                <w:rFonts w:ascii="宋体" w:hAnsi="宋体"/>
                <w:color w:val="000000"/>
                <w:sz w:val="24"/>
                <w:szCs w:val="24"/>
              </w:rPr>
            </w:pPr>
            <w:r>
              <w:rPr>
                <w:rFonts w:hint="eastAsia" w:ascii="宋体" w:hAnsi="宋体"/>
                <w:color w:val="000000"/>
                <w:sz w:val="24"/>
                <w:szCs w:val="24"/>
              </w:rPr>
              <w:t>本项目资金已落实。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6</w:t>
            </w:r>
          </w:p>
        </w:tc>
        <w:tc>
          <w:tcPr>
            <w:tcW w:w="8367" w:type="dxa"/>
            <w:vAlign w:val="center"/>
          </w:tcPr>
          <w:p>
            <w:pPr>
              <w:widowControl/>
              <w:spacing w:line="400" w:lineRule="exact"/>
              <w:rPr>
                <w:rFonts w:ascii="宋体" w:hAnsi="宋体" w:cs="宋体"/>
                <w:color w:val="000000"/>
                <w:kern w:val="0"/>
                <w:sz w:val="24"/>
                <w:szCs w:val="24"/>
              </w:rPr>
            </w:pPr>
            <w:r>
              <w:rPr>
                <w:rFonts w:hint="eastAsia" w:ascii="宋体" w:hAnsi="宋体" w:cs="宋体"/>
                <w:color w:val="000000"/>
                <w:kern w:val="0"/>
                <w:sz w:val="24"/>
                <w:szCs w:val="24"/>
              </w:rPr>
              <w:t>投标人资格</w:t>
            </w:r>
            <w:r>
              <w:rPr>
                <w:rFonts w:hint="eastAsia" w:ascii="宋体" w:hAnsi="宋体" w:cs="宋体"/>
                <w:kern w:val="0"/>
                <w:sz w:val="24"/>
                <w:szCs w:val="24"/>
              </w:rPr>
              <w:t>要求：见邀请函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5" w:hRule="exac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7</w:t>
            </w:r>
          </w:p>
        </w:tc>
        <w:tc>
          <w:tcPr>
            <w:tcW w:w="8367" w:type="dxa"/>
            <w:vAlign w:val="center"/>
          </w:tcPr>
          <w:p>
            <w:pPr>
              <w:spacing w:line="400" w:lineRule="exact"/>
              <w:rPr>
                <w:rFonts w:ascii="宋体" w:hAnsi="宋体"/>
                <w:sz w:val="22"/>
                <w:szCs w:val="22"/>
              </w:rPr>
            </w:pPr>
            <w:r>
              <w:rPr>
                <w:rFonts w:hint="eastAsia" w:ascii="宋体" w:hAnsi="宋体"/>
                <w:sz w:val="22"/>
                <w:szCs w:val="22"/>
              </w:rPr>
              <w:t>质量要求：完全符合国家质量标准及国家相关强制性认证要求。</w:t>
            </w:r>
          </w:p>
          <w:p>
            <w:pPr>
              <w:spacing w:line="400" w:lineRule="exact"/>
              <w:rPr>
                <w:rFonts w:hint="eastAsia" w:ascii="宋体" w:hAnsi="宋体"/>
                <w:color w:val="FF0000"/>
                <w:sz w:val="22"/>
                <w:szCs w:val="22"/>
              </w:rPr>
            </w:pPr>
            <w:r>
              <w:rPr>
                <w:rFonts w:hint="eastAsia" w:ascii="宋体" w:hAnsi="宋体"/>
                <w:sz w:val="22"/>
                <w:szCs w:val="22"/>
              </w:rPr>
              <w:t>供货期：</w:t>
            </w:r>
            <w:r>
              <w:rPr>
                <w:rFonts w:hint="eastAsia" w:ascii="宋体" w:hAnsi="宋体"/>
                <w:b/>
                <w:color w:val="FF0000"/>
                <w:sz w:val="22"/>
                <w:szCs w:val="18"/>
                <w:u w:val="thick"/>
              </w:rPr>
              <w:t>根据招标人要求供货，中标人必须在招标人发出供货通知后</w:t>
            </w:r>
            <w:r>
              <w:rPr>
                <w:rFonts w:hint="eastAsia" w:ascii="宋体" w:hAnsi="宋体"/>
                <w:b/>
                <w:bCs/>
                <w:color w:val="FF0000"/>
                <w:sz w:val="22"/>
                <w:szCs w:val="18"/>
                <w:u w:val="thick"/>
                <w:lang w:val="en-US" w:eastAsia="zh-CN"/>
              </w:rPr>
              <w:t>七</w:t>
            </w:r>
            <w:r>
              <w:rPr>
                <w:rFonts w:hint="eastAsia" w:ascii="宋体" w:hAnsi="宋体"/>
                <w:b/>
                <w:color w:val="FF0000"/>
                <w:sz w:val="22"/>
                <w:szCs w:val="18"/>
                <w:u w:val="thick"/>
              </w:rPr>
              <w:t>日内将货物运至指定地点</w:t>
            </w:r>
            <w:r>
              <w:rPr>
                <w:rFonts w:hint="eastAsia" w:ascii="宋体" w:hAnsi="宋体"/>
                <w:color w:val="FF0000"/>
                <w:sz w:val="22"/>
                <w:szCs w:val="22"/>
              </w:rPr>
              <w:t>。</w:t>
            </w:r>
          </w:p>
          <w:p>
            <w:pPr>
              <w:spacing w:line="400" w:lineRule="exact"/>
              <w:rPr>
                <w:rFonts w:ascii="宋体" w:hAnsi="宋体"/>
                <w:sz w:val="24"/>
                <w:szCs w:val="24"/>
              </w:rPr>
            </w:pPr>
            <w:r>
              <w:rPr>
                <w:rFonts w:hint="eastAsia" w:ascii="宋体" w:hAnsi="宋体"/>
                <w:sz w:val="22"/>
                <w:szCs w:val="22"/>
              </w:rPr>
              <w:t>免费质保期：</w:t>
            </w:r>
            <w:r>
              <w:rPr>
                <w:rFonts w:hint="eastAsia" w:eastAsia="楷体_GB2312"/>
                <w:sz w:val="22"/>
                <w:szCs w:val="18"/>
                <w:u w:val="single"/>
                <w:lang w:eastAsia="zh-CN"/>
              </w:rPr>
              <w:t>两</w:t>
            </w:r>
            <w:r>
              <w:rPr>
                <w:rFonts w:hint="eastAsia" w:eastAsia="楷体_GB2312"/>
                <w:sz w:val="22"/>
                <w:szCs w:val="18"/>
                <w:u w:val="single"/>
              </w:rPr>
              <w:t>年</w:t>
            </w:r>
            <w:r>
              <w:rPr>
                <w:rFonts w:hint="eastAsia" w:ascii="宋体" w:hAnsi="宋体" w:cs="宋体"/>
                <w:kern w:val="0"/>
                <w:sz w:val="22"/>
                <w:szCs w:val="22"/>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8</w:t>
            </w:r>
          </w:p>
        </w:tc>
        <w:tc>
          <w:tcPr>
            <w:tcW w:w="8367" w:type="dxa"/>
            <w:vAlign w:val="center"/>
          </w:tcPr>
          <w:p>
            <w:pPr>
              <w:spacing w:line="400" w:lineRule="exact"/>
              <w:rPr>
                <w:rFonts w:ascii="宋体" w:hAnsi="宋体" w:cs="宋体"/>
                <w:kern w:val="0"/>
                <w:sz w:val="24"/>
                <w:szCs w:val="24"/>
              </w:rPr>
            </w:pPr>
            <w:r>
              <w:rPr>
                <w:rFonts w:hint="eastAsia" w:ascii="宋体" w:hAnsi="宋体"/>
                <w:sz w:val="24"/>
                <w:szCs w:val="24"/>
              </w:rPr>
              <w:t>招标文件中所提质保期是针对投标人提供的所有货物的所有组成。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9</w:t>
            </w:r>
          </w:p>
        </w:tc>
        <w:tc>
          <w:tcPr>
            <w:tcW w:w="8367" w:type="dxa"/>
            <w:vAlign w:val="center"/>
          </w:tcPr>
          <w:p>
            <w:pPr>
              <w:spacing w:line="400" w:lineRule="exact"/>
              <w:rPr>
                <w:rFonts w:ascii="宋体" w:hAnsi="宋体" w:cs="宋体"/>
                <w:kern w:val="0"/>
                <w:sz w:val="24"/>
                <w:szCs w:val="24"/>
              </w:rPr>
            </w:pPr>
            <w:r>
              <w:rPr>
                <w:rFonts w:hint="eastAsia" w:ascii="宋体" w:hAnsi="宋体" w:cs="宋体"/>
                <w:kern w:val="0"/>
                <w:sz w:val="24"/>
                <w:szCs w:val="24"/>
              </w:rPr>
              <w:t>是否接受联合体投标：不接受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10</w:t>
            </w:r>
          </w:p>
        </w:tc>
        <w:tc>
          <w:tcPr>
            <w:tcW w:w="8367" w:type="dxa"/>
            <w:vAlign w:val="center"/>
          </w:tcPr>
          <w:p>
            <w:pPr>
              <w:spacing w:line="400" w:lineRule="exact"/>
              <w:rPr>
                <w:rFonts w:ascii="宋体" w:hAnsi="宋体" w:cs="宋体"/>
                <w:kern w:val="0"/>
                <w:sz w:val="24"/>
                <w:szCs w:val="24"/>
              </w:rPr>
            </w:pPr>
            <w:r>
              <w:rPr>
                <w:rFonts w:hint="eastAsia" w:ascii="宋体" w:hAnsi="宋体"/>
                <w:sz w:val="24"/>
                <w:szCs w:val="24"/>
              </w:rPr>
              <w:t>踏勘现场：招标人不组织统一踏勘现场的活动，投标人经招标人同意后自行踏勘现场。如投标人不踏勘现场或踏勘现场不仔细，所造成的一切后果由投标人自行承担。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11</w:t>
            </w:r>
          </w:p>
        </w:tc>
        <w:tc>
          <w:tcPr>
            <w:tcW w:w="8367" w:type="dxa"/>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投标预备会：不召开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12</w:t>
            </w:r>
          </w:p>
        </w:tc>
        <w:tc>
          <w:tcPr>
            <w:tcW w:w="8367" w:type="dxa"/>
            <w:vAlign w:val="center"/>
          </w:tcPr>
          <w:p>
            <w:pPr>
              <w:adjustRightInd w:val="0"/>
              <w:spacing w:line="400" w:lineRule="exact"/>
              <w:rPr>
                <w:rFonts w:ascii="宋体" w:hAnsi="宋体" w:cs="宋体"/>
                <w:color w:val="000000"/>
                <w:kern w:val="0"/>
                <w:sz w:val="24"/>
                <w:szCs w:val="24"/>
              </w:rPr>
            </w:pPr>
            <w:r>
              <w:rPr>
                <w:rFonts w:hint="eastAsia" w:ascii="宋体" w:hAnsi="宋体" w:cs="宋体"/>
                <w:color w:val="000000"/>
                <w:kern w:val="0"/>
                <w:sz w:val="24"/>
                <w:szCs w:val="24"/>
              </w:rPr>
              <w:t>投标人提出问题的截止时间：</w:t>
            </w:r>
          </w:p>
          <w:p>
            <w:pPr>
              <w:adjustRightInd w:val="0"/>
              <w:spacing w:line="400" w:lineRule="exact"/>
              <w:rPr>
                <w:rFonts w:ascii="宋体" w:hAnsi="宋体" w:cs="宋体"/>
                <w:color w:val="000000"/>
                <w:kern w:val="0"/>
                <w:sz w:val="24"/>
                <w:szCs w:val="24"/>
              </w:rPr>
            </w:pPr>
            <w:r>
              <w:rPr>
                <w:rFonts w:hint="eastAsia" w:ascii="宋体" w:hAnsi="宋体" w:cs="宋体"/>
                <w:color w:val="000000"/>
                <w:kern w:val="0"/>
                <w:sz w:val="24"/>
                <w:szCs w:val="24"/>
              </w:rPr>
              <w:t>1、投标人若对招标文件有任何疑问，应当在投标截</w:t>
            </w:r>
            <w:r>
              <w:rPr>
                <w:rFonts w:hint="eastAsia" w:ascii="宋体" w:hAnsi="宋体" w:cs="宋体"/>
                <w:kern w:val="0"/>
                <w:sz w:val="24"/>
                <w:szCs w:val="24"/>
              </w:rPr>
              <w:t>止时间5日</w:t>
            </w:r>
            <w:r>
              <w:rPr>
                <w:rFonts w:hint="eastAsia" w:ascii="宋体" w:hAnsi="宋体" w:cs="宋体"/>
                <w:color w:val="000000"/>
                <w:kern w:val="0"/>
                <w:sz w:val="24"/>
                <w:szCs w:val="24"/>
              </w:rPr>
              <w:t>前，以书面文档向招标人提出澄清要求。</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2、投标人对招标文件的任何疑问，都必须在规定的时间内提出，否则，不接受投标人针对招标文件提出的质疑和投诉。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13</w:t>
            </w:r>
          </w:p>
        </w:tc>
        <w:tc>
          <w:tcPr>
            <w:tcW w:w="8367" w:type="dxa"/>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招标人澄清的时间：</w:t>
            </w:r>
          </w:p>
          <w:p>
            <w:pPr>
              <w:spacing w:line="400" w:lineRule="exact"/>
              <w:rPr>
                <w:rFonts w:ascii="宋体" w:hAnsi="宋体" w:cs="宋体"/>
                <w:color w:val="000000"/>
                <w:kern w:val="0"/>
                <w:sz w:val="24"/>
                <w:szCs w:val="24"/>
              </w:rPr>
            </w:pPr>
            <w:r>
              <w:rPr>
                <w:rFonts w:ascii="宋体" w:hAnsi="宋体" w:cs="宋体"/>
                <w:color w:val="000000"/>
                <w:kern w:val="0"/>
                <w:sz w:val="24"/>
                <w:szCs w:val="24"/>
              </w:rPr>
              <w:t>招标人在提交投标文件截止</w:t>
            </w:r>
            <w:r>
              <w:rPr>
                <w:rFonts w:ascii="宋体" w:hAnsi="宋体" w:cs="宋体"/>
                <w:kern w:val="0"/>
                <w:sz w:val="24"/>
                <w:szCs w:val="24"/>
              </w:rPr>
              <w:t>时间</w:t>
            </w:r>
            <w:r>
              <w:rPr>
                <w:rFonts w:hint="eastAsia" w:ascii="宋体" w:hAnsi="宋体" w:cs="宋体"/>
                <w:kern w:val="0"/>
                <w:sz w:val="24"/>
                <w:szCs w:val="24"/>
              </w:rPr>
              <w:t>3天前</w:t>
            </w:r>
            <w:r>
              <w:rPr>
                <w:rFonts w:hint="eastAsia" w:ascii="宋体" w:hAnsi="宋体" w:cs="宋体"/>
                <w:color w:val="000000"/>
                <w:kern w:val="0"/>
                <w:sz w:val="24"/>
                <w:szCs w:val="24"/>
              </w:rPr>
              <w:t>，发出对招标文件的澄清或修改内容。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14</w:t>
            </w:r>
          </w:p>
        </w:tc>
        <w:tc>
          <w:tcPr>
            <w:tcW w:w="8367" w:type="dxa"/>
            <w:vAlign w:val="center"/>
          </w:tcPr>
          <w:p>
            <w:pPr>
              <w:spacing w:line="400" w:lineRule="exact"/>
              <w:rPr>
                <w:rFonts w:ascii="宋体" w:hAnsi="宋体"/>
                <w:b/>
                <w:sz w:val="24"/>
                <w:szCs w:val="24"/>
              </w:rPr>
            </w:pPr>
            <w:r>
              <w:rPr>
                <w:rFonts w:hint="eastAsia" w:ascii="宋体" w:hAnsi="宋体"/>
                <w:b/>
                <w:sz w:val="24"/>
                <w:szCs w:val="24"/>
              </w:rPr>
              <w:t>重要提示：</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1、本招标文件、澄清、修改等相关资料均通过招标人进行发放，请投标人自行咨询相关情况。投标人必须及时向招标人查询有无相关澄清、修改等内容。</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2、在开标前，投标人必须主动查询相关信息，招标人（招标代理机构）不承担投标人未及时关注相关信息引发的相关责任。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15</w:t>
            </w:r>
          </w:p>
        </w:tc>
        <w:tc>
          <w:tcPr>
            <w:tcW w:w="8367" w:type="dxa"/>
            <w:vAlign w:val="center"/>
          </w:tcPr>
          <w:p>
            <w:pPr>
              <w:widowControl/>
              <w:spacing w:line="400" w:lineRule="exact"/>
              <w:rPr>
                <w:rFonts w:ascii="宋体" w:hAnsi="宋体" w:cs="宋体"/>
                <w:color w:val="000000"/>
                <w:kern w:val="0"/>
                <w:sz w:val="24"/>
                <w:szCs w:val="24"/>
              </w:rPr>
            </w:pPr>
            <w:r>
              <w:rPr>
                <w:rFonts w:hint="eastAsia" w:ascii="宋体" w:hAnsi="宋体"/>
                <w:color w:val="000000"/>
                <w:sz w:val="24"/>
                <w:szCs w:val="24"/>
              </w:rPr>
              <w:t>分包：不允许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16</w:t>
            </w:r>
          </w:p>
        </w:tc>
        <w:tc>
          <w:tcPr>
            <w:tcW w:w="8367" w:type="dxa"/>
            <w:vAlign w:val="center"/>
          </w:tcPr>
          <w:p>
            <w:pPr>
              <w:widowControl/>
              <w:spacing w:line="400" w:lineRule="exact"/>
              <w:rPr>
                <w:rFonts w:ascii="宋体" w:hAnsi="宋体" w:cs="宋体"/>
                <w:kern w:val="0"/>
                <w:sz w:val="24"/>
                <w:szCs w:val="24"/>
              </w:rPr>
            </w:pPr>
            <w:r>
              <w:rPr>
                <w:rFonts w:ascii="宋体" w:hAnsi="宋体" w:cs="宋体"/>
                <w:kern w:val="0"/>
                <w:sz w:val="24"/>
                <w:szCs w:val="24"/>
              </w:rPr>
              <w:t>递交投标文件</w:t>
            </w:r>
            <w:r>
              <w:rPr>
                <w:rFonts w:hint="eastAsia" w:ascii="宋体" w:hAnsi="宋体" w:cs="宋体"/>
                <w:kern w:val="0"/>
                <w:sz w:val="24"/>
                <w:szCs w:val="24"/>
              </w:rPr>
              <w:t>地点</w:t>
            </w:r>
            <w:r>
              <w:rPr>
                <w:rFonts w:ascii="宋体" w:hAnsi="宋体" w:cs="宋体"/>
                <w:kern w:val="0"/>
                <w:sz w:val="24"/>
                <w:szCs w:val="24"/>
              </w:rPr>
              <w:t>：</w:t>
            </w:r>
            <w:r>
              <w:rPr>
                <w:rFonts w:hint="eastAsia" w:ascii="宋体" w:hAnsi="宋体" w:cs="宋体"/>
                <w:kern w:val="0"/>
                <w:sz w:val="24"/>
                <w:szCs w:val="24"/>
              </w:rPr>
              <w:t>见邀请函</w:t>
            </w:r>
          </w:p>
          <w:p>
            <w:pPr>
              <w:widowControl/>
              <w:spacing w:line="400" w:lineRule="exact"/>
              <w:rPr>
                <w:rFonts w:ascii="宋体" w:hAnsi="宋体" w:cs="宋体"/>
                <w:kern w:val="0"/>
                <w:sz w:val="24"/>
                <w:szCs w:val="24"/>
              </w:rPr>
            </w:pPr>
            <w:r>
              <w:rPr>
                <w:rFonts w:hint="eastAsia" w:ascii="宋体" w:hAnsi="宋体" w:cs="宋体"/>
                <w:kern w:val="0"/>
                <w:sz w:val="24"/>
                <w:szCs w:val="24"/>
              </w:rPr>
              <w:t>投标文件递交的截止</w:t>
            </w:r>
            <w:r>
              <w:rPr>
                <w:rFonts w:ascii="宋体" w:hAnsi="宋体" w:cs="宋体"/>
                <w:kern w:val="0"/>
                <w:sz w:val="24"/>
                <w:szCs w:val="24"/>
              </w:rPr>
              <w:t>时间：</w:t>
            </w:r>
            <w:r>
              <w:rPr>
                <w:rFonts w:hint="eastAsia" w:ascii="宋体" w:hAnsi="宋体" w:cs="宋体"/>
                <w:kern w:val="0"/>
                <w:sz w:val="24"/>
                <w:szCs w:val="24"/>
              </w:rPr>
              <w:t>见邀请函</w:t>
            </w:r>
          </w:p>
          <w:p>
            <w:pPr>
              <w:widowControl/>
              <w:spacing w:line="400" w:lineRule="exact"/>
              <w:rPr>
                <w:rFonts w:ascii="宋体" w:hAnsi="宋体" w:cs="宋体"/>
                <w:kern w:val="0"/>
                <w:sz w:val="24"/>
                <w:szCs w:val="24"/>
              </w:rPr>
            </w:pPr>
            <w:r>
              <w:rPr>
                <w:rFonts w:hint="eastAsia" w:ascii="宋体" w:hAnsi="宋体" w:cs="宋体"/>
                <w:kern w:val="0"/>
                <w:sz w:val="24"/>
                <w:szCs w:val="24"/>
              </w:rPr>
              <w:t>联系</w:t>
            </w:r>
            <w:r>
              <w:rPr>
                <w:rFonts w:ascii="宋体" w:hAnsi="宋体" w:cs="宋体"/>
                <w:kern w:val="0"/>
                <w:sz w:val="24"/>
                <w:szCs w:val="24"/>
              </w:rPr>
              <w:t>人：</w:t>
            </w:r>
            <w:r>
              <w:rPr>
                <w:rFonts w:hint="eastAsia" w:ascii="宋体" w:hAnsi="宋体" w:cs="宋体"/>
                <w:kern w:val="0"/>
                <w:sz w:val="24"/>
                <w:szCs w:val="24"/>
              </w:rPr>
              <w:t>见邀请函</w:t>
            </w:r>
          </w:p>
          <w:p>
            <w:pPr>
              <w:spacing w:line="400" w:lineRule="exact"/>
              <w:rPr>
                <w:rFonts w:ascii="宋体" w:hAnsi="宋体" w:cs="宋体"/>
                <w:kern w:val="0"/>
                <w:sz w:val="24"/>
                <w:szCs w:val="24"/>
              </w:rPr>
            </w:pPr>
            <w:r>
              <w:rPr>
                <w:rFonts w:ascii="宋体" w:hAnsi="宋体" w:cs="宋体"/>
                <w:kern w:val="0"/>
                <w:sz w:val="24"/>
                <w:szCs w:val="24"/>
              </w:rPr>
              <w:t>联系电话：</w:t>
            </w:r>
            <w:r>
              <w:rPr>
                <w:rFonts w:hint="eastAsia" w:ascii="宋体" w:hAnsi="宋体" w:cs="宋体"/>
                <w:kern w:val="0"/>
                <w:sz w:val="24"/>
                <w:szCs w:val="24"/>
              </w:rPr>
              <w:t>见邀请函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17</w:t>
            </w:r>
          </w:p>
        </w:tc>
        <w:tc>
          <w:tcPr>
            <w:tcW w:w="8367" w:type="dxa"/>
            <w:vAlign w:val="center"/>
          </w:tcPr>
          <w:p>
            <w:pPr>
              <w:widowControl/>
              <w:spacing w:line="400" w:lineRule="exact"/>
              <w:rPr>
                <w:rFonts w:ascii="宋体" w:hAnsi="宋体" w:cs="宋体"/>
                <w:kern w:val="0"/>
                <w:sz w:val="24"/>
                <w:szCs w:val="24"/>
              </w:rPr>
            </w:pPr>
            <w:r>
              <w:rPr>
                <w:rFonts w:ascii="宋体" w:hAnsi="宋体" w:cs="宋体"/>
                <w:kern w:val="0"/>
                <w:sz w:val="24"/>
                <w:szCs w:val="24"/>
              </w:rPr>
              <w:t>开标时间：</w:t>
            </w:r>
            <w:r>
              <w:rPr>
                <w:rFonts w:hint="eastAsia" w:ascii="宋体" w:hAnsi="宋体" w:cs="宋体"/>
                <w:kern w:val="0"/>
                <w:sz w:val="24"/>
                <w:szCs w:val="24"/>
              </w:rPr>
              <w:t>见邀请函</w:t>
            </w:r>
          </w:p>
          <w:p>
            <w:pPr>
              <w:widowControl/>
              <w:spacing w:line="400" w:lineRule="exact"/>
              <w:rPr>
                <w:rFonts w:ascii="宋体" w:hAnsi="宋体" w:cs="宋体"/>
                <w:kern w:val="0"/>
                <w:sz w:val="24"/>
                <w:szCs w:val="24"/>
              </w:rPr>
            </w:pPr>
            <w:r>
              <w:rPr>
                <w:rFonts w:ascii="宋体" w:hAnsi="宋体" w:cs="宋体"/>
                <w:kern w:val="0"/>
                <w:sz w:val="24"/>
                <w:szCs w:val="24"/>
              </w:rPr>
              <w:t>开标地点：</w:t>
            </w:r>
            <w:r>
              <w:rPr>
                <w:rFonts w:hint="eastAsia" w:ascii="宋体" w:hAnsi="宋体" w:cs="宋体"/>
                <w:kern w:val="0"/>
                <w:sz w:val="24"/>
                <w:szCs w:val="24"/>
              </w:rPr>
              <w:t>见邀请函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18</w:t>
            </w:r>
          </w:p>
        </w:tc>
        <w:tc>
          <w:tcPr>
            <w:tcW w:w="8367" w:type="dxa"/>
            <w:vAlign w:val="center"/>
          </w:tcPr>
          <w:p>
            <w:pPr>
              <w:spacing w:line="400" w:lineRule="exact"/>
              <w:rPr>
                <w:rFonts w:ascii="宋体" w:hAnsi="宋体" w:cs="宋体"/>
                <w:color w:val="000000"/>
                <w:kern w:val="0"/>
                <w:sz w:val="24"/>
                <w:szCs w:val="24"/>
              </w:rPr>
            </w:pPr>
            <w:r>
              <w:rPr>
                <w:rFonts w:ascii="宋体" w:hAnsi="宋体" w:cs="宋体"/>
                <w:color w:val="000000"/>
                <w:kern w:val="0"/>
                <w:sz w:val="24"/>
                <w:szCs w:val="24"/>
              </w:rPr>
              <w:t>投标有效期：</w:t>
            </w:r>
            <w:r>
              <w:rPr>
                <w:rFonts w:hint="eastAsia" w:ascii="宋体" w:hAnsi="宋体" w:cs="宋体"/>
                <w:color w:val="000000"/>
                <w:kern w:val="0"/>
                <w:sz w:val="24"/>
                <w:szCs w:val="24"/>
                <w:u w:val="single"/>
              </w:rPr>
              <w:t xml:space="preserve"> 60  </w:t>
            </w:r>
            <w:r>
              <w:rPr>
                <w:rFonts w:hint="eastAsia" w:ascii="宋体" w:hAnsi="宋体" w:cs="宋体"/>
                <w:color w:val="000000"/>
                <w:kern w:val="0"/>
                <w:sz w:val="24"/>
                <w:szCs w:val="24"/>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19</w:t>
            </w:r>
          </w:p>
        </w:tc>
        <w:tc>
          <w:tcPr>
            <w:tcW w:w="8367" w:type="dxa"/>
            <w:vAlign w:val="center"/>
          </w:tcPr>
          <w:p>
            <w:pPr>
              <w:widowControl/>
              <w:numPr>
                <w:ilvl w:val="0"/>
                <w:numId w:val="5"/>
              </w:numPr>
              <w:adjustRightInd w:val="0"/>
              <w:snapToGrid w:val="0"/>
              <w:spacing w:line="360" w:lineRule="exact"/>
              <w:jc w:val="left"/>
              <w:rPr>
                <w:rFonts w:hint="eastAsia" w:ascii="宋体" w:hAnsi="宋体"/>
                <w:sz w:val="24"/>
                <w:szCs w:val="24"/>
              </w:rPr>
            </w:pPr>
            <w:r>
              <w:rPr>
                <w:rFonts w:hint="eastAsia" w:ascii="宋体" w:hAnsi="宋体"/>
                <w:sz w:val="24"/>
                <w:szCs w:val="24"/>
              </w:rPr>
              <w:t>招标代理服务费的金额：本项目不采用</w:t>
            </w:r>
          </w:p>
          <w:p>
            <w:pPr>
              <w:adjustRightInd w:val="0"/>
              <w:snapToGrid w:val="0"/>
              <w:spacing w:line="360" w:lineRule="exact"/>
              <w:jc w:val="left"/>
              <w:rPr>
                <w:rFonts w:hint="eastAsia" w:ascii="宋体" w:hAnsi="宋体"/>
                <w:sz w:val="24"/>
                <w:szCs w:val="24"/>
              </w:rPr>
            </w:pPr>
            <w:r>
              <w:rPr>
                <w:rFonts w:hint="eastAsia" w:ascii="宋体" w:hAnsi="宋体"/>
                <w:sz w:val="24"/>
                <w:szCs w:val="24"/>
              </w:rPr>
              <w:t>2、汇款采用方式：银行汇款。</w:t>
            </w:r>
          </w:p>
          <w:p>
            <w:pPr>
              <w:spacing w:line="400" w:lineRule="exact"/>
              <w:ind w:left="720" w:hanging="720" w:hangingChars="300"/>
              <w:rPr>
                <w:rFonts w:hint="eastAsia" w:ascii="宋体" w:hAnsi="宋体"/>
                <w:color w:val="FF0000"/>
                <w:sz w:val="24"/>
                <w:highlight w:val="cy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20</w:t>
            </w:r>
          </w:p>
        </w:tc>
        <w:tc>
          <w:tcPr>
            <w:tcW w:w="8367" w:type="dxa"/>
            <w:vAlign w:val="center"/>
          </w:tcPr>
          <w:p>
            <w:pPr>
              <w:widowControl/>
              <w:spacing w:line="400" w:lineRule="exact"/>
              <w:rPr>
                <w:rFonts w:ascii="宋体" w:hAnsi="宋体" w:cs="宋体"/>
                <w:color w:val="000000"/>
                <w:kern w:val="0"/>
                <w:sz w:val="24"/>
                <w:szCs w:val="24"/>
              </w:rPr>
            </w:pPr>
            <w:r>
              <w:rPr>
                <w:rFonts w:hint="eastAsia" w:ascii="宋体" w:hAnsi="宋体"/>
                <w:color w:val="000000"/>
                <w:sz w:val="24"/>
                <w:szCs w:val="24"/>
              </w:rPr>
              <w:t>是否允许递交备选投标方案：</w:t>
            </w:r>
            <w:r>
              <w:rPr>
                <w:rFonts w:hint="eastAsia" w:ascii="宋体" w:hAnsi="宋体" w:cs="宋体"/>
                <w:color w:val="000000"/>
                <w:kern w:val="0"/>
                <w:sz w:val="24"/>
                <w:szCs w:val="24"/>
              </w:rPr>
              <w:t>不允许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21</w:t>
            </w:r>
          </w:p>
        </w:tc>
        <w:tc>
          <w:tcPr>
            <w:tcW w:w="8367" w:type="dxa"/>
            <w:vAlign w:val="center"/>
          </w:tcPr>
          <w:p>
            <w:pPr>
              <w:spacing w:line="400" w:lineRule="exact"/>
              <w:rPr>
                <w:rFonts w:ascii="宋体" w:hAnsi="宋体"/>
                <w:color w:val="000000"/>
                <w:sz w:val="24"/>
                <w:szCs w:val="24"/>
              </w:rPr>
            </w:pPr>
            <w:r>
              <w:rPr>
                <w:rFonts w:hint="eastAsia" w:ascii="宋体" w:hAnsi="宋体"/>
                <w:color w:val="000000"/>
                <w:sz w:val="24"/>
                <w:szCs w:val="24"/>
              </w:rPr>
              <w:t>签字和盖章要求：</w:t>
            </w:r>
          </w:p>
          <w:p>
            <w:pPr>
              <w:spacing w:line="400" w:lineRule="exact"/>
              <w:rPr>
                <w:rFonts w:ascii="宋体" w:hAnsi="宋体"/>
                <w:color w:val="000000"/>
                <w:sz w:val="24"/>
                <w:szCs w:val="24"/>
              </w:rPr>
            </w:pPr>
            <w:r>
              <w:rPr>
                <w:rFonts w:hint="eastAsia" w:ascii="宋体" w:hAnsi="宋体"/>
                <w:color w:val="000000"/>
                <w:sz w:val="24"/>
                <w:szCs w:val="24"/>
              </w:rPr>
              <w:t>签字：法定代表人或其委托代理人签字</w:t>
            </w:r>
          </w:p>
          <w:p>
            <w:pPr>
              <w:spacing w:line="400" w:lineRule="exact"/>
              <w:rPr>
                <w:rFonts w:ascii="宋体" w:hAnsi="宋体"/>
                <w:color w:val="000000"/>
                <w:sz w:val="24"/>
                <w:szCs w:val="24"/>
              </w:rPr>
            </w:pPr>
            <w:r>
              <w:rPr>
                <w:rFonts w:hint="eastAsia" w:ascii="宋体" w:hAnsi="宋体"/>
                <w:color w:val="000000"/>
                <w:sz w:val="24"/>
                <w:szCs w:val="24"/>
              </w:rPr>
              <w:t>盖章：投标人单位公章、法定代表人或其委托代理人印鉴章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22</w:t>
            </w:r>
          </w:p>
        </w:tc>
        <w:tc>
          <w:tcPr>
            <w:tcW w:w="8367" w:type="dxa"/>
            <w:vAlign w:val="center"/>
          </w:tcPr>
          <w:p>
            <w:pPr>
              <w:spacing w:line="400" w:lineRule="exact"/>
              <w:rPr>
                <w:rFonts w:ascii="宋体" w:hAnsi="宋体"/>
                <w:color w:val="000000"/>
                <w:sz w:val="24"/>
                <w:szCs w:val="24"/>
              </w:rPr>
            </w:pPr>
            <w:r>
              <w:rPr>
                <w:rFonts w:hint="eastAsia" w:ascii="宋体" w:hAnsi="宋体"/>
                <w:color w:val="000000"/>
                <w:sz w:val="24"/>
                <w:szCs w:val="24"/>
              </w:rPr>
              <w:t>是否退还投标文件：不退还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23</w:t>
            </w:r>
          </w:p>
        </w:tc>
        <w:tc>
          <w:tcPr>
            <w:tcW w:w="8367" w:type="dxa"/>
            <w:vAlign w:val="center"/>
          </w:tcPr>
          <w:p>
            <w:pPr>
              <w:spacing w:line="400" w:lineRule="exact"/>
              <w:rPr>
                <w:rFonts w:ascii="宋体" w:hAnsi="宋体"/>
                <w:color w:val="000000"/>
                <w:sz w:val="24"/>
                <w:szCs w:val="24"/>
                <w:u w:val="single"/>
              </w:rPr>
            </w:pPr>
            <w:r>
              <w:rPr>
                <w:rFonts w:hint="eastAsia" w:ascii="宋体" w:hAnsi="宋体"/>
                <w:color w:val="000000"/>
                <w:sz w:val="24"/>
                <w:szCs w:val="24"/>
              </w:rPr>
              <w:t>评审方法</w:t>
            </w:r>
            <w:r>
              <w:rPr>
                <w:rFonts w:hint="eastAsia" w:ascii="宋体" w:hAnsi="宋体"/>
                <w:sz w:val="24"/>
                <w:szCs w:val="24"/>
              </w:rPr>
              <w:t>：详见第六章“评标办法”。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24</w:t>
            </w:r>
          </w:p>
        </w:tc>
        <w:tc>
          <w:tcPr>
            <w:tcW w:w="8367" w:type="dxa"/>
            <w:vAlign w:val="center"/>
          </w:tcPr>
          <w:p>
            <w:pPr>
              <w:pStyle w:val="14"/>
              <w:spacing w:line="400" w:lineRule="exact"/>
              <w:ind w:firstLine="0"/>
              <w:jc w:val="left"/>
              <w:rPr>
                <w:rFonts w:ascii="宋体" w:hAnsi="宋体"/>
                <w:color w:val="000000"/>
                <w:szCs w:val="24"/>
              </w:rPr>
            </w:pPr>
            <w:r>
              <w:rPr>
                <w:rFonts w:hint="eastAsia" w:ascii="宋体" w:hAnsi="宋体"/>
                <w:color w:val="000000"/>
                <w:szCs w:val="24"/>
              </w:rPr>
              <w:t>投标文件份数及格式：</w:t>
            </w:r>
          </w:p>
          <w:p>
            <w:pPr>
              <w:pStyle w:val="14"/>
              <w:spacing w:line="400" w:lineRule="exact"/>
              <w:ind w:firstLine="0"/>
              <w:jc w:val="left"/>
              <w:rPr>
                <w:rFonts w:hint="eastAsia" w:ascii="宋体" w:hAnsi="宋体"/>
                <w:color w:val="FF0000"/>
                <w:kern w:val="2"/>
                <w:szCs w:val="24"/>
              </w:rPr>
            </w:pPr>
            <w:r>
              <w:rPr>
                <w:rFonts w:hint="eastAsia" w:ascii="宋体" w:hAnsi="宋体"/>
                <w:kern w:val="2"/>
                <w:szCs w:val="24"/>
              </w:rPr>
              <w:t>正本</w:t>
            </w:r>
            <w:r>
              <w:rPr>
                <w:rFonts w:hint="eastAsia" w:ascii="宋体" w:hAnsi="宋体"/>
                <w:kern w:val="2"/>
                <w:szCs w:val="24"/>
                <w:u w:val="single"/>
              </w:rPr>
              <w:t>1</w:t>
            </w:r>
            <w:r>
              <w:rPr>
                <w:rFonts w:hint="eastAsia" w:ascii="宋体" w:hAnsi="宋体"/>
                <w:kern w:val="2"/>
                <w:szCs w:val="24"/>
              </w:rPr>
              <w:t xml:space="preserve">份，副本 </w:t>
            </w:r>
            <w:r>
              <w:rPr>
                <w:rFonts w:hint="eastAsia" w:ascii="宋体" w:hAnsi="宋体"/>
                <w:kern w:val="2"/>
                <w:szCs w:val="24"/>
                <w:u w:val="single"/>
                <w:lang w:val="en-US" w:eastAsia="zh-CN"/>
              </w:rPr>
              <w:t>4</w:t>
            </w:r>
            <w:r>
              <w:rPr>
                <w:rFonts w:hint="eastAsia" w:ascii="宋体" w:hAnsi="宋体"/>
                <w:kern w:val="2"/>
                <w:szCs w:val="24"/>
              </w:rPr>
              <w:t>份，采用A4文本；</w:t>
            </w:r>
            <w:r>
              <w:rPr>
                <w:rFonts w:hint="eastAsia" w:ascii="宋体" w:hAnsi="宋体"/>
                <w:color w:val="FF0000"/>
                <w:kern w:val="2"/>
                <w:szCs w:val="24"/>
              </w:rPr>
              <w:t>（</w:t>
            </w:r>
            <w:r>
              <w:rPr>
                <w:rFonts w:hint="eastAsia" w:ascii="宋体" w:hAnsi="宋体"/>
                <w:szCs w:val="24"/>
              </w:rPr>
              <w:t>投标文件应装订成册并密装</w:t>
            </w:r>
            <w:r>
              <w:rPr>
                <w:rFonts w:hint="eastAsia" w:ascii="宋体" w:hAnsi="宋体"/>
                <w:color w:val="FF0000"/>
                <w:kern w:val="2"/>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25</w:t>
            </w:r>
          </w:p>
        </w:tc>
        <w:tc>
          <w:tcPr>
            <w:tcW w:w="8367" w:type="dxa"/>
            <w:vAlign w:val="center"/>
          </w:tcPr>
          <w:p>
            <w:pPr>
              <w:adjustRightInd w:val="0"/>
              <w:snapToGrid w:val="0"/>
              <w:spacing w:line="400" w:lineRule="exact"/>
              <w:rPr>
                <w:rFonts w:ascii="宋体" w:hAnsi="宋体"/>
                <w:color w:val="000000"/>
                <w:sz w:val="24"/>
                <w:szCs w:val="24"/>
              </w:rPr>
            </w:pPr>
            <w:r>
              <w:rPr>
                <w:rFonts w:hint="eastAsia" w:ascii="宋体" w:hAnsi="宋体"/>
                <w:color w:val="000000"/>
                <w:sz w:val="24"/>
                <w:szCs w:val="24"/>
              </w:rPr>
              <w:t>装订及密封要求：</w:t>
            </w:r>
          </w:p>
          <w:p>
            <w:pPr>
              <w:adjustRightInd w:val="0"/>
              <w:snapToGrid w:val="0"/>
              <w:spacing w:line="400" w:lineRule="exact"/>
              <w:rPr>
                <w:rFonts w:ascii="宋体" w:hAnsi="宋体"/>
                <w:bCs/>
                <w:color w:val="000000"/>
                <w:sz w:val="24"/>
                <w:szCs w:val="24"/>
                <w:lang w:bidi="he-IL"/>
              </w:rPr>
            </w:pPr>
            <w:r>
              <w:rPr>
                <w:rFonts w:hint="eastAsia" w:ascii="宋体" w:hAnsi="宋体"/>
                <w:bCs/>
                <w:color w:val="000000"/>
                <w:sz w:val="24"/>
                <w:szCs w:val="24"/>
              </w:rPr>
              <w:t>（</w:t>
            </w:r>
            <w:r>
              <w:rPr>
                <w:rFonts w:hint="eastAsia" w:ascii="宋体" w:hAnsi="宋体"/>
                <w:bCs/>
                <w:color w:val="000000"/>
                <w:sz w:val="24"/>
                <w:szCs w:val="24"/>
                <w:lang w:bidi="he-IL"/>
              </w:rPr>
              <w:t>1）投标文件牢固装订成册。</w:t>
            </w:r>
          </w:p>
          <w:p>
            <w:pPr>
              <w:pStyle w:val="28"/>
              <w:spacing w:line="400" w:lineRule="exact"/>
              <w:rPr>
                <w:rFonts w:ascii="宋体" w:hAnsi="宋体" w:eastAsia="宋体"/>
                <w:color w:val="000000"/>
                <w:sz w:val="24"/>
                <w:szCs w:val="24"/>
                <w:lang w:bidi="ar-SA"/>
              </w:rPr>
            </w:pPr>
            <w:r>
              <w:rPr>
                <w:rFonts w:hint="eastAsia" w:ascii="宋体" w:hAnsi="宋体" w:eastAsia="宋体"/>
                <w:bCs/>
                <w:color w:val="000000"/>
                <w:sz w:val="24"/>
                <w:szCs w:val="24"/>
              </w:rPr>
              <w:t>（2）投标文件的密封袋上应加盖投标人单位公章或法定代表人 (或其委托代理人)签名（章）。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1"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26</w:t>
            </w:r>
          </w:p>
        </w:tc>
        <w:tc>
          <w:tcPr>
            <w:tcW w:w="8367" w:type="dxa"/>
            <w:vAlign w:val="center"/>
          </w:tcPr>
          <w:p>
            <w:pPr>
              <w:spacing w:line="400" w:lineRule="exact"/>
              <w:rPr>
                <w:rFonts w:hint="eastAsia" w:ascii="宋体" w:hAnsi="宋体"/>
                <w:sz w:val="24"/>
                <w:szCs w:val="24"/>
              </w:rPr>
            </w:pPr>
            <w:r>
              <w:rPr>
                <w:rFonts w:hint="eastAsia" w:ascii="宋体" w:hAnsi="宋体"/>
                <w:sz w:val="24"/>
                <w:szCs w:val="24"/>
              </w:rPr>
              <w:t>投标文件的密封袋上写明</w:t>
            </w:r>
            <w:r>
              <w:rPr>
                <w:rFonts w:hint="eastAsia" w:ascii="宋体" w:hAnsi="宋体"/>
                <w:b/>
                <w:sz w:val="24"/>
              </w:rPr>
              <w:t>项目名称、投标人名称</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1" w:type="dxa"/>
            <w:vAlign w:val="center"/>
          </w:tcPr>
          <w:p>
            <w:pPr>
              <w:spacing w:line="400" w:lineRule="exact"/>
              <w:jc w:val="center"/>
              <w:rPr>
                <w:rFonts w:ascii="宋体" w:hAnsi="宋体" w:cs="Arial"/>
                <w:color w:val="000000"/>
                <w:sz w:val="24"/>
                <w:szCs w:val="24"/>
              </w:rPr>
            </w:pPr>
            <w:r>
              <w:rPr>
                <w:rFonts w:hint="eastAsia" w:ascii="宋体" w:hAnsi="宋体" w:cs="Arial"/>
                <w:color w:val="000000"/>
                <w:sz w:val="24"/>
                <w:szCs w:val="24"/>
              </w:rPr>
              <w:t>27</w:t>
            </w:r>
          </w:p>
        </w:tc>
        <w:tc>
          <w:tcPr>
            <w:tcW w:w="8367" w:type="dxa"/>
            <w:vAlign w:val="center"/>
          </w:tcPr>
          <w:p>
            <w:pPr>
              <w:snapToGrid w:val="0"/>
              <w:spacing w:line="360" w:lineRule="exact"/>
              <w:rPr>
                <w:rFonts w:ascii="宋体" w:hAnsi="宋体"/>
                <w:sz w:val="24"/>
                <w:szCs w:val="24"/>
                <w:u w:val="single"/>
              </w:rPr>
            </w:pPr>
            <w:r>
              <w:rPr>
                <w:rFonts w:hint="eastAsia" w:ascii="宋体" w:hAnsi="宋体"/>
                <w:sz w:val="24"/>
                <w:szCs w:val="24"/>
              </w:rPr>
              <w:t>密封情况检查：</w:t>
            </w:r>
            <w:r>
              <w:rPr>
                <w:rFonts w:ascii="宋体" w:hAnsi="宋体"/>
                <w:sz w:val="24"/>
                <w:szCs w:val="24"/>
              </w:rPr>
              <w:t>由</w:t>
            </w:r>
            <w:r>
              <w:rPr>
                <w:rFonts w:hint="eastAsia" w:ascii="宋体" w:hAnsi="宋体"/>
                <w:sz w:val="24"/>
                <w:szCs w:val="24"/>
              </w:rPr>
              <w:t>投标人</w:t>
            </w:r>
            <w:r>
              <w:rPr>
                <w:rFonts w:ascii="宋体" w:hAnsi="宋体"/>
                <w:sz w:val="24"/>
                <w:szCs w:val="24"/>
              </w:rPr>
              <w:t>代表检查投标文件的密封情况</w:t>
            </w:r>
            <w:r>
              <w:rPr>
                <w:rFonts w:hint="eastAsia" w:ascii="宋体" w:hAnsi="宋体"/>
                <w:sz w:val="24"/>
                <w:szCs w:val="24"/>
              </w:rPr>
              <w:t>。</w:t>
            </w:r>
          </w:p>
          <w:p>
            <w:pPr>
              <w:spacing w:line="360" w:lineRule="exact"/>
              <w:rPr>
                <w:rFonts w:ascii="宋体" w:hAnsi="宋体"/>
                <w:sz w:val="24"/>
                <w:szCs w:val="24"/>
              </w:rPr>
            </w:pPr>
            <w:r>
              <w:rPr>
                <w:rFonts w:hint="eastAsia" w:ascii="宋体" w:hAnsi="宋体"/>
                <w:sz w:val="24"/>
              </w:rPr>
              <w:t>注：因投标文件涉及商业敏感信息，我公司在开标阶段仅对投标文件的密封性及参加开标人员的身份进行公开核查，投标文件内容由评委自行查验。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1" w:type="dxa"/>
            <w:vAlign w:val="center"/>
          </w:tcPr>
          <w:p>
            <w:pPr>
              <w:spacing w:line="400" w:lineRule="exact"/>
              <w:jc w:val="center"/>
              <w:rPr>
                <w:rFonts w:ascii="宋体" w:hAnsi="宋体" w:cs="Arial"/>
                <w:color w:val="000000"/>
                <w:sz w:val="24"/>
                <w:szCs w:val="24"/>
              </w:rPr>
            </w:pPr>
            <w:r>
              <w:rPr>
                <w:rFonts w:hint="eastAsia" w:ascii="宋体" w:hAnsi="宋体" w:cs="Arial"/>
                <w:color w:val="000000"/>
                <w:sz w:val="24"/>
                <w:szCs w:val="24"/>
              </w:rPr>
              <w:t>28</w:t>
            </w:r>
          </w:p>
        </w:tc>
        <w:tc>
          <w:tcPr>
            <w:tcW w:w="8367" w:type="dxa"/>
            <w:vAlign w:val="center"/>
          </w:tcPr>
          <w:p>
            <w:pPr>
              <w:spacing w:line="400" w:lineRule="exact"/>
              <w:rPr>
                <w:rFonts w:ascii="宋体" w:hAnsi="宋体"/>
                <w:sz w:val="24"/>
                <w:szCs w:val="24"/>
              </w:rPr>
            </w:pPr>
            <w:r>
              <w:rPr>
                <w:rFonts w:hint="eastAsia" w:ascii="宋体" w:hAnsi="宋体"/>
                <w:sz w:val="24"/>
                <w:szCs w:val="24"/>
              </w:rPr>
              <w:t>评标委员会构成：</w:t>
            </w:r>
            <w:r>
              <w:rPr>
                <w:rFonts w:hint="eastAsia" w:ascii="宋体" w:hAnsi="宋体"/>
                <w:sz w:val="24"/>
                <w:szCs w:val="24"/>
                <w:u w:val="single"/>
              </w:rPr>
              <w:t xml:space="preserve"> </w:t>
            </w:r>
            <w:r>
              <w:rPr>
                <w:rFonts w:hint="eastAsia" w:ascii="宋体" w:hAnsi="宋体"/>
                <w:b/>
                <w:sz w:val="24"/>
                <w:szCs w:val="24"/>
                <w:u w:val="single"/>
              </w:rPr>
              <w:t>5人或5人以上的单数</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1" w:type="dxa"/>
            <w:vAlign w:val="center"/>
          </w:tcPr>
          <w:p>
            <w:pPr>
              <w:spacing w:line="400" w:lineRule="exact"/>
              <w:jc w:val="center"/>
              <w:rPr>
                <w:rFonts w:ascii="宋体" w:hAnsi="宋体" w:cs="Arial"/>
                <w:color w:val="000000"/>
                <w:sz w:val="24"/>
                <w:szCs w:val="24"/>
              </w:rPr>
            </w:pPr>
            <w:r>
              <w:rPr>
                <w:rFonts w:hint="eastAsia" w:ascii="宋体" w:hAnsi="宋体" w:cs="Arial"/>
                <w:color w:val="000000"/>
                <w:sz w:val="24"/>
                <w:szCs w:val="24"/>
              </w:rPr>
              <w:t>29</w:t>
            </w:r>
          </w:p>
        </w:tc>
        <w:tc>
          <w:tcPr>
            <w:tcW w:w="8367" w:type="dxa"/>
            <w:vAlign w:val="center"/>
          </w:tcPr>
          <w:p>
            <w:pPr>
              <w:spacing w:line="400" w:lineRule="exact"/>
              <w:rPr>
                <w:rFonts w:ascii="宋体" w:hAnsi="宋体" w:cs="宋体"/>
                <w:b/>
                <w:kern w:val="0"/>
                <w:sz w:val="24"/>
                <w:szCs w:val="24"/>
                <w:lang w:val="zh-CN"/>
              </w:rPr>
            </w:pPr>
            <w:r>
              <w:rPr>
                <w:rFonts w:hint="eastAsia" w:ascii="宋体" w:hAnsi="宋体"/>
                <w:color w:val="000000"/>
                <w:sz w:val="24"/>
                <w:szCs w:val="24"/>
              </w:rPr>
              <w:t>评标委员会推荐的中标侯选人数：</w:t>
            </w:r>
            <w:r>
              <w:rPr>
                <w:rFonts w:hint="eastAsia" w:ascii="宋体" w:hAnsi="宋体"/>
                <w:color w:val="000000"/>
                <w:sz w:val="24"/>
                <w:szCs w:val="24"/>
                <w:u w:val="single"/>
              </w:rPr>
              <w:t xml:space="preserve">1 </w:t>
            </w:r>
            <w:r>
              <w:rPr>
                <w:rFonts w:hint="eastAsia" w:ascii="宋体" w:hAnsi="宋体"/>
                <w:color w:val="000000"/>
                <w:sz w:val="24"/>
                <w:szCs w:val="24"/>
              </w:rPr>
              <w:t>名中标候选人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1" w:type="dxa"/>
            <w:vAlign w:val="center"/>
          </w:tcPr>
          <w:p>
            <w:pPr>
              <w:spacing w:line="400" w:lineRule="exact"/>
              <w:jc w:val="center"/>
              <w:rPr>
                <w:rFonts w:ascii="宋体" w:hAnsi="宋体" w:cs="Arial"/>
                <w:color w:val="000000"/>
                <w:sz w:val="24"/>
                <w:szCs w:val="24"/>
              </w:rPr>
            </w:pPr>
            <w:r>
              <w:rPr>
                <w:rFonts w:hint="eastAsia" w:ascii="宋体" w:hAnsi="宋体" w:cs="Arial"/>
                <w:color w:val="000000"/>
                <w:sz w:val="24"/>
                <w:szCs w:val="24"/>
              </w:rPr>
              <w:t>30</w:t>
            </w:r>
          </w:p>
        </w:tc>
        <w:tc>
          <w:tcPr>
            <w:tcW w:w="8367" w:type="dxa"/>
            <w:vAlign w:val="center"/>
          </w:tcPr>
          <w:p>
            <w:pPr>
              <w:spacing w:line="360" w:lineRule="exact"/>
              <w:rPr>
                <w:rFonts w:ascii="宋体" w:hAnsi="宋体"/>
                <w:sz w:val="24"/>
                <w:szCs w:val="24"/>
              </w:rPr>
            </w:pPr>
            <w:r>
              <w:rPr>
                <w:rFonts w:hint="eastAsia" w:ascii="宋体" w:hAnsi="宋体"/>
                <w:sz w:val="24"/>
                <w:szCs w:val="24"/>
              </w:rPr>
              <w:t>履约担保（本项目不采用）</w:t>
            </w:r>
          </w:p>
          <w:p>
            <w:pPr>
              <w:spacing w:line="360" w:lineRule="exact"/>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履约担保的形式：以汇款方式将履约保证金汇入招标人指定的银行帐号。</w:t>
            </w:r>
          </w:p>
          <w:p>
            <w:pPr>
              <w:spacing w:line="360" w:lineRule="exact"/>
              <w:rPr>
                <w:rFonts w:ascii="宋体" w:hAnsi="宋体"/>
                <w:sz w:val="24"/>
                <w:szCs w:val="24"/>
              </w:rPr>
            </w:pPr>
            <w:r>
              <w:rPr>
                <w:rFonts w:hint="eastAsia" w:ascii="宋体" w:hAnsi="宋体"/>
                <w:sz w:val="24"/>
                <w:szCs w:val="24"/>
              </w:rPr>
              <w:t>（2）履约担保的金额：</w:t>
            </w:r>
          </w:p>
          <w:p>
            <w:pPr>
              <w:spacing w:line="360" w:lineRule="exact"/>
              <w:rPr>
                <w:rFonts w:ascii="宋体" w:hAnsi="宋体"/>
                <w:sz w:val="24"/>
                <w:szCs w:val="24"/>
              </w:rPr>
            </w:pPr>
            <w:r>
              <w:rPr>
                <w:rFonts w:hint="eastAsia" w:ascii="宋体" w:hAnsi="宋体"/>
                <w:sz w:val="24"/>
                <w:szCs w:val="24"/>
              </w:rPr>
              <w:t>（3）</w:t>
            </w:r>
            <w:r>
              <w:rPr>
                <w:rFonts w:hint="eastAsia" w:ascii="宋体" w:hAnsi="宋体"/>
                <w:sz w:val="24"/>
              </w:rPr>
              <w:t>中标公示后如无争议，中标人须在签订合同前将履约保证金汇入招标人指定的银行账户，否则视为放弃中标。</w:t>
            </w:r>
          </w:p>
        </w:tc>
      </w:tr>
    </w:tbl>
    <w:p>
      <w:pPr>
        <w:jc w:val="center"/>
        <w:rPr>
          <w:rFonts w:hint="eastAsia"/>
          <w:b/>
          <w:sz w:val="28"/>
          <w:szCs w:val="28"/>
        </w:rPr>
      </w:pPr>
      <w:bookmarkStart w:id="8" w:name="_Toc432524262"/>
      <w:bookmarkStart w:id="9" w:name="_Toc273039282"/>
      <w:bookmarkStart w:id="10" w:name="_Toc272141472"/>
    </w:p>
    <w:p>
      <w:pPr>
        <w:jc w:val="center"/>
        <w:rPr>
          <w:rFonts w:hint="eastAsia"/>
          <w:b/>
          <w:sz w:val="28"/>
          <w:szCs w:val="28"/>
        </w:rPr>
      </w:pPr>
    </w:p>
    <w:p>
      <w:pPr>
        <w:jc w:val="center"/>
        <w:rPr>
          <w:b/>
          <w:sz w:val="28"/>
          <w:szCs w:val="28"/>
        </w:rPr>
      </w:pPr>
      <w:r>
        <w:rPr>
          <w:rFonts w:hint="eastAsia"/>
          <w:b/>
          <w:sz w:val="28"/>
          <w:szCs w:val="28"/>
        </w:rPr>
        <w:t>二、投标人须知</w:t>
      </w:r>
      <w:bookmarkEnd w:id="8"/>
    </w:p>
    <w:p>
      <w:pPr>
        <w:spacing w:line="500" w:lineRule="exact"/>
        <w:ind w:right="42" w:rightChars="20"/>
        <w:jc w:val="center"/>
        <w:rPr>
          <w:rFonts w:ascii="宋体" w:hAnsi="宋体" w:cs="Arial"/>
          <w:b/>
          <w:sz w:val="24"/>
          <w:szCs w:val="24"/>
        </w:rPr>
      </w:pPr>
      <w:r>
        <w:rPr>
          <w:rFonts w:ascii="宋体" w:hAnsi="宋体"/>
          <w:b/>
          <w:sz w:val="24"/>
          <w:szCs w:val="24"/>
        </w:rPr>
        <w:t>（</w:t>
      </w:r>
      <w:r>
        <w:rPr>
          <w:rFonts w:hint="eastAsia" w:ascii="宋体" w:hAnsi="宋体"/>
          <w:b/>
          <w:sz w:val="24"/>
          <w:szCs w:val="24"/>
        </w:rPr>
        <w:t>一）总   则</w:t>
      </w:r>
    </w:p>
    <w:p>
      <w:pPr>
        <w:spacing w:line="400" w:lineRule="exact"/>
        <w:rPr>
          <w:rFonts w:ascii="宋体" w:hAnsi="宋体"/>
          <w:color w:val="000000"/>
          <w:sz w:val="24"/>
          <w:szCs w:val="24"/>
        </w:rPr>
      </w:pPr>
      <w:r>
        <w:rPr>
          <w:rFonts w:hint="eastAsia" w:ascii="宋体" w:hAnsi="宋体"/>
          <w:color w:val="000000"/>
          <w:sz w:val="24"/>
          <w:szCs w:val="24"/>
        </w:rPr>
        <w:t>1、适用范围</w:t>
      </w:r>
    </w:p>
    <w:p>
      <w:pPr>
        <w:snapToGrid w:val="0"/>
        <w:spacing w:line="400" w:lineRule="exact"/>
        <w:ind w:left="480" w:hanging="480" w:hangingChars="200"/>
        <w:rPr>
          <w:rFonts w:ascii="宋体" w:hAnsi="宋体"/>
          <w:color w:val="000000"/>
          <w:sz w:val="24"/>
          <w:szCs w:val="24"/>
        </w:rPr>
      </w:pPr>
      <w:r>
        <w:rPr>
          <w:rFonts w:hint="eastAsia" w:ascii="宋体" w:hAnsi="宋体"/>
          <w:sz w:val="24"/>
          <w:szCs w:val="24"/>
        </w:rPr>
        <w:t>1.1本招标文件是根据《中华人民共和国招标投标法》等有关法律、法规</w:t>
      </w:r>
      <w:r>
        <w:rPr>
          <w:rFonts w:hint="eastAsia" w:ascii="宋体" w:hAnsi="宋体"/>
          <w:color w:val="000000"/>
          <w:sz w:val="24"/>
          <w:szCs w:val="24"/>
        </w:rPr>
        <w:t>和规章制定的，本招标项目已具备招标条件，现对本项目进行招标。</w:t>
      </w:r>
    </w:p>
    <w:p>
      <w:pPr>
        <w:spacing w:line="400" w:lineRule="exact"/>
        <w:ind w:left="480" w:hanging="480" w:hangingChars="200"/>
        <w:rPr>
          <w:rFonts w:ascii="宋体" w:hAnsi="宋体"/>
          <w:sz w:val="24"/>
          <w:szCs w:val="24"/>
        </w:rPr>
      </w:pPr>
      <w:r>
        <w:rPr>
          <w:rFonts w:hint="eastAsia" w:ascii="宋体" w:hAnsi="宋体"/>
          <w:sz w:val="24"/>
          <w:szCs w:val="24"/>
        </w:rPr>
        <w:t>1.2本招标文件适用于本次招标采购所述货物及相关服务的招标投标。</w:t>
      </w:r>
    </w:p>
    <w:p>
      <w:pPr>
        <w:spacing w:line="400" w:lineRule="exact"/>
        <w:ind w:left="480" w:hanging="480" w:hangingChars="200"/>
        <w:rPr>
          <w:rFonts w:ascii="宋体" w:hAnsi="宋体"/>
          <w:color w:val="000000"/>
          <w:sz w:val="24"/>
          <w:szCs w:val="24"/>
        </w:rPr>
      </w:pPr>
      <w:r>
        <w:rPr>
          <w:rFonts w:hint="eastAsia" w:ascii="宋体" w:hAnsi="宋体"/>
          <w:color w:val="000000"/>
          <w:sz w:val="24"/>
          <w:szCs w:val="24"/>
        </w:rPr>
        <w:t>2、项目概述：</w:t>
      </w:r>
      <w:r>
        <w:rPr>
          <w:rFonts w:hint="eastAsia" w:ascii="新宋体" w:hAnsi="新宋体" w:eastAsia="新宋体"/>
          <w:kern w:val="0"/>
          <w:sz w:val="24"/>
          <w:szCs w:val="24"/>
        </w:rPr>
        <w:t>采购清单内所有货物的采购</w:t>
      </w:r>
      <w:r>
        <w:rPr>
          <w:rFonts w:hint="eastAsia" w:ascii="宋体" w:hAnsi="宋体"/>
          <w:color w:val="000000"/>
          <w:sz w:val="24"/>
          <w:szCs w:val="24"/>
        </w:rPr>
        <w:t>（项目采购清单详见招标文件）。</w:t>
      </w:r>
    </w:p>
    <w:p>
      <w:pPr>
        <w:spacing w:line="400" w:lineRule="exact"/>
        <w:ind w:left="480" w:hanging="480" w:hangingChars="200"/>
        <w:rPr>
          <w:rFonts w:ascii="宋体" w:hAnsi="宋体"/>
          <w:sz w:val="24"/>
          <w:szCs w:val="24"/>
        </w:rPr>
      </w:pPr>
      <w:r>
        <w:rPr>
          <w:rFonts w:hint="eastAsia" w:ascii="宋体" w:hAnsi="宋体"/>
          <w:sz w:val="24"/>
          <w:szCs w:val="24"/>
        </w:rPr>
        <w:t>3、合格投标人的条件</w:t>
      </w:r>
    </w:p>
    <w:p>
      <w:pPr>
        <w:spacing w:line="400" w:lineRule="exact"/>
        <w:ind w:left="480" w:hanging="480" w:hangingChars="200"/>
        <w:rPr>
          <w:rFonts w:hint="eastAsia" w:ascii="宋体" w:hAnsi="宋体"/>
          <w:sz w:val="24"/>
          <w:szCs w:val="24"/>
        </w:rPr>
      </w:pPr>
      <w:r>
        <w:rPr>
          <w:rFonts w:hint="eastAsia" w:ascii="宋体" w:hAnsi="宋体"/>
          <w:sz w:val="24"/>
          <w:szCs w:val="24"/>
        </w:rPr>
        <w:t>3.1须符合邀请函“投标人资格要求”条件。</w:t>
      </w:r>
    </w:p>
    <w:p>
      <w:pPr>
        <w:spacing w:line="400" w:lineRule="exact"/>
        <w:ind w:left="480" w:hanging="480" w:hangingChars="200"/>
        <w:rPr>
          <w:rFonts w:ascii="宋体" w:hAnsi="宋体"/>
          <w:sz w:val="24"/>
          <w:szCs w:val="24"/>
        </w:rPr>
      </w:pPr>
      <w:r>
        <w:rPr>
          <w:rFonts w:hint="eastAsia" w:ascii="宋体" w:hAnsi="宋体"/>
          <w:sz w:val="24"/>
          <w:szCs w:val="24"/>
        </w:rPr>
        <w:t>3.2法律、行政法规及招标文件规定的其他条件。</w:t>
      </w:r>
    </w:p>
    <w:p>
      <w:pPr>
        <w:spacing w:line="400" w:lineRule="exact"/>
        <w:ind w:left="480" w:hanging="480" w:hangingChars="200"/>
        <w:rPr>
          <w:rFonts w:ascii="宋体" w:hAnsi="宋体"/>
          <w:sz w:val="24"/>
          <w:szCs w:val="24"/>
        </w:rPr>
      </w:pPr>
      <w:r>
        <w:rPr>
          <w:rFonts w:hint="eastAsia" w:ascii="宋体" w:hAnsi="宋体"/>
          <w:sz w:val="24"/>
          <w:szCs w:val="24"/>
        </w:rPr>
        <w:t>3.3由于招标项目的差异性，投标人在参与具体招标项目活动时，还应仔细阅读该项目的资格要求。</w:t>
      </w:r>
    </w:p>
    <w:p>
      <w:pPr>
        <w:spacing w:line="400" w:lineRule="exact"/>
        <w:ind w:left="480" w:hanging="480" w:hangingChars="200"/>
        <w:rPr>
          <w:rFonts w:ascii="宋体" w:hAnsi="宋体"/>
          <w:sz w:val="24"/>
          <w:szCs w:val="24"/>
        </w:rPr>
      </w:pPr>
      <w:r>
        <w:rPr>
          <w:rFonts w:hint="eastAsia" w:ascii="宋体" w:hAnsi="宋体"/>
          <w:sz w:val="24"/>
          <w:szCs w:val="24"/>
        </w:rPr>
        <w:t>3.4已从招标人（招标代理机构）获取招标文件。</w:t>
      </w:r>
    </w:p>
    <w:p>
      <w:pPr>
        <w:spacing w:line="400" w:lineRule="exact"/>
        <w:ind w:left="480" w:hanging="480" w:hangingChars="200"/>
        <w:rPr>
          <w:rFonts w:ascii="宋体" w:hAnsi="宋体"/>
          <w:sz w:val="24"/>
          <w:szCs w:val="24"/>
        </w:rPr>
      </w:pPr>
      <w:r>
        <w:rPr>
          <w:rFonts w:hint="eastAsia" w:ascii="宋体" w:hAnsi="宋体"/>
          <w:sz w:val="24"/>
          <w:szCs w:val="24"/>
        </w:rPr>
        <w:t>3.4.1凡符合规定条件的中国境内投标人有意参加投标的，请按邀请函要求领取招标文件；</w:t>
      </w:r>
    </w:p>
    <w:p>
      <w:pPr>
        <w:spacing w:line="400" w:lineRule="exact"/>
        <w:ind w:left="480" w:hanging="480" w:hangingChars="200"/>
        <w:rPr>
          <w:rFonts w:ascii="宋体" w:hAnsi="宋体"/>
          <w:sz w:val="24"/>
          <w:szCs w:val="24"/>
        </w:rPr>
      </w:pPr>
      <w:r>
        <w:rPr>
          <w:rFonts w:hint="eastAsia" w:ascii="宋体" w:hAnsi="宋体"/>
          <w:sz w:val="24"/>
          <w:szCs w:val="24"/>
        </w:rPr>
        <w:t>3.4.2投标人从其它途径获取招标文件的，其递交的投标文件无效。</w:t>
      </w:r>
    </w:p>
    <w:p>
      <w:pPr>
        <w:spacing w:line="400" w:lineRule="exact"/>
        <w:ind w:left="480" w:hanging="480" w:hangingChars="200"/>
        <w:rPr>
          <w:rFonts w:ascii="宋体" w:hAnsi="宋体"/>
          <w:sz w:val="24"/>
          <w:szCs w:val="24"/>
        </w:rPr>
      </w:pPr>
      <w:r>
        <w:rPr>
          <w:rFonts w:hint="eastAsia" w:ascii="宋体" w:hAnsi="宋体"/>
          <w:sz w:val="24"/>
          <w:szCs w:val="24"/>
        </w:rPr>
        <w:t>3.5本项目不接受联合体投标。</w:t>
      </w:r>
    </w:p>
    <w:p>
      <w:pPr>
        <w:spacing w:line="400" w:lineRule="exact"/>
        <w:ind w:left="480" w:hanging="480" w:hangingChars="200"/>
        <w:rPr>
          <w:rFonts w:ascii="宋体" w:hAnsi="宋体"/>
          <w:sz w:val="24"/>
          <w:szCs w:val="24"/>
        </w:rPr>
      </w:pPr>
      <w:r>
        <w:rPr>
          <w:rFonts w:hint="eastAsia" w:ascii="宋体" w:hAnsi="宋体"/>
          <w:sz w:val="24"/>
          <w:szCs w:val="24"/>
        </w:rPr>
        <w:t>4、投标费用</w:t>
      </w:r>
    </w:p>
    <w:p>
      <w:pPr>
        <w:spacing w:line="400" w:lineRule="exact"/>
        <w:ind w:left="480" w:hanging="480" w:hangingChars="200"/>
        <w:rPr>
          <w:rFonts w:ascii="宋体" w:hAnsi="宋体"/>
          <w:sz w:val="24"/>
          <w:szCs w:val="24"/>
        </w:rPr>
      </w:pPr>
      <w:r>
        <w:rPr>
          <w:rFonts w:hint="eastAsia" w:ascii="宋体" w:hAnsi="宋体"/>
          <w:sz w:val="24"/>
          <w:szCs w:val="24"/>
        </w:rPr>
        <w:t>4.1投标人应自行承担所有与参加本次投标有关的费用。不论投标的结果如何，招标代理机构和招标人在任何情况下均无义务和责任承担这些费用。</w:t>
      </w:r>
    </w:p>
    <w:p>
      <w:pPr>
        <w:spacing w:line="400" w:lineRule="exact"/>
        <w:ind w:left="480" w:hanging="480" w:hangingChars="200"/>
        <w:rPr>
          <w:rFonts w:ascii="宋体" w:hAnsi="宋体"/>
          <w:sz w:val="24"/>
          <w:szCs w:val="24"/>
        </w:rPr>
      </w:pPr>
      <w:r>
        <w:rPr>
          <w:rFonts w:hint="eastAsia" w:ascii="宋体" w:hAnsi="宋体"/>
          <w:sz w:val="24"/>
          <w:szCs w:val="24"/>
        </w:rPr>
        <w:t>5、投标风险</w:t>
      </w:r>
    </w:p>
    <w:p>
      <w:pPr>
        <w:spacing w:line="400" w:lineRule="exact"/>
        <w:ind w:left="480" w:hanging="480" w:hangingChars="200"/>
        <w:rPr>
          <w:rFonts w:ascii="宋体" w:hAnsi="宋体"/>
          <w:sz w:val="24"/>
          <w:szCs w:val="24"/>
        </w:rPr>
      </w:pPr>
      <w:r>
        <w:rPr>
          <w:rFonts w:hint="eastAsia" w:ascii="宋体" w:hAnsi="宋体"/>
          <w:sz w:val="24"/>
          <w:szCs w:val="24"/>
        </w:rPr>
        <w:t>5.1投标人一旦领取了本招标文件并参加投标，即被认为接受了本招标文件中的所有条件和规定。</w:t>
      </w:r>
    </w:p>
    <w:p>
      <w:pPr>
        <w:spacing w:line="400" w:lineRule="exact"/>
        <w:ind w:left="480" w:hanging="480" w:hangingChars="200"/>
        <w:rPr>
          <w:rFonts w:ascii="宋体" w:hAnsi="宋体"/>
          <w:sz w:val="24"/>
          <w:szCs w:val="24"/>
        </w:rPr>
      </w:pPr>
      <w:r>
        <w:rPr>
          <w:rFonts w:hint="eastAsia" w:ascii="宋体" w:hAnsi="宋体"/>
          <w:sz w:val="24"/>
          <w:szCs w:val="24"/>
        </w:rPr>
        <w:t>5.2投标人应认真阅读招标文件中所有的事项、格式、条款和规范等要求。如果没有按照招标文件要求提交全部资料，或没有对招标文件做出实质性响应，其风险应由投标人自行承担。</w:t>
      </w:r>
    </w:p>
    <w:p>
      <w:pPr>
        <w:spacing w:line="400" w:lineRule="exact"/>
        <w:ind w:left="480" w:hanging="480" w:hangingChars="200"/>
        <w:rPr>
          <w:rFonts w:ascii="宋体" w:hAnsi="宋体"/>
          <w:sz w:val="24"/>
          <w:szCs w:val="24"/>
        </w:rPr>
      </w:pPr>
      <w:r>
        <w:rPr>
          <w:rFonts w:hint="eastAsia" w:ascii="宋体" w:hAnsi="宋体"/>
          <w:sz w:val="24"/>
          <w:szCs w:val="24"/>
        </w:rPr>
        <w:t>5.3投标人所提供的所有资料（包括复印件、影印件）必须清晰，如因提供的资料难以辨认，其风险由投标人自行承担。</w:t>
      </w:r>
    </w:p>
    <w:p>
      <w:pPr>
        <w:spacing w:line="400" w:lineRule="exact"/>
        <w:ind w:left="480" w:hanging="480" w:hangingChars="200"/>
        <w:rPr>
          <w:rFonts w:ascii="宋体" w:hAnsi="宋体"/>
          <w:sz w:val="24"/>
          <w:szCs w:val="24"/>
        </w:rPr>
      </w:pPr>
      <w:r>
        <w:rPr>
          <w:rFonts w:hint="eastAsia" w:ascii="宋体" w:hAnsi="宋体"/>
          <w:sz w:val="24"/>
          <w:szCs w:val="24"/>
        </w:rPr>
        <w:t>6、投标人被视为充分熟悉本招标项目所在地的与履行合同有关的各种情况，包括但不限于以下各项：</w:t>
      </w:r>
    </w:p>
    <w:p>
      <w:pPr>
        <w:tabs>
          <w:tab w:val="left" w:pos="630"/>
        </w:tabs>
        <w:spacing w:line="400" w:lineRule="exact"/>
        <w:ind w:left="2" w:leftChars="1"/>
        <w:rPr>
          <w:rFonts w:ascii="宋体" w:hAnsi="宋体"/>
          <w:sz w:val="24"/>
          <w:szCs w:val="24"/>
        </w:rPr>
      </w:pPr>
      <w:r>
        <w:rPr>
          <w:rFonts w:hint="eastAsia" w:ascii="宋体" w:hAnsi="宋体"/>
          <w:sz w:val="24"/>
          <w:szCs w:val="24"/>
        </w:rPr>
        <w:t>6.1国家对本次投标货物的生产、销售、验收、维修等有关法律、法规及行业管理标准；</w:t>
      </w:r>
    </w:p>
    <w:p>
      <w:pPr>
        <w:spacing w:line="400" w:lineRule="exact"/>
        <w:rPr>
          <w:rFonts w:ascii="宋体" w:hAnsi="宋体"/>
          <w:sz w:val="24"/>
          <w:szCs w:val="24"/>
        </w:rPr>
      </w:pPr>
      <w:r>
        <w:rPr>
          <w:rFonts w:hint="eastAsia" w:ascii="宋体" w:hAnsi="宋体"/>
          <w:sz w:val="24"/>
          <w:szCs w:val="24"/>
        </w:rPr>
        <w:t>6.2安徽省及宁国市等有关管理部门的相关规定；</w:t>
      </w:r>
    </w:p>
    <w:p>
      <w:pPr>
        <w:spacing w:line="400" w:lineRule="exact"/>
        <w:rPr>
          <w:rFonts w:ascii="宋体" w:hAnsi="宋体"/>
          <w:sz w:val="24"/>
          <w:szCs w:val="24"/>
        </w:rPr>
      </w:pPr>
      <w:r>
        <w:rPr>
          <w:rFonts w:hint="eastAsia" w:ascii="宋体" w:hAnsi="宋体"/>
          <w:sz w:val="24"/>
          <w:szCs w:val="24"/>
        </w:rPr>
        <w:t>6.3现场的相关场地情况、基础建设、电力供应等情况及相关设计标准；</w:t>
      </w:r>
      <w:r>
        <w:rPr>
          <w:rFonts w:ascii="宋体" w:hAnsi="宋体"/>
          <w:sz w:val="24"/>
          <w:szCs w:val="24"/>
        </w:rPr>
        <w:t xml:space="preserve"> </w:t>
      </w:r>
    </w:p>
    <w:p>
      <w:pPr>
        <w:spacing w:line="400" w:lineRule="exact"/>
        <w:rPr>
          <w:rFonts w:ascii="宋体" w:hAnsi="宋体"/>
          <w:sz w:val="24"/>
          <w:szCs w:val="24"/>
        </w:rPr>
      </w:pPr>
      <w:r>
        <w:rPr>
          <w:rFonts w:hint="eastAsia" w:ascii="宋体" w:hAnsi="宋体"/>
          <w:sz w:val="24"/>
          <w:szCs w:val="24"/>
        </w:rPr>
        <w:t>6.4本招标文件不再对上述情况进行描述。</w:t>
      </w:r>
    </w:p>
    <w:p>
      <w:pPr>
        <w:spacing w:line="400" w:lineRule="exact"/>
        <w:ind w:left="480" w:hanging="480" w:hangingChars="200"/>
        <w:rPr>
          <w:rFonts w:ascii="宋体" w:hAnsi="宋体"/>
          <w:sz w:val="24"/>
          <w:szCs w:val="24"/>
        </w:rPr>
      </w:pPr>
      <w:r>
        <w:rPr>
          <w:rFonts w:hint="eastAsia" w:ascii="宋体" w:hAnsi="宋体"/>
          <w:sz w:val="24"/>
          <w:szCs w:val="24"/>
        </w:rPr>
        <w:t>7、招标代理机构对招标人拖欠中标人合同款不承担任何连带或非连带的责任，任何情况下，中标人若主张或要求其合同款相关的民事权利均只能直接针对招标人主张或要求。</w:t>
      </w:r>
    </w:p>
    <w:p>
      <w:pPr>
        <w:spacing w:line="400" w:lineRule="exact"/>
        <w:ind w:left="425" w:hanging="424" w:hangingChars="177"/>
        <w:rPr>
          <w:rFonts w:ascii="宋体" w:hAnsi="宋体"/>
          <w:sz w:val="24"/>
        </w:rPr>
      </w:pPr>
      <w:r>
        <w:rPr>
          <w:rFonts w:hint="eastAsia" w:ascii="宋体" w:hAnsi="宋体"/>
          <w:sz w:val="24"/>
          <w:szCs w:val="24"/>
        </w:rPr>
        <w:t>8、各</w:t>
      </w:r>
      <w:r>
        <w:rPr>
          <w:rFonts w:hint="eastAsia" w:ascii="宋体" w:hAnsi="宋体"/>
          <w:sz w:val="24"/>
        </w:rPr>
        <w:t>投标人在开标前准备的招标代理服务费用随投标文件带至开标现场，待评标结束后由中标人承担并现场交纳此费用。</w:t>
      </w:r>
    </w:p>
    <w:p>
      <w:pPr>
        <w:spacing w:line="400" w:lineRule="exact"/>
        <w:ind w:left="482" w:hanging="482" w:hangingChars="200"/>
        <w:rPr>
          <w:rFonts w:ascii="宋体" w:hAnsi="宋体"/>
          <w:b/>
          <w:sz w:val="24"/>
          <w:szCs w:val="24"/>
        </w:rPr>
      </w:pPr>
      <w:r>
        <w:rPr>
          <w:rFonts w:hint="eastAsia" w:ascii="宋体" w:hAnsi="宋体"/>
          <w:b/>
          <w:sz w:val="24"/>
          <w:szCs w:val="24"/>
        </w:rPr>
        <w:t>9、投标人之间如果存在下列情形之一的，不得同时参加本项目投标：</w:t>
      </w:r>
    </w:p>
    <w:p>
      <w:pPr>
        <w:spacing w:line="400" w:lineRule="exact"/>
        <w:ind w:left="480" w:hanging="480" w:hangingChars="200"/>
        <w:rPr>
          <w:rFonts w:ascii="宋体" w:hAnsi="宋体"/>
          <w:sz w:val="24"/>
          <w:szCs w:val="24"/>
        </w:rPr>
      </w:pPr>
      <w:r>
        <w:rPr>
          <w:rFonts w:hint="eastAsia" w:ascii="宋体" w:hAnsi="宋体"/>
          <w:sz w:val="24"/>
          <w:szCs w:val="24"/>
        </w:rPr>
        <w:t>9.1法定代表人为同一个人的；</w:t>
      </w:r>
    </w:p>
    <w:p>
      <w:pPr>
        <w:spacing w:line="400" w:lineRule="exact"/>
        <w:ind w:left="480" w:hanging="480" w:hangingChars="200"/>
        <w:rPr>
          <w:rFonts w:ascii="宋体" w:hAnsi="宋体"/>
          <w:sz w:val="24"/>
          <w:szCs w:val="24"/>
        </w:rPr>
      </w:pPr>
      <w:r>
        <w:rPr>
          <w:rFonts w:hint="eastAsia" w:ascii="宋体" w:hAnsi="宋体"/>
          <w:sz w:val="24"/>
          <w:szCs w:val="24"/>
        </w:rPr>
        <w:t>9.2母公司、全资子公司及其控股公司；</w:t>
      </w:r>
    </w:p>
    <w:p>
      <w:pPr>
        <w:spacing w:line="400" w:lineRule="exact"/>
        <w:ind w:left="480" w:hanging="480" w:hangingChars="200"/>
        <w:rPr>
          <w:rFonts w:ascii="宋体" w:hAnsi="宋体"/>
          <w:sz w:val="24"/>
          <w:szCs w:val="24"/>
        </w:rPr>
      </w:pPr>
      <w:r>
        <w:rPr>
          <w:rFonts w:hint="eastAsia" w:ascii="宋体" w:hAnsi="宋体"/>
          <w:sz w:val="24"/>
          <w:szCs w:val="24"/>
        </w:rPr>
        <w:t>9.3参加投标的其他组织之间存在特殊的利害关系的；</w:t>
      </w:r>
    </w:p>
    <w:p>
      <w:pPr>
        <w:spacing w:line="400" w:lineRule="exact"/>
        <w:ind w:left="480" w:hanging="480" w:hangingChars="200"/>
        <w:rPr>
          <w:rFonts w:ascii="宋体" w:hAnsi="宋体"/>
          <w:sz w:val="24"/>
          <w:szCs w:val="24"/>
        </w:rPr>
      </w:pPr>
      <w:r>
        <w:rPr>
          <w:rFonts w:hint="eastAsia" w:ascii="宋体" w:hAnsi="宋体"/>
          <w:sz w:val="24"/>
          <w:szCs w:val="24"/>
        </w:rPr>
        <w:t>9.4法律和行政法规规定的其他情形。</w:t>
      </w:r>
    </w:p>
    <w:p>
      <w:pPr>
        <w:spacing w:line="400" w:lineRule="exact"/>
        <w:ind w:left="480" w:hanging="480" w:hangingChars="200"/>
        <w:rPr>
          <w:rFonts w:ascii="宋体" w:hAnsi="宋体"/>
          <w:sz w:val="24"/>
          <w:szCs w:val="24"/>
        </w:rPr>
      </w:pPr>
      <w:r>
        <w:rPr>
          <w:rFonts w:hint="eastAsia" w:ascii="宋体" w:hAnsi="宋体"/>
          <w:sz w:val="24"/>
          <w:szCs w:val="24"/>
        </w:rPr>
        <w:t>10、因本次招投标活动产生的一切纠纷（包括合同纠纷），有关各方应友好协商解决，协商不成，则向宣城市仲裁委员会申请仲裁。</w:t>
      </w:r>
    </w:p>
    <w:p>
      <w:pPr>
        <w:spacing w:line="400" w:lineRule="exact"/>
        <w:ind w:left="480" w:hanging="480" w:hangingChars="200"/>
        <w:rPr>
          <w:rFonts w:ascii="宋体" w:hAnsi="宋体"/>
          <w:sz w:val="24"/>
          <w:szCs w:val="24"/>
        </w:rPr>
      </w:pPr>
      <w:r>
        <w:rPr>
          <w:rFonts w:hint="eastAsia" w:ascii="宋体" w:hAnsi="宋体"/>
          <w:sz w:val="24"/>
          <w:szCs w:val="24"/>
        </w:rPr>
        <w:t>11、本招标文件不做电子签名。</w:t>
      </w:r>
    </w:p>
    <w:p>
      <w:pPr>
        <w:snapToGrid w:val="0"/>
        <w:spacing w:line="400" w:lineRule="exact"/>
        <w:outlineLvl w:val="2"/>
        <w:rPr>
          <w:rFonts w:ascii="宋体" w:hAnsi="宋体"/>
          <w:sz w:val="24"/>
          <w:szCs w:val="24"/>
        </w:rPr>
      </w:pPr>
      <w:r>
        <w:rPr>
          <w:rFonts w:hint="eastAsia" w:ascii="宋体" w:hAnsi="宋体"/>
          <w:sz w:val="24"/>
          <w:szCs w:val="24"/>
        </w:rPr>
        <w:t>12、本招标文件解释权属于招标人。</w:t>
      </w:r>
    </w:p>
    <w:p>
      <w:pPr>
        <w:pStyle w:val="19"/>
        <w:spacing w:line="400" w:lineRule="exact"/>
        <w:jc w:val="center"/>
        <w:rPr>
          <w:rFonts w:ascii="宋体" w:hAnsi="宋体" w:eastAsia="宋体"/>
          <w:sz w:val="24"/>
          <w:szCs w:val="24"/>
        </w:rPr>
      </w:pPr>
      <w:bookmarkStart w:id="11" w:name="_Toc432524245"/>
      <w:bookmarkStart w:id="12" w:name="_Toc436319643"/>
      <w:bookmarkStart w:id="13" w:name="_Toc388867476"/>
      <w:bookmarkStart w:id="14" w:name="_Toc432524248"/>
      <w:r>
        <w:rPr>
          <w:rFonts w:ascii="宋体" w:hAnsi="宋体" w:eastAsia="宋体"/>
          <w:sz w:val="24"/>
          <w:szCs w:val="24"/>
        </w:rPr>
        <w:t>（</w:t>
      </w:r>
      <w:r>
        <w:rPr>
          <w:rFonts w:hint="eastAsia" w:ascii="宋体" w:hAnsi="宋体" w:eastAsia="宋体"/>
          <w:sz w:val="24"/>
          <w:szCs w:val="24"/>
        </w:rPr>
        <w:t>二）招标文件</w:t>
      </w:r>
    </w:p>
    <w:p>
      <w:pPr>
        <w:spacing w:line="400" w:lineRule="exact"/>
        <w:ind w:left="480" w:hanging="480" w:hangingChars="200"/>
        <w:rPr>
          <w:rFonts w:ascii="宋体" w:hAnsi="宋体"/>
          <w:sz w:val="24"/>
          <w:szCs w:val="24"/>
        </w:rPr>
      </w:pPr>
      <w:r>
        <w:rPr>
          <w:rFonts w:hint="eastAsia" w:ascii="宋体" w:hAnsi="宋体"/>
          <w:sz w:val="24"/>
          <w:szCs w:val="24"/>
        </w:rPr>
        <w:t>13、</w:t>
      </w:r>
      <w:r>
        <w:rPr>
          <w:rFonts w:ascii="宋体" w:hAnsi="宋体"/>
          <w:sz w:val="24"/>
          <w:szCs w:val="24"/>
        </w:rPr>
        <w:t>招标文件构成</w:t>
      </w:r>
    </w:p>
    <w:p>
      <w:pPr>
        <w:spacing w:line="400" w:lineRule="exact"/>
        <w:ind w:left="480" w:hanging="480" w:hangingChars="200"/>
        <w:rPr>
          <w:rFonts w:ascii="宋体" w:hAnsi="宋体"/>
          <w:sz w:val="24"/>
          <w:szCs w:val="24"/>
        </w:rPr>
      </w:pPr>
      <w:r>
        <w:rPr>
          <w:rFonts w:hint="eastAsia" w:ascii="宋体" w:hAnsi="宋体"/>
          <w:sz w:val="24"/>
          <w:szCs w:val="24"/>
        </w:rPr>
        <w:t>13.1</w:t>
      </w:r>
      <w:r>
        <w:rPr>
          <w:rFonts w:ascii="宋体" w:hAnsi="宋体"/>
          <w:sz w:val="24"/>
          <w:szCs w:val="24"/>
        </w:rPr>
        <w:t>招标文件包括：</w:t>
      </w:r>
    </w:p>
    <w:p>
      <w:pPr>
        <w:spacing w:line="400" w:lineRule="exact"/>
        <w:rPr>
          <w:rFonts w:ascii="宋体" w:hAnsi="宋体"/>
          <w:sz w:val="24"/>
          <w:szCs w:val="24"/>
        </w:rPr>
      </w:pPr>
      <w:r>
        <w:rPr>
          <w:rFonts w:hint="eastAsia" w:ascii="宋体" w:hAnsi="宋体"/>
          <w:sz w:val="24"/>
          <w:szCs w:val="24"/>
        </w:rPr>
        <w:t>第一章  邀请函</w:t>
      </w:r>
    </w:p>
    <w:p>
      <w:pPr>
        <w:spacing w:line="400" w:lineRule="exact"/>
        <w:rPr>
          <w:rFonts w:ascii="宋体" w:hAnsi="宋体"/>
          <w:bCs/>
          <w:sz w:val="24"/>
          <w:szCs w:val="24"/>
        </w:rPr>
      </w:pPr>
      <w:r>
        <w:rPr>
          <w:rFonts w:hint="eastAsia" w:ascii="宋体" w:hAnsi="宋体"/>
          <w:bCs/>
          <w:sz w:val="24"/>
          <w:szCs w:val="24"/>
        </w:rPr>
        <w:t>第二章  投标人须知</w:t>
      </w:r>
    </w:p>
    <w:p>
      <w:pPr>
        <w:spacing w:line="400" w:lineRule="exact"/>
        <w:rPr>
          <w:rFonts w:ascii="宋体" w:hAnsi="宋体"/>
          <w:bCs/>
          <w:sz w:val="24"/>
          <w:szCs w:val="24"/>
        </w:rPr>
      </w:pPr>
      <w:r>
        <w:rPr>
          <w:rFonts w:hint="eastAsia" w:ascii="宋体" w:hAnsi="宋体"/>
          <w:bCs/>
          <w:sz w:val="24"/>
          <w:szCs w:val="24"/>
        </w:rPr>
        <w:t>第三章  采购清单及相关要求</w:t>
      </w:r>
    </w:p>
    <w:p>
      <w:pPr>
        <w:spacing w:line="400" w:lineRule="exact"/>
        <w:rPr>
          <w:rFonts w:ascii="宋体" w:hAnsi="宋体"/>
          <w:bCs/>
          <w:sz w:val="24"/>
          <w:szCs w:val="24"/>
        </w:rPr>
      </w:pPr>
      <w:r>
        <w:rPr>
          <w:rFonts w:hint="eastAsia" w:ascii="宋体" w:hAnsi="宋体"/>
          <w:bCs/>
          <w:sz w:val="24"/>
          <w:szCs w:val="24"/>
        </w:rPr>
        <w:t>第四章  货物采购合同（格式）</w:t>
      </w:r>
    </w:p>
    <w:p>
      <w:pPr>
        <w:spacing w:line="400" w:lineRule="exact"/>
        <w:rPr>
          <w:rFonts w:ascii="宋体" w:hAnsi="宋体"/>
          <w:sz w:val="24"/>
          <w:szCs w:val="24"/>
        </w:rPr>
      </w:pPr>
      <w:r>
        <w:rPr>
          <w:rFonts w:hint="eastAsia" w:ascii="宋体" w:hAnsi="宋体"/>
          <w:bCs/>
          <w:sz w:val="24"/>
          <w:szCs w:val="24"/>
        </w:rPr>
        <w:t>第五章  投标文件格式</w:t>
      </w:r>
    </w:p>
    <w:p>
      <w:pPr>
        <w:spacing w:line="400" w:lineRule="exact"/>
        <w:rPr>
          <w:rFonts w:ascii="宋体" w:hAnsi="宋体"/>
          <w:sz w:val="24"/>
          <w:szCs w:val="24"/>
        </w:rPr>
      </w:pPr>
      <w:r>
        <w:rPr>
          <w:rFonts w:hint="eastAsia" w:ascii="宋体" w:hAnsi="宋体"/>
          <w:sz w:val="24"/>
          <w:szCs w:val="24"/>
        </w:rPr>
        <w:t>目录</w:t>
      </w:r>
    </w:p>
    <w:p>
      <w:pPr>
        <w:spacing w:line="400" w:lineRule="exact"/>
        <w:rPr>
          <w:rFonts w:ascii="宋体" w:hAnsi="宋体"/>
          <w:sz w:val="24"/>
          <w:szCs w:val="24"/>
        </w:rPr>
      </w:pPr>
      <w:r>
        <w:rPr>
          <w:rFonts w:hint="eastAsia" w:ascii="宋体" w:hAnsi="宋体"/>
          <w:sz w:val="24"/>
          <w:szCs w:val="24"/>
        </w:rPr>
        <w:t>开标一览表</w:t>
      </w:r>
    </w:p>
    <w:p>
      <w:pPr>
        <w:spacing w:line="400" w:lineRule="exact"/>
        <w:rPr>
          <w:rFonts w:ascii="宋体" w:hAnsi="宋体"/>
          <w:sz w:val="24"/>
          <w:szCs w:val="24"/>
        </w:rPr>
      </w:pPr>
      <w:r>
        <w:rPr>
          <w:rFonts w:hint="eastAsia" w:ascii="宋体" w:hAnsi="宋体"/>
          <w:sz w:val="24"/>
          <w:szCs w:val="24"/>
        </w:rPr>
        <w:t>投标函</w:t>
      </w:r>
    </w:p>
    <w:p>
      <w:pPr>
        <w:spacing w:line="400" w:lineRule="exact"/>
        <w:rPr>
          <w:rFonts w:ascii="宋体" w:hAnsi="宋体"/>
          <w:sz w:val="24"/>
          <w:szCs w:val="24"/>
        </w:rPr>
      </w:pPr>
      <w:r>
        <w:rPr>
          <w:rFonts w:hint="eastAsia" w:ascii="宋体" w:hAnsi="宋体"/>
          <w:sz w:val="24"/>
          <w:szCs w:val="24"/>
        </w:rPr>
        <w:t>货物服务投标清单一览表</w:t>
      </w:r>
    </w:p>
    <w:p>
      <w:pPr>
        <w:spacing w:line="400" w:lineRule="exact"/>
        <w:rPr>
          <w:rFonts w:ascii="宋体" w:hAnsi="宋体"/>
          <w:sz w:val="24"/>
          <w:szCs w:val="24"/>
        </w:rPr>
      </w:pPr>
      <w:r>
        <w:rPr>
          <w:rFonts w:hint="eastAsia" w:ascii="宋体" w:hAnsi="宋体"/>
          <w:sz w:val="24"/>
          <w:szCs w:val="24"/>
        </w:rPr>
        <w:t>对商务要求的响应</w:t>
      </w:r>
    </w:p>
    <w:p>
      <w:pPr>
        <w:spacing w:line="400" w:lineRule="exact"/>
        <w:rPr>
          <w:rFonts w:ascii="宋体" w:hAnsi="宋体"/>
          <w:sz w:val="24"/>
          <w:szCs w:val="24"/>
        </w:rPr>
      </w:pPr>
      <w:r>
        <w:rPr>
          <w:rFonts w:hint="eastAsia" w:ascii="宋体" w:hAnsi="宋体"/>
          <w:sz w:val="24"/>
          <w:szCs w:val="24"/>
        </w:rPr>
        <w:t>对技术要求的响应</w:t>
      </w:r>
    </w:p>
    <w:p>
      <w:pPr>
        <w:spacing w:line="400" w:lineRule="exact"/>
        <w:rPr>
          <w:rFonts w:ascii="宋体" w:hAnsi="宋体"/>
          <w:sz w:val="24"/>
          <w:szCs w:val="24"/>
        </w:rPr>
      </w:pPr>
      <w:r>
        <w:rPr>
          <w:rFonts w:hint="eastAsia" w:ascii="宋体" w:hAnsi="宋体"/>
          <w:sz w:val="24"/>
          <w:szCs w:val="24"/>
        </w:rPr>
        <w:t>货物服务技术方案</w:t>
      </w:r>
    </w:p>
    <w:p>
      <w:pPr>
        <w:spacing w:line="400" w:lineRule="exact"/>
        <w:rPr>
          <w:rFonts w:ascii="宋体" w:hAnsi="宋体"/>
          <w:sz w:val="24"/>
          <w:szCs w:val="24"/>
        </w:rPr>
      </w:pPr>
      <w:r>
        <w:rPr>
          <w:rFonts w:hint="eastAsia" w:ascii="宋体" w:hAnsi="宋体"/>
          <w:sz w:val="24"/>
          <w:szCs w:val="24"/>
        </w:rPr>
        <w:t>资格证明文件及其他重要资料</w:t>
      </w:r>
    </w:p>
    <w:p>
      <w:pPr>
        <w:spacing w:line="400" w:lineRule="exact"/>
        <w:rPr>
          <w:rFonts w:ascii="宋体" w:hAnsi="宋体"/>
          <w:sz w:val="24"/>
          <w:szCs w:val="24"/>
        </w:rPr>
      </w:pPr>
      <w:r>
        <w:rPr>
          <w:rFonts w:hint="eastAsia" w:ascii="宋体" w:hAnsi="宋体"/>
          <w:sz w:val="24"/>
          <w:szCs w:val="24"/>
        </w:rPr>
        <w:t>货物服务报价一览表</w:t>
      </w:r>
    </w:p>
    <w:p>
      <w:pPr>
        <w:spacing w:line="400" w:lineRule="exact"/>
        <w:rPr>
          <w:rFonts w:ascii="宋体" w:hAnsi="宋体"/>
          <w:sz w:val="24"/>
          <w:szCs w:val="24"/>
        </w:rPr>
      </w:pPr>
      <w:r>
        <w:rPr>
          <w:rFonts w:hint="eastAsia" w:ascii="宋体" w:hAnsi="宋体"/>
          <w:sz w:val="24"/>
          <w:szCs w:val="24"/>
        </w:rPr>
        <w:t>第六章  评标办法</w:t>
      </w:r>
    </w:p>
    <w:p>
      <w:pPr>
        <w:spacing w:line="400" w:lineRule="exact"/>
        <w:ind w:left="480" w:hanging="480" w:hangingChars="200"/>
        <w:rPr>
          <w:rFonts w:ascii="宋体" w:hAnsi="宋体"/>
          <w:sz w:val="24"/>
          <w:szCs w:val="24"/>
        </w:rPr>
      </w:pPr>
      <w:r>
        <w:rPr>
          <w:rFonts w:hint="eastAsia" w:ascii="宋体" w:hAnsi="宋体"/>
          <w:sz w:val="24"/>
          <w:szCs w:val="24"/>
        </w:rPr>
        <w:t>13.2招标人根据本章第14条和第15条对招标文件所作的澄清、修改，构成招标文件的组成部分，对招标人和投标人起约束作用。</w:t>
      </w:r>
    </w:p>
    <w:p>
      <w:pPr>
        <w:spacing w:line="400" w:lineRule="exact"/>
        <w:ind w:left="480" w:hanging="480" w:hangingChars="200"/>
        <w:rPr>
          <w:rFonts w:ascii="宋体" w:hAnsi="宋体"/>
          <w:sz w:val="24"/>
          <w:szCs w:val="24"/>
        </w:rPr>
      </w:pPr>
      <w:r>
        <w:rPr>
          <w:rFonts w:hint="eastAsia" w:ascii="宋体" w:hAnsi="宋体"/>
          <w:sz w:val="24"/>
          <w:szCs w:val="24"/>
        </w:rPr>
        <w:t>13.3</w:t>
      </w:r>
      <w:r>
        <w:rPr>
          <w:rFonts w:ascii="宋体" w:hAnsi="宋体"/>
          <w:sz w:val="24"/>
          <w:szCs w:val="24"/>
        </w:rPr>
        <w:t>投标人应认真审阅招标文件中所有的事项、格式、条款和规范要求等</w:t>
      </w:r>
      <w:r>
        <w:rPr>
          <w:rFonts w:hint="eastAsia" w:ascii="宋体" w:hAnsi="宋体"/>
          <w:sz w:val="24"/>
          <w:szCs w:val="24"/>
        </w:rPr>
        <w:t>（包括招标文件修改和招标文件澄清）</w:t>
      </w:r>
      <w:r>
        <w:rPr>
          <w:rFonts w:ascii="宋体" w:hAnsi="宋体"/>
          <w:sz w:val="24"/>
          <w:szCs w:val="24"/>
        </w:rPr>
        <w:t>，若投标人的投标文件没有按招标文件要求提交全部资料，或投标文件没有对招标文件做出实质性响应，其风险由投标人自行承担，根据有关条款规定，该投标有可能被拒绝。</w:t>
      </w:r>
    </w:p>
    <w:p>
      <w:pPr>
        <w:spacing w:line="400" w:lineRule="exact"/>
        <w:ind w:left="480" w:hanging="480" w:hangingChars="200"/>
        <w:outlineLvl w:val="0"/>
        <w:rPr>
          <w:rFonts w:ascii="宋体" w:hAnsi="宋体"/>
          <w:sz w:val="24"/>
          <w:szCs w:val="24"/>
        </w:rPr>
      </w:pPr>
      <w:bookmarkStart w:id="15" w:name="_Toc435956230"/>
      <w:bookmarkStart w:id="16" w:name="_Toc435773285"/>
      <w:bookmarkStart w:id="17" w:name="_Toc433274943"/>
      <w:bookmarkStart w:id="18" w:name="_Toc468376367"/>
      <w:bookmarkStart w:id="19" w:name="_Toc476643912"/>
      <w:bookmarkStart w:id="20" w:name="_Toc474919095"/>
      <w:bookmarkStart w:id="21" w:name="_Toc435956274"/>
      <w:r>
        <w:rPr>
          <w:rFonts w:hint="eastAsia" w:ascii="宋体" w:hAnsi="宋体"/>
          <w:sz w:val="24"/>
          <w:szCs w:val="24"/>
        </w:rPr>
        <w:t>14、招标文件的澄清</w:t>
      </w:r>
      <w:bookmarkEnd w:id="15"/>
      <w:bookmarkEnd w:id="16"/>
      <w:bookmarkEnd w:id="17"/>
      <w:bookmarkEnd w:id="18"/>
      <w:bookmarkEnd w:id="19"/>
      <w:bookmarkEnd w:id="20"/>
      <w:bookmarkEnd w:id="21"/>
    </w:p>
    <w:p>
      <w:pPr>
        <w:spacing w:line="400" w:lineRule="exact"/>
        <w:ind w:left="480" w:hanging="480" w:hangingChars="200"/>
        <w:rPr>
          <w:rFonts w:hint="eastAsia"/>
          <w:sz w:val="24"/>
          <w:szCs w:val="24"/>
        </w:rPr>
      </w:pPr>
      <w:r>
        <w:rPr>
          <w:rFonts w:hint="eastAsia" w:ascii="宋体" w:hAnsi="宋体"/>
          <w:sz w:val="24"/>
          <w:szCs w:val="24"/>
        </w:rPr>
        <w:t>14.1任何潜在投标人对招标文件有异议，应当在投标截止时间5天前按邀请函中的通讯地址以书面（盖投标人公章）形式（如信函、传真，邮件下同）通知宁国水务公司。招标人将以书面答疑澄清的方式予以解答，</w:t>
      </w:r>
      <w:r>
        <w:rPr>
          <w:rFonts w:hint="eastAsia"/>
          <w:sz w:val="24"/>
          <w:szCs w:val="24"/>
        </w:rPr>
        <w:t>投标人必须及时查询有无相关澄清、修改等内容；在规定时间内投标人未领取招标文件及查看澄清或修改的，视为已完全了解招标文件澄清或修改的内容，其风险由投标人自行承担。</w:t>
      </w:r>
    </w:p>
    <w:p>
      <w:pPr>
        <w:spacing w:line="400" w:lineRule="exact"/>
        <w:ind w:left="480" w:hanging="480" w:hangingChars="200"/>
        <w:rPr>
          <w:rFonts w:ascii="宋体" w:hAnsi="宋体"/>
          <w:sz w:val="24"/>
          <w:szCs w:val="24"/>
        </w:rPr>
      </w:pPr>
      <w:r>
        <w:rPr>
          <w:rFonts w:hint="eastAsia" w:ascii="宋体" w:hAnsi="宋体"/>
          <w:sz w:val="24"/>
          <w:szCs w:val="24"/>
        </w:rPr>
        <w:t>14.2无论出于何种原因，招标人可主动或在解答投标人提出的澄清问题时对招标文件进行修改，投标人应主动查询。招标人不承担投标人未及时关注相关信息引发的相关责任。</w:t>
      </w:r>
    </w:p>
    <w:p>
      <w:pPr>
        <w:spacing w:line="400" w:lineRule="exact"/>
        <w:ind w:left="480" w:hanging="480" w:hangingChars="200"/>
        <w:rPr>
          <w:rFonts w:ascii="宋体" w:hAnsi="宋体"/>
          <w:sz w:val="24"/>
          <w:szCs w:val="24"/>
        </w:rPr>
      </w:pPr>
      <w:r>
        <w:rPr>
          <w:rFonts w:hint="eastAsia" w:ascii="宋体" w:hAnsi="宋体"/>
          <w:sz w:val="24"/>
          <w:szCs w:val="24"/>
        </w:rPr>
        <w:t>14.3招标文件的澄清将在投标人须知前附表规定的投标截止时间3天前公布，但不指明澄清问题的来源。如果澄清发出的时间距投标截止时间不足3天，相应延长投标截止时间。</w:t>
      </w:r>
    </w:p>
    <w:p>
      <w:pPr>
        <w:spacing w:line="400" w:lineRule="exact"/>
        <w:ind w:left="480" w:hanging="480" w:hangingChars="200"/>
        <w:outlineLvl w:val="0"/>
        <w:rPr>
          <w:rFonts w:ascii="宋体" w:hAnsi="宋体"/>
          <w:color w:val="FF0000"/>
          <w:sz w:val="24"/>
          <w:szCs w:val="24"/>
        </w:rPr>
      </w:pPr>
      <w:bookmarkStart w:id="22" w:name="_Toc435956231"/>
      <w:bookmarkStart w:id="23" w:name="_Toc468376368"/>
      <w:bookmarkStart w:id="24" w:name="_Toc435956275"/>
      <w:bookmarkStart w:id="25" w:name="_Toc476643913"/>
      <w:bookmarkStart w:id="26" w:name="_Toc435773286"/>
      <w:bookmarkStart w:id="27" w:name="_Toc433274944"/>
      <w:bookmarkStart w:id="28" w:name="_Toc474919096"/>
      <w:r>
        <w:rPr>
          <w:rFonts w:hint="eastAsia" w:ascii="宋体" w:hAnsi="宋体"/>
          <w:sz w:val="24"/>
          <w:szCs w:val="24"/>
        </w:rPr>
        <w:t>14.4投标人对招标文件的质疑必须在开标前提出。在开标后提出的任何针对招标文件的质疑，招标人有权不接受。</w:t>
      </w:r>
      <w:bookmarkEnd w:id="22"/>
      <w:bookmarkEnd w:id="23"/>
      <w:bookmarkEnd w:id="24"/>
      <w:bookmarkEnd w:id="25"/>
      <w:bookmarkEnd w:id="26"/>
      <w:bookmarkEnd w:id="27"/>
      <w:bookmarkEnd w:id="28"/>
    </w:p>
    <w:p>
      <w:pPr>
        <w:spacing w:line="400" w:lineRule="exact"/>
        <w:ind w:left="480" w:hanging="480" w:hangingChars="200"/>
        <w:outlineLvl w:val="0"/>
        <w:rPr>
          <w:rFonts w:ascii="宋体" w:hAnsi="宋体"/>
          <w:sz w:val="24"/>
          <w:szCs w:val="24"/>
        </w:rPr>
      </w:pPr>
      <w:bookmarkStart w:id="29" w:name="_Toc435773287"/>
      <w:bookmarkStart w:id="30" w:name="_Toc435956276"/>
      <w:bookmarkStart w:id="31" w:name="_Toc474919097"/>
      <w:bookmarkStart w:id="32" w:name="_Toc433274945"/>
      <w:bookmarkStart w:id="33" w:name="_Toc468376369"/>
      <w:bookmarkStart w:id="34" w:name="_Toc476643914"/>
      <w:bookmarkStart w:id="35" w:name="_Toc435956232"/>
      <w:r>
        <w:rPr>
          <w:rFonts w:hint="eastAsia" w:ascii="宋体" w:hAnsi="宋体"/>
          <w:sz w:val="24"/>
          <w:szCs w:val="24"/>
        </w:rPr>
        <w:t>15、招标文件的修改</w:t>
      </w:r>
      <w:bookmarkEnd w:id="29"/>
      <w:bookmarkEnd w:id="30"/>
      <w:bookmarkEnd w:id="31"/>
      <w:bookmarkEnd w:id="32"/>
      <w:bookmarkEnd w:id="33"/>
      <w:bookmarkEnd w:id="34"/>
      <w:bookmarkEnd w:id="35"/>
    </w:p>
    <w:p>
      <w:pPr>
        <w:spacing w:line="400" w:lineRule="exact"/>
        <w:ind w:left="480" w:hanging="480" w:hangingChars="200"/>
        <w:rPr>
          <w:rFonts w:ascii="宋体" w:hAnsi="宋体"/>
          <w:sz w:val="24"/>
          <w:szCs w:val="24"/>
        </w:rPr>
      </w:pPr>
      <w:r>
        <w:rPr>
          <w:rFonts w:hint="eastAsia" w:ascii="宋体" w:hAnsi="宋体"/>
          <w:sz w:val="24"/>
          <w:szCs w:val="24"/>
        </w:rPr>
        <w:t>15.1在投标截止时间3天前，招标人可以修改招标文件。如果修改招标文件的时间距投标截止时间不足3天，相应延长投标截止时间。</w:t>
      </w:r>
    </w:p>
    <w:p>
      <w:pPr>
        <w:spacing w:line="400" w:lineRule="exact"/>
        <w:ind w:left="537" w:leftChars="27" w:hanging="480" w:hangingChars="200"/>
        <w:rPr>
          <w:rFonts w:ascii="宋体" w:hAnsi="宋体"/>
          <w:sz w:val="24"/>
          <w:szCs w:val="24"/>
        </w:rPr>
      </w:pPr>
      <w:r>
        <w:rPr>
          <w:rFonts w:hint="eastAsia" w:ascii="宋体" w:hAnsi="宋体"/>
          <w:sz w:val="24"/>
          <w:szCs w:val="24"/>
        </w:rPr>
        <w:t>15.2</w:t>
      </w:r>
      <w:r>
        <w:rPr>
          <w:rFonts w:ascii="宋体" w:hAnsi="宋体"/>
          <w:sz w:val="24"/>
          <w:szCs w:val="24"/>
        </w:rPr>
        <w:t>当招标文件、招标文件的澄清、修改、补充等在同一内容的表述上不一致时，以最后发出的为准。</w:t>
      </w:r>
    </w:p>
    <w:p>
      <w:pPr>
        <w:spacing w:line="400" w:lineRule="exact"/>
        <w:jc w:val="center"/>
        <w:rPr>
          <w:rFonts w:ascii="宋体" w:hAnsi="宋体"/>
          <w:b/>
          <w:sz w:val="24"/>
          <w:szCs w:val="24"/>
        </w:rPr>
      </w:pPr>
      <w:r>
        <w:rPr>
          <w:rFonts w:hint="eastAsia" w:ascii="宋体" w:hAnsi="宋体"/>
          <w:b/>
          <w:sz w:val="24"/>
          <w:szCs w:val="24"/>
        </w:rPr>
        <w:t>（三）投标文件的编制</w:t>
      </w:r>
    </w:p>
    <w:p>
      <w:pPr>
        <w:spacing w:line="400" w:lineRule="exact"/>
        <w:ind w:left="480" w:hanging="480" w:hangingChars="200"/>
        <w:rPr>
          <w:rFonts w:ascii="宋体" w:hAnsi="宋体"/>
          <w:sz w:val="24"/>
          <w:szCs w:val="24"/>
        </w:rPr>
      </w:pPr>
      <w:r>
        <w:rPr>
          <w:rFonts w:hint="eastAsia" w:ascii="宋体" w:hAnsi="宋体"/>
          <w:sz w:val="24"/>
          <w:szCs w:val="24"/>
        </w:rPr>
        <w:t>16、投标文件必须使用简体中文,投标文件中若有英文或其他语言文字的资料，应翻译成中文。</w:t>
      </w:r>
    </w:p>
    <w:p>
      <w:pPr>
        <w:spacing w:line="400" w:lineRule="exact"/>
        <w:ind w:left="480" w:hanging="480" w:hangingChars="200"/>
        <w:rPr>
          <w:rFonts w:ascii="宋体" w:hAnsi="宋体"/>
          <w:sz w:val="24"/>
          <w:szCs w:val="24"/>
        </w:rPr>
      </w:pPr>
      <w:r>
        <w:rPr>
          <w:rFonts w:hint="eastAsia" w:ascii="宋体" w:hAnsi="宋体"/>
          <w:sz w:val="24"/>
          <w:szCs w:val="24"/>
        </w:rPr>
        <w:t>17、除非招标文件另有规定，投标文件应使用中华人民共和国法定计量单位。</w:t>
      </w:r>
    </w:p>
    <w:p>
      <w:pPr>
        <w:spacing w:line="400" w:lineRule="exact"/>
        <w:ind w:left="480" w:hanging="480" w:hangingChars="200"/>
        <w:rPr>
          <w:rFonts w:ascii="宋体" w:hAnsi="宋体"/>
          <w:sz w:val="24"/>
          <w:szCs w:val="24"/>
        </w:rPr>
      </w:pPr>
      <w:r>
        <w:rPr>
          <w:rFonts w:hint="eastAsia" w:ascii="宋体" w:hAnsi="宋体"/>
          <w:sz w:val="24"/>
          <w:szCs w:val="24"/>
        </w:rPr>
        <w:t>18、投标文件的编制要求</w:t>
      </w:r>
    </w:p>
    <w:p>
      <w:pPr>
        <w:spacing w:line="400" w:lineRule="exact"/>
        <w:ind w:left="480" w:hanging="480" w:hangingChars="200"/>
        <w:rPr>
          <w:rFonts w:ascii="宋体" w:hAnsi="宋体"/>
          <w:sz w:val="24"/>
          <w:szCs w:val="24"/>
        </w:rPr>
      </w:pPr>
      <w:r>
        <w:rPr>
          <w:rFonts w:hint="eastAsia" w:ascii="宋体" w:hAnsi="宋体"/>
          <w:sz w:val="24"/>
          <w:szCs w:val="24"/>
        </w:rPr>
        <w:t>18.1 投标文件除特殊规格的图纸或方案、图片资料等外，均应按A4规格制作并装订成册，为节约和环保，建议投标文件双面打印。</w:t>
      </w:r>
    </w:p>
    <w:p>
      <w:pPr>
        <w:spacing w:line="400" w:lineRule="exact"/>
        <w:ind w:left="480" w:hanging="480" w:hangingChars="200"/>
        <w:rPr>
          <w:rFonts w:ascii="宋体" w:hAnsi="宋体"/>
          <w:sz w:val="24"/>
          <w:szCs w:val="24"/>
        </w:rPr>
      </w:pPr>
      <w:r>
        <w:rPr>
          <w:rFonts w:hint="eastAsia" w:ascii="宋体" w:hAnsi="宋体"/>
          <w:sz w:val="24"/>
          <w:szCs w:val="24"/>
        </w:rPr>
        <w:t>18.2投标文件牢固装订成册。</w:t>
      </w:r>
    </w:p>
    <w:p>
      <w:pPr>
        <w:spacing w:line="400" w:lineRule="exact"/>
        <w:ind w:left="480" w:hanging="480" w:hangingChars="200"/>
        <w:rPr>
          <w:rFonts w:ascii="宋体" w:hAnsi="宋体"/>
          <w:sz w:val="24"/>
          <w:szCs w:val="24"/>
        </w:rPr>
      </w:pPr>
      <w:r>
        <w:rPr>
          <w:rFonts w:hint="eastAsia" w:ascii="宋体" w:hAnsi="宋体"/>
          <w:sz w:val="24"/>
          <w:szCs w:val="24"/>
        </w:rPr>
        <w:t>18.3投标文件需编排目录、标明连续页码。</w:t>
      </w:r>
    </w:p>
    <w:p>
      <w:pPr>
        <w:spacing w:line="400" w:lineRule="exact"/>
        <w:ind w:left="480" w:hanging="480" w:hangingChars="200"/>
        <w:rPr>
          <w:rFonts w:ascii="宋体" w:hAnsi="宋体"/>
          <w:sz w:val="24"/>
          <w:szCs w:val="24"/>
        </w:rPr>
      </w:pPr>
      <w:r>
        <w:rPr>
          <w:rFonts w:hint="eastAsia" w:ascii="宋体" w:hAnsi="宋体"/>
          <w:sz w:val="24"/>
          <w:szCs w:val="24"/>
        </w:rPr>
        <w:t>18.4投标文件应按照招标文件给出的投标文件格式按顺序编制。</w:t>
      </w:r>
    </w:p>
    <w:p>
      <w:pPr>
        <w:spacing w:line="400" w:lineRule="exact"/>
        <w:ind w:left="480" w:hanging="480" w:hangingChars="200"/>
        <w:rPr>
          <w:rFonts w:ascii="宋体" w:hAnsi="宋体"/>
          <w:sz w:val="24"/>
          <w:szCs w:val="24"/>
        </w:rPr>
      </w:pPr>
      <w:r>
        <w:rPr>
          <w:rFonts w:hint="eastAsia" w:ascii="宋体" w:hAnsi="宋体"/>
          <w:sz w:val="24"/>
          <w:szCs w:val="24"/>
        </w:rPr>
        <w:t>19、投标内容填写说明</w:t>
      </w:r>
    </w:p>
    <w:p>
      <w:pPr>
        <w:spacing w:line="400" w:lineRule="exact"/>
        <w:ind w:left="480" w:hanging="480" w:hangingChars="200"/>
        <w:rPr>
          <w:rFonts w:ascii="宋体" w:hAnsi="宋体"/>
          <w:sz w:val="24"/>
          <w:szCs w:val="24"/>
        </w:rPr>
      </w:pPr>
      <w:r>
        <w:rPr>
          <w:rFonts w:hint="eastAsia" w:ascii="宋体" w:hAnsi="宋体"/>
          <w:sz w:val="24"/>
          <w:szCs w:val="24"/>
        </w:rPr>
        <w:t>19.1投标人应在认真阅读招标文件所有内容的基础上，按照招标文件的要求编制完整的投标文件。投标文件应按照招标文件中规定的统一格式填写，严格按照规定的顺序装订成册并编制目录，混乱的编排导致投标文件被误读或评委查找不到有效文件是投标人的风险。</w:t>
      </w:r>
    </w:p>
    <w:p>
      <w:pPr>
        <w:spacing w:line="400" w:lineRule="exact"/>
        <w:ind w:left="480" w:hanging="480" w:hangingChars="200"/>
        <w:rPr>
          <w:rFonts w:ascii="宋体" w:hAnsi="宋体"/>
          <w:sz w:val="24"/>
          <w:szCs w:val="24"/>
        </w:rPr>
      </w:pPr>
      <w:r>
        <w:rPr>
          <w:rFonts w:hint="eastAsia" w:ascii="宋体" w:hAnsi="宋体"/>
          <w:sz w:val="24"/>
          <w:szCs w:val="24"/>
        </w:rPr>
        <w:t>19.2投标人必须保证投标文件所提供的全部资料真实可靠，并接受招标人对其中任何资料进一步审查的要求。</w:t>
      </w:r>
    </w:p>
    <w:p>
      <w:pPr>
        <w:spacing w:line="400" w:lineRule="exact"/>
        <w:ind w:left="480" w:hanging="480" w:hangingChars="200"/>
        <w:rPr>
          <w:rFonts w:ascii="宋体" w:hAnsi="宋体"/>
          <w:sz w:val="24"/>
          <w:szCs w:val="24"/>
        </w:rPr>
      </w:pPr>
      <w:r>
        <w:rPr>
          <w:rFonts w:hint="eastAsia" w:ascii="宋体" w:hAnsi="宋体"/>
          <w:sz w:val="24"/>
          <w:szCs w:val="24"/>
        </w:rPr>
        <w:t>19.3《开标一览表》是在开标后由评委自行查验的内容，按格式填写、统一规范。</w:t>
      </w:r>
    </w:p>
    <w:p>
      <w:pPr>
        <w:spacing w:line="400" w:lineRule="exact"/>
        <w:ind w:left="480" w:hanging="480" w:hangingChars="200"/>
        <w:rPr>
          <w:rFonts w:ascii="宋体" w:hAnsi="宋体"/>
          <w:sz w:val="24"/>
          <w:szCs w:val="24"/>
        </w:rPr>
      </w:pPr>
      <w:r>
        <w:rPr>
          <w:rFonts w:hint="eastAsia" w:ascii="宋体" w:hAnsi="宋体"/>
          <w:sz w:val="24"/>
          <w:szCs w:val="24"/>
        </w:rPr>
        <w:t>19.4投标文件须对招标文件中的内容做出实质性和完整的响应，否则其投标将被拒绝。如果投标文件填报的内容资料不详，或没有提供招标文件中所要求的全部资料及数据，可能会导致投标被拒绝。</w:t>
      </w:r>
    </w:p>
    <w:p>
      <w:pPr>
        <w:spacing w:line="400" w:lineRule="exact"/>
        <w:ind w:left="480" w:hanging="480" w:hangingChars="200"/>
        <w:rPr>
          <w:rFonts w:ascii="宋体" w:hAnsi="宋体"/>
          <w:sz w:val="24"/>
          <w:szCs w:val="24"/>
        </w:rPr>
      </w:pPr>
      <w:r>
        <w:rPr>
          <w:rFonts w:hint="eastAsia" w:ascii="宋体" w:hAnsi="宋体"/>
          <w:sz w:val="24"/>
          <w:szCs w:val="24"/>
        </w:rPr>
        <w:t>20、投标报价</w:t>
      </w:r>
    </w:p>
    <w:p>
      <w:pPr>
        <w:spacing w:line="400" w:lineRule="exact"/>
        <w:ind w:left="480" w:hanging="480" w:hangingChars="200"/>
        <w:rPr>
          <w:rFonts w:ascii="宋体" w:hAnsi="宋体"/>
          <w:sz w:val="24"/>
          <w:szCs w:val="24"/>
        </w:rPr>
      </w:pPr>
      <w:r>
        <w:rPr>
          <w:rFonts w:hint="eastAsia" w:ascii="宋体" w:hAnsi="宋体"/>
          <w:sz w:val="24"/>
          <w:szCs w:val="24"/>
        </w:rPr>
        <w:t>20.1除非招标文件另有规定，投标文件应使用人民币填报所有报价。投标人在填写投标报价时，金额单位要统一，数字、文字要清晰。</w:t>
      </w:r>
    </w:p>
    <w:p>
      <w:pPr>
        <w:spacing w:line="400" w:lineRule="exact"/>
        <w:ind w:left="480" w:hanging="480" w:hangingChars="200"/>
        <w:rPr>
          <w:rFonts w:ascii="宋体" w:hAnsi="宋体"/>
          <w:sz w:val="24"/>
          <w:szCs w:val="24"/>
        </w:rPr>
      </w:pPr>
      <w:r>
        <w:rPr>
          <w:rFonts w:hint="eastAsia" w:ascii="宋体" w:hAnsi="宋体"/>
          <w:sz w:val="24"/>
          <w:szCs w:val="24"/>
        </w:rPr>
        <w:t>20.2投标文件的</w:t>
      </w:r>
      <w:r>
        <w:rPr>
          <w:rFonts w:hint="eastAsia" w:ascii="宋体" w:hAnsi="宋体"/>
          <w:sz w:val="24"/>
          <w:szCs w:val="24"/>
          <w:u w:val="single"/>
        </w:rPr>
        <w:t>货物服务投标清单一览表</w:t>
      </w:r>
      <w:r>
        <w:rPr>
          <w:rFonts w:hint="eastAsia" w:ascii="宋体" w:hAnsi="宋体"/>
          <w:sz w:val="24"/>
          <w:szCs w:val="24"/>
        </w:rPr>
        <w:t>上应根据投标文件格式要求清楚地标明投标货物服务的名称、品牌、规格型号、制造商/服务提供商、产地、单位，</w:t>
      </w:r>
      <w:r>
        <w:rPr>
          <w:rFonts w:hint="eastAsia" w:ascii="宋体" w:hAnsi="宋体"/>
          <w:sz w:val="24"/>
          <w:szCs w:val="24"/>
          <w:u w:val="single"/>
        </w:rPr>
        <w:t>货物服务报价一览表</w:t>
      </w:r>
      <w:r>
        <w:rPr>
          <w:rFonts w:hint="eastAsia" w:ascii="宋体" w:hAnsi="宋体"/>
          <w:sz w:val="24"/>
          <w:szCs w:val="24"/>
        </w:rPr>
        <w:t>上应根据投标文件格式要求清楚地标明投标货物服务的名称（规格型号）、单位、单价。</w:t>
      </w:r>
    </w:p>
    <w:p>
      <w:pPr>
        <w:spacing w:line="400" w:lineRule="exact"/>
        <w:ind w:left="480" w:hanging="480" w:hangingChars="200"/>
        <w:rPr>
          <w:rFonts w:ascii="宋体" w:hAnsi="宋体"/>
          <w:sz w:val="24"/>
          <w:szCs w:val="24"/>
        </w:rPr>
      </w:pPr>
      <w:r>
        <w:rPr>
          <w:rFonts w:hint="eastAsia" w:ascii="宋体" w:hAnsi="宋体"/>
          <w:sz w:val="24"/>
          <w:szCs w:val="24"/>
        </w:rPr>
        <w:t>20.2.1如果投标人在投标文件中没有列明货物服务的品牌、规格型号、制造商/服务提供商、产地，一旦中标，招标人有权进行指定且价格不作调整，投标人不得以投标文件中未详细列明为由而拒绝。每种货物服务只允许有一个报价。任何有选择的投标方案和报价将不予接受。</w:t>
      </w:r>
    </w:p>
    <w:p>
      <w:pPr>
        <w:spacing w:line="400" w:lineRule="exact"/>
        <w:ind w:left="480" w:hanging="480" w:hangingChars="200"/>
        <w:rPr>
          <w:rFonts w:ascii="宋体" w:hAnsi="宋体"/>
          <w:color w:val="FF0000"/>
          <w:sz w:val="24"/>
          <w:szCs w:val="24"/>
          <w:u w:val="double" w:color="FF0000"/>
        </w:rPr>
      </w:pPr>
      <w:r>
        <w:rPr>
          <w:rFonts w:hint="eastAsia" w:ascii="宋体" w:hAnsi="宋体"/>
          <w:sz w:val="24"/>
          <w:szCs w:val="24"/>
        </w:rPr>
        <w:t>20.3货物服务报价一览表中标明的单价应为履行合同的固定单价，不得以任何理由予以变更。</w:t>
      </w:r>
      <w:r>
        <w:rPr>
          <w:rFonts w:hint="eastAsia" w:ascii="宋体" w:hAnsi="宋体"/>
          <w:b/>
          <w:sz w:val="24"/>
          <w:szCs w:val="24"/>
        </w:rPr>
        <w:t>投标报价包含了交付使用前的全部费用，填报的单价包括货物购置费（包括所有主材、附件、备品备件及专用工具费等）、制作费、保险费、运输费、质保期内的维修费、验收费用、风险费、成品包装费、成品保护费及招标文件中要求的相关费用</w:t>
      </w:r>
      <w:r>
        <w:rPr>
          <w:rFonts w:ascii="宋体" w:hAnsi="宋体"/>
          <w:b/>
          <w:sz w:val="24"/>
          <w:szCs w:val="24"/>
        </w:rPr>
        <w:t xml:space="preserve"> </w:t>
      </w:r>
      <w:r>
        <w:rPr>
          <w:rFonts w:hint="eastAsia" w:ascii="宋体" w:hAnsi="宋体"/>
          <w:b/>
          <w:sz w:val="24"/>
          <w:szCs w:val="24"/>
        </w:rPr>
        <w:t>（及所有税金及合理利润）等。</w:t>
      </w:r>
    </w:p>
    <w:p>
      <w:pPr>
        <w:spacing w:line="400" w:lineRule="exact"/>
        <w:ind w:left="480" w:hanging="480" w:hangingChars="200"/>
        <w:rPr>
          <w:rFonts w:ascii="宋体" w:hAnsi="宋体"/>
          <w:sz w:val="24"/>
          <w:szCs w:val="24"/>
        </w:rPr>
      </w:pPr>
      <w:r>
        <w:rPr>
          <w:rFonts w:hint="eastAsia" w:ascii="宋体" w:hAnsi="宋体"/>
          <w:sz w:val="24"/>
          <w:szCs w:val="24"/>
        </w:rPr>
        <w:t>20.4投标报价中不得包含招标文件要求以外的内容（但为全面实现投标货物功能而必须配置的配套或辅助设施及相应技术措施除外，如投标文件中未列明这些设施或措施的费用，这些费用将被视为已包含在投标报价中），否则，在评标时不予核减，但在授予合同时，招标人有权将这部分价格从其中标价格中扣除。</w:t>
      </w:r>
    </w:p>
    <w:p>
      <w:pPr>
        <w:spacing w:line="400" w:lineRule="exact"/>
        <w:ind w:left="480" w:hanging="480" w:hangingChars="200"/>
        <w:rPr>
          <w:rFonts w:ascii="宋体" w:hAnsi="宋体"/>
          <w:sz w:val="24"/>
          <w:szCs w:val="24"/>
        </w:rPr>
      </w:pPr>
      <w:r>
        <w:rPr>
          <w:rFonts w:hint="eastAsia" w:ascii="宋体" w:hAnsi="宋体"/>
          <w:sz w:val="24"/>
          <w:szCs w:val="24"/>
        </w:rPr>
        <w:t>20.5投标人应负起审慎调查的责任，投标报价中不得缺漏招标文件所要求的内容。一经报价，除了不可抗力和招标人违约的情况外，不得以投标文件中没有列明细目为由要求增加或调整报价。在授予合同时，缺漏项目的报价视作已含在其他项目的报价中，这些项目将作为免费赠送而包含在合同内。</w:t>
      </w:r>
    </w:p>
    <w:p>
      <w:pPr>
        <w:spacing w:line="400" w:lineRule="exact"/>
        <w:ind w:left="480" w:hanging="480" w:hangingChars="200"/>
        <w:rPr>
          <w:rFonts w:ascii="宋体" w:hAnsi="宋体"/>
          <w:sz w:val="24"/>
          <w:szCs w:val="24"/>
        </w:rPr>
      </w:pPr>
      <w:r>
        <w:rPr>
          <w:rFonts w:hint="eastAsia" w:ascii="宋体" w:hAnsi="宋体"/>
          <w:sz w:val="24"/>
          <w:szCs w:val="24"/>
        </w:rPr>
        <w:t>20.6除招标文件中明确由招标人提供的货物/服务/零部件外，投标人不得将招标文件所要求的内容列为选购项，否则，评标时将把这部分价格计入其投标报价，但在授予合同时，这部分价格将从其中标价格中扣除而不予支付。</w:t>
      </w:r>
    </w:p>
    <w:p>
      <w:pPr>
        <w:spacing w:line="400" w:lineRule="exact"/>
        <w:ind w:left="480" w:hanging="480" w:hangingChars="200"/>
        <w:rPr>
          <w:rFonts w:ascii="宋体" w:hAnsi="宋体"/>
          <w:sz w:val="24"/>
          <w:szCs w:val="24"/>
        </w:rPr>
      </w:pPr>
      <w:r>
        <w:rPr>
          <w:rFonts w:hint="eastAsia" w:ascii="宋体" w:hAnsi="宋体"/>
          <w:sz w:val="24"/>
          <w:szCs w:val="24"/>
        </w:rPr>
        <w:t>20.7投标人不得将从第三方采购设备的随机备品、备件列为需要另行收费的备品、备件，否则在授予合同时将从投标报价中扣除这部分费用，但在计算评标价时这部分费用将不予扣除。</w:t>
      </w:r>
    </w:p>
    <w:p>
      <w:pPr>
        <w:spacing w:line="400" w:lineRule="exact"/>
        <w:ind w:left="480" w:hanging="480" w:hangingChars="200"/>
        <w:rPr>
          <w:rFonts w:hint="eastAsia" w:ascii="宋体" w:hAnsi="宋体"/>
          <w:sz w:val="24"/>
          <w:szCs w:val="24"/>
        </w:rPr>
      </w:pPr>
      <w:r>
        <w:rPr>
          <w:rFonts w:hint="eastAsia" w:ascii="宋体" w:hAnsi="宋体"/>
          <w:sz w:val="24"/>
          <w:szCs w:val="24"/>
        </w:rPr>
        <w:t>20.8投标人应根据货物的技术状况列出随机备品备件的清单，并将该备品备件价格计入投标报价，若所提供的产品无需备件，则应在投标文件中说明；无论投标人在报价中列明随机备品备件及价格多少，在质保期内招标人均无需为维护维修保养所需的专用工具和备品备件另行支付费用。</w:t>
      </w:r>
    </w:p>
    <w:p>
      <w:pPr>
        <w:spacing w:line="400" w:lineRule="exact"/>
        <w:ind w:left="482" w:hanging="482" w:hangingChars="200"/>
        <w:rPr>
          <w:rFonts w:ascii="宋体" w:hAnsi="宋体"/>
          <w:b/>
          <w:sz w:val="24"/>
        </w:rPr>
      </w:pPr>
      <w:r>
        <w:rPr>
          <w:rFonts w:hint="eastAsia" w:ascii="宋体" w:hAnsi="宋体"/>
          <w:b/>
          <w:sz w:val="24"/>
        </w:rPr>
        <w:t>20.9中标人应承担货物验收前的一切损耗（包括但不限于运输及其它因素可能造成的材料损耗，且该部分价格已含在投标报价内）。</w:t>
      </w:r>
    </w:p>
    <w:p>
      <w:pPr>
        <w:spacing w:line="400" w:lineRule="exact"/>
        <w:ind w:left="480" w:hanging="480" w:hangingChars="200"/>
        <w:rPr>
          <w:rFonts w:ascii="宋体" w:hAnsi="宋体"/>
          <w:sz w:val="24"/>
          <w:szCs w:val="24"/>
        </w:rPr>
      </w:pPr>
      <w:r>
        <w:rPr>
          <w:rFonts w:hint="eastAsia" w:ascii="宋体" w:hAnsi="宋体"/>
          <w:sz w:val="24"/>
          <w:szCs w:val="24"/>
        </w:rPr>
        <w:t>21、投标保证金（本项目不采用）</w:t>
      </w:r>
    </w:p>
    <w:p>
      <w:pPr>
        <w:spacing w:line="400" w:lineRule="exact"/>
        <w:ind w:left="480" w:hanging="480" w:hangingChars="200"/>
        <w:rPr>
          <w:rFonts w:ascii="宋体" w:hAnsi="宋体"/>
          <w:sz w:val="24"/>
          <w:szCs w:val="24"/>
        </w:rPr>
      </w:pPr>
      <w:r>
        <w:rPr>
          <w:rFonts w:hint="eastAsia" w:ascii="宋体" w:hAnsi="宋体"/>
          <w:sz w:val="24"/>
          <w:szCs w:val="24"/>
        </w:rPr>
        <w:t>22、在特殊情况下，招标人可与中标人协商延长投标文件的有效期。招标人延长有效期的要约将向所有投标人予以公示。在七日内，若中标人没有提出书面异议，视为同意招标人的要求。中标人可以拒绝接受延期要求，同意延长有效期的中标人不能修改招标文件的其他实质性内容。</w:t>
      </w:r>
    </w:p>
    <w:p>
      <w:pPr>
        <w:spacing w:line="400" w:lineRule="exact"/>
        <w:ind w:left="480" w:hanging="480" w:hangingChars="200"/>
        <w:rPr>
          <w:rFonts w:ascii="宋体" w:hAnsi="宋体"/>
          <w:sz w:val="24"/>
          <w:szCs w:val="24"/>
        </w:rPr>
      </w:pPr>
      <w:r>
        <w:rPr>
          <w:rFonts w:hint="eastAsia" w:ascii="宋体" w:hAnsi="宋体"/>
          <w:sz w:val="24"/>
          <w:szCs w:val="24"/>
        </w:rPr>
        <w:t>23、投标文件的正本和副本</w:t>
      </w:r>
    </w:p>
    <w:p>
      <w:pPr>
        <w:spacing w:line="400" w:lineRule="exact"/>
        <w:ind w:left="480" w:hanging="480" w:hangingChars="200"/>
        <w:rPr>
          <w:rFonts w:ascii="宋体" w:hAnsi="宋体"/>
          <w:sz w:val="24"/>
          <w:szCs w:val="24"/>
        </w:rPr>
      </w:pPr>
      <w:r>
        <w:rPr>
          <w:rFonts w:hint="eastAsia" w:ascii="宋体" w:hAnsi="宋体"/>
          <w:sz w:val="24"/>
          <w:szCs w:val="24"/>
        </w:rPr>
        <w:t>23.1投标文件必须按照要求制作、装订。</w:t>
      </w:r>
    </w:p>
    <w:p>
      <w:pPr>
        <w:spacing w:line="400" w:lineRule="exact"/>
        <w:ind w:left="480" w:hanging="480" w:hangingChars="200"/>
        <w:rPr>
          <w:rFonts w:ascii="宋体" w:hAnsi="宋体"/>
          <w:sz w:val="24"/>
          <w:szCs w:val="24"/>
        </w:rPr>
      </w:pPr>
      <w:r>
        <w:rPr>
          <w:rFonts w:hint="eastAsia" w:ascii="宋体" w:hAnsi="宋体"/>
          <w:sz w:val="24"/>
          <w:szCs w:val="24"/>
        </w:rPr>
        <w:t>23.1.1必须提供投标文件一式</w:t>
      </w:r>
      <w:r>
        <w:rPr>
          <w:rFonts w:hint="eastAsia" w:ascii="宋体" w:hAnsi="宋体"/>
          <w:sz w:val="24"/>
          <w:szCs w:val="24"/>
          <w:lang w:val="en-US" w:eastAsia="zh-CN"/>
        </w:rPr>
        <w:t>5</w:t>
      </w:r>
      <w:r>
        <w:rPr>
          <w:rFonts w:hint="eastAsia" w:ascii="宋体" w:hAnsi="宋体"/>
          <w:sz w:val="24"/>
          <w:szCs w:val="24"/>
        </w:rPr>
        <w:t>份，其中正本</w:t>
      </w:r>
      <w:r>
        <w:rPr>
          <w:rFonts w:ascii="宋体" w:hAnsi="宋体"/>
          <w:sz w:val="24"/>
          <w:szCs w:val="24"/>
        </w:rPr>
        <w:t>1</w:t>
      </w:r>
      <w:r>
        <w:rPr>
          <w:rFonts w:hint="eastAsia" w:ascii="宋体" w:hAnsi="宋体"/>
          <w:sz w:val="24"/>
          <w:szCs w:val="24"/>
        </w:rPr>
        <w:t>份，副本</w:t>
      </w:r>
      <w:r>
        <w:rPr>
          <w:rFonts w:hint="eastAsia" w:ascii="宋体" w:hAnsi="宋体"/>
          <w:sz w:val="24"/>
          <w:szCs w:val="24"/>
          <w:lang w:val="en-US" w:eastAsia="zh-CN"/>
        </w:rPr>
        <w:t>4</w:t>
      </w:r>
      <w:r>
        <w:rPr>
          <w:rFonts w:hint="eastAsia" w:ascii="宋体" w:hAnsi="宋体"/>
          <w:sz w:val="24"/>
          <w:szCs w:val="24"/>
        </w:rPr>
        <w:t>份</w:t>
      </w:r>
    </w:p>
    <w:p>
      <w:pPr>
        <w:spacing w:line="400" w:lineRule="exact"/>
        <w:ind w:left="480" w:hanging="480" w:hangingChars="200"/>
        <w:rPr>
          <w:rFonts w:ascii="宋体" w:hAnsi="宋体"/>
          <w:sz w:val="24"/>
          <w:szCs w:val="24"/>
        </w:rPr>
      </w:pPr>
      <w:r>
        <w:rPr>
          <w:rFonts w:hint="eastAsia" w:ascii="宋体" w:hAnsi="宋体"/>
          <w:sz w:val="24"/>
          <w:szCs w:val="24"/>
        </w:rPr>
        <w:t>23.1.2每份投标文件须清楚地标明“投标文件正本”、 “投标文件副本”字样。</w:t>
      </w:r>
    </w:p>
    <w:p>
      <w:pPr>
        <w:spacing w:line="400" w:lineRule="exact"/>
        <w:ind w:left="480" w:hanging="480" w:hangingChars="200"/>
        <w:rPr>
          <w:rFonts w:ascii="宋体" w:hAnsi="宋体"/>
          <w:sz w:val="24"/>
          <w:szCs w:val="24"/>
        </w:rPr>
      </w:pPr>
      <w:r>
        <w:rPr>
          <w:rFonts w:hint="eastAsia" w:ascii="宋体" w:hAnsi="宋体"/>
          <w:sz w:val="24"/>
          <w:szCs w:val="24"/>
        </w:rPr>
        <w:t>23.2投标文件的正本按照要求签署和盖章后，投标文件的副本可以复印。</w:t>
      </w:r>
    </w:p>
    <w:p>
      <w:pPr>
        <w:spacing w:line="400" w:lineRule="exact"/>
        <w:ind w:left="480" w:hanging="480" w:hangingChars="200"/>
        <w:rPr>
          <w:rFonts w:ascii="宋体" w:hAnsi="宋体"/>
          <w:sz w:val="24"/>
          <w:szCs w:val="24"/>
        </w:rPr>
      </w:pPr>
      <w:r>
        <w:rPr>
          <w:rFonts w:hint="eastAsia" w:ascii="宋体" w:hAnsi="宋体"/>
          <w:sz w:val="24"/>
          <w:szCs w:val="24"/>
        </w:rPr>
        <w:t>23.3投标文件不论是书写、打印或复制，均应做到清晰、整洁、规范。一旦发现正本与副本不一致的，以正本为准。</w:t>
      </w:r>
    </w:p>
    <w:p>
      <w:pPr>
        <w:spacing w:line="400" w:lineRule="exact"/>
        <w:ind w:left="480" w:hanging="480" w:hangingChars="200"/>
        <w:rPr>
          <w:rFonts w:ascii="宋体" w:hAnsi="宋体"/>
          <w:color w:val="000000"/>
          <w:sz w:val="24"/>
          <w:szCs w:val="24"/>
        </w:rPr>
      </w:pPr>
      <w:r>
        <w:rPr>
          <w:rFonts w:hint="eastAsia" w:ascii="宋体" w:hAnsi="宋体"/>
          <w:color w:val="000000"/>
          <w:sz w:val="24"/>
          <w:szCs w:val="24"/>
        </w:rPr>
        <w:t>23.4投标人递交的所有投标文件（包括正本、所有副本）均不退还，请投标人自行做好备份。</w:t>
      </w:r>
    </w:p>
    <w:p>
      <w:pPr>
        <w:spacing w:line="400" w:lineRule="exact"/>
        <w:ind w:left="480" w:hanging="480" w:hangingChars="200"/>
        <w:rPr>
          <w:rFonts w:ascii="宋体" w:hAnsi="宋体"/>
          <w:sz w:val="24"/>
          <w:szCs w:val="24"/>
        </w:rPr>
      </w:pPr>
      <w:r>
        <w:rPr>
          <w:rFonts w:hint="eastAsia" w:ascii="宋体" w:hAnsi="宋体"/>
          <w:sz w:val="24"/>
          <w:szCs w:val="24"/>
        </w:rPr>
        <w:t>23.5因正本与副本内容不一致或未按照招标文件要求编制而导致投标文件被误读或废标等不利后果由投标人承担。</w:t>
      </w:r>
    </w:p>
    <w:p>
      <w:pPr>
        <w:spacing w:line="400" w:lineRule="exact"/>
        <w:ind w:left="480" w:hanging="480" w:hangingChars="200"/>
        <w:rPr>
          <w:rFonts w:ascii="宋体" w:hAnsi="宋体"/>
          <w:sz w:val="24"/>
          <w:szCs w:val="24"/>
        </w:rPr>
      </w:pPr>
      <w:r>
        <w:rPr>
          <w:rFonts w:hint="eastAsia" w:ascii="宋体" w:hAnsi="宋体"/>
          <w:sz w:val="24"/>
          <w:szCs w:val="24"/>
        </w:rPr>
        <w:t>24、投标文件的签署、盖章</w:t>
      </w:r>
    </w:p>
    <w:p>
      <w:pPr>
        <w:spacing w:line="400" w:lineRule="exact"/>
        <w:ind w:left="480" w:hanging="480" w:hangingChars="200"/>
        <w:rPr>
          <w:rFonts w:ascii="宋体" w:hAnsi="宋体"/>
          <w:sz w:val="24"/>
          <w:szCs w:val="24"/>
        </w:rPr>
      </w:pPr>
      <w:r>
        <w:rPr>
          <w:rFonts w:hint="eastAsia" w:ascii="宋体" w:hAnsi="宋体"/>
          <w:sz w:val="24"/>
          <w:szCs w:val="24"/>
        </w:rPr>
        <w:t>24.1在招标文件给出的投标文件格式中，凡是标明由投标人盖章的地方，投标文件的正本都必须盖投标人统一对外的公章（与企业名称完全一致的公章，下同）；凡是标明由投标人法定代表人或其委托代理人签字的地方，投标文件的正本都必须由法定代表人或其委托代理人签署姓名全称。</w:t>
      </w:r>
    </w:p>
    <w:p>
      <w:pPr>
        <w:spacing w:line="400" w:lineRule="exact"/>
        <w:ind w:left="480" w:hanging="480" w:hangingChars="200"/>
        <w:rPr>
          <w:rFonts w:ascii="宋体" w:hAnsi="宋体"/>
          <w:sz w:val="24"/>
          <w:szCs w:val="24"/>
        </w:rPr>
      </w:pPr>
      <w:r>
        <w:rPr>
          <w:rFonts w:hint="eastAsia" w:ascii="宋体" w:hAnsi="宋体"/>
          <w:sz w:val="24"/>
          <w:szCs w:val="24"/>
        </w:rPr>
        <w:t>24.2投标文件如有修改错漏处，必须由投标人的法定代表人或其委托代理人签名。</w:t>
      </w:r>
    </w:p>
    <w:p>
      <w:pPr>
        <w:spacing w:line="400" w:lineRule="exact"/>
        <w:ind w:left="480" w:hanging="480" w:hangingChars="200"/>
        <w:rPr>
          <w:rFonts w:ascii="宋体" w:hAnsi="宋体"/>
          <w:sz w:val="24"/>
          <w:szCs w:val="24"/>
        </w:rPr>
      </w:pPr>
      <w:r>
        <w:rPr>
          <w:rFonts w:hint="eastAsia" w:ascii="宋体" w:hAnsi="宋体"/>
          <w:sz w:val="24"/>
          <w:szCs w:val="24"/>
        </w:rPr>
        <w:t>25、投标文件的密封</w:t>
      </w:r>
    </w:p>
    <w:p>
      <w:pPr>
        <w:spacing w:line="400" w:lineRule="exact"/>
        <w:ind w:left="480" w:hanging="480" w:hangingChars="200"/>
        <w:rPr>
          <w:rFonts w:hint="eastAsia" w:ascii="宋体" w:hAnsi="宋体"/>
          <w:bCs/>
          <w:color w:val="000000"/>
          <w:sz w:val="24"/>
          <w:szCs w:val="24"/>
        </w:rPr>
      </w:pPr>
      <w:r>
        <w:rPr>
          <w:rFonts w:hint="eastAsia" w:ascii="宋体" w:hAnsi="宋体"/>
          <w:sz w:val="24"/>
          <w:szCs w:val="24"/>
        </w:rPr>
        <w:t>25.1投标文件应装订成册并密装。密装应该严密、不易破损。</w:t>
      </w:r>
      <w:r>
        <w:rPr>
          <w:rFonts w:hint="eastAsia" w:ascii="宋体" w:hAnsi="宋体"/>
          <w:bCs/>
          <w:color w:val="000000"/>
          <w:sz w:val="24"/>
          <w:szCs w:val="24"/>
        </w:rPr>
        <w:t>投标文件的密封袋上应加盖投标人单位公章</w:t>
      </w:r>
      <w:r>
        <w:rPr>
          <w:rFonts w:hint="eastAsia" w:ascii="宋体" w:hAnsi="宋体"/>
          <w:kern w:val="0"/>
          <w:sz w:val="24"/>
          <w:szCs w:val="24"/>
        </w:rPr>
        <w:t>或法定代表人(或其委托代理人)签名（章）</w:t>
      </w:r>
      <w:r>
        <w:rPr>
          <w:rFonts w:hint="eastAsia" w:ascii="宋体" w:hAnsi="宋体"/>
          <w:bCs/>
          <w:color w:val="000000"/>
          <w:sz w:val="24"/>
          <w:szCs w:val="24"/>
        </w:rPr>
        <w:t>。</w:t>
      </w:r>
    </w:p>
    <w:p>
      <w:pPr>
        <w:spacing w:line="400" w:lineRule="exact"/>
        <w:ind w:left="482" w:hanging="482" w:hangingChars="200"/>
        <w:jc w:val="center"/>
        <w:rPr>
          <w:rFonts w:ascii="宋体" w:hAnsi="宋体"/>
          <w:b/>
          <w:sz w:val="24"/>
          <w:szCs w:val="24"/>
        </w:rPr>
      </w:pPr>
      <w:r>
        <w:rPr>
          <w:rFonts w:hint="eastAsia" w:ascii="宋体" w:hAnsi="宋体"/>
          <w:b/>
          <w:sz w:val="24"/>
          <w:szCs w:val="24"/>
        </w:rPr>
        <w:t>（四）投标文件的递交</w:t>
      </w:r>
      <w:bookmarkStart w:id="36" w:name="_Hlt509649414"/>
      <w:bookmarkEnd w:id="36"/>
    </w:p>
    <w:p>
      <w:pPr>
        <w:spacing w:line="400" w:lineRule="exact"/>
        <w:ind w:left="480" w:hanging="480" w:hangingChars="200"/>
        <w:rPr>
          <w:rFonts w:ascii="宋体" w:hAnsi="宋体"/>
          <w:sz w:val="24"/>
          <w:szCs w:val="24"/>
        </w:rPr>
      </w:pPr>
      <w:r>
        <w:rPr>
          <w:rFonts w:hint="eastAsia" w:ascii="宋体" w:hAnsi="宋体"/>
          <w:sz w:val="24"/>
          <w:szCs w:val="24"/>
        </w:rPr>
        <w:t>26、出现以下情形之一的，招标人对投标人递交的投标文件均不送交评委会评审：</w:t>
      </w:r>
    </w:p>
    <w:p>
      <w:pPr>
        <w:spacing w:line="400" w:lineRule="exact"/>
        <w:ind w:left="480" w:hanging="480" w:hangingChars="200"/>
        <w:rPr>
          <w:rFonts w:ascii="宋体" w:hAnsi="宋体"/>
          <w:sz w:val="24"/>
          <w:szCs w:val="24"/>
        </w:rPr>
      </w:pPr>
      <w:r>
        <w:rPr>
          <w:rFonts w:hint="eastAsia" w:ascii="宋体" w:hAnsi="宋体"/>
          <w:sz w:val="24"/>
          <w:szCs w:val="24"/>
        </w:rPr>
        <w:t>26.1投标人的投标文件未按本章要求密封；</w:t>
      </w:r>
    </w:p>
    <w:p>
      <w:pPr>
        <w:spacing w:line="400" w:lineRule="exact"/>
        <w:ind w:left="480" w:hanging="480" w:hangingChars="200"/>
        <w:rPr>
          <w:rFonts w:ascii="宋体" w:hAnsi="宋体"/>
          <w:sz w:val="24"/>
          <w:szCs w:val="24"/>
        </w:rPr>
      </w:pPr>
      <w:r>
        <w:rPr>
          <w:rFonts w:hint="eastAsia" w:ascii="宋体" w:hAnsi="宋体"/>
          <w:sz w:val="24"/>
          <w:szCs w:val="24"/>
        </w:rPr>
        <w:t>26.2逾期递交的或者未递交至指定地点的投标文件；</w:t>
      </w:r>
    </w:p>
    <w:p>
      <w:pPr>
        <w:spacing w:line="400" w:lineRule="exact"/>
        <w:ind w:left="482" w:hanging="482" w:hangingChars="200"/>
        <w:rPr>
          <w:rFonts w:hint="eastAsia" w:ascii="宋体" w:hAnsi="宋体"/>
          <w:b/>
          <w:sz w:val="24"/>
          <w:szCs w:val="24"/>
        </w:rPr>
      </w:pPr>
      <w:r>
        <w:rPr>
          <w:rFonts w:hint="eastAsia" w:ascii="宋体" w:hAnsi="宋体"/>
          <w:b/>
          <w:sz w:val="24"/>
          <w:szCs w:val="24"/>
        </w:rPr>
        <w:t>26.3未提供委托代理人本人有效身份证原件的；（若法定代表人到场的，须提供法定代表人本人有效身份证原件）（委托代理人或法定代表人身份的核查以投标文件中递交的授权委托书或投标人营业执照为准）</w:t>
      </w:r>
    </w:p>
    <w:p>
      <w:pPr>
        <w:spacing w:line="400" w:lineRule="exact"/>
        <w:ind w:left="480" w:hanging="480" w:hangingChars="200"/>
        <w:rPr>
          <w:rFonts w:ascii="宋体" w:hAnsi="宋体"/>
          <w:sz w:val="24"/>
          <w:szCs w:val="24"/>
        </w:rPr>
      </w:pPr>
      <w:r>
        <w:rPr>
          <w:rFonts w:hint="eastAsia" w:ascii="宋体" w:hAnsi="宋体"/>
          <w:sz w:val="24"/>
          <w:szCs w:val="24"/>
        </w:rPr>
        <w:t>27、投标人在递交投标文件后，如果有修改和撤回要求，必须以书面形式通知招标人（招标代理机构），使招标人（招标代理机构）能在投标截止时间前收到。其修改书或撤回通知书，应由委托代理人签署，并在信封上注明“修改”或“撤回”字样。</w:t>
      </w:r>
    </w:p>
    <w:p>
      <w:pPr>
        <w:spacing w:line="400" w:lineRule="exact"/>
        <w:ind w:left="480" w:hanging="480" w:hangingChars="200"/>
        <w:rPr>
          <w:rFonts w:ascii="宋体" w:hAnsi="宋体"/>
          <w:sz w:val="24"/>
          <w:szCs w:val="24"/>
        </w:rPr>
      </w:pPr>
      <w:r>
        <w:rPr>
          <w:rFonts w:hint="eastAsia" w:ascii="宋体" w:hAnsi="宋体"/>
          <w:sz w:val="24"/>
          <w:szCs w:val="24"/>
        </w:rPr>
        <w:t>28、在开标后至投标有效期满之间的这段时间内，投标人不能撤回投标文件。</w:t>
      </w:r>
    </w:p>
    <w:p>
      <w:pPr>
        <w:spacing w:line="400" w:lineRule="exact"/>
        <w:jc w:val="center"/>
        <w:rPr>
          <w:rFonts w:ascii="宋体" w:hAnsi="宋体"/>
          <w:b/>
          <w:sz w:val="24"/>
          <w:szCs w:val="24"/>
        </w:rPr>
      </w:pPr>
      <w:r>
        <w:rPr>
          <w:rFonts w:hint="eastAsia" w:ascii="宋体" w:hAnsi="宋体"/>
          <w:b/>
          <w:sz w:val="24"/>
          <w:szCs w:val="24"/>
        </w:rPr>
        <w:t>（五）开标</w:t>
      </w:r>
    </w:p>
    <w:p>
      <w:pPr>
        <w:spacing w:line="400" w:lineRule="exact"/>
        <w:ind w:left="480" w:hanging="480" w:hangingChars="200"/>
        <w:rPr>
          <w:rFonts w:ascii="宋体" w:hAnsi="宋体"/>
          <w:sz w:val="24"/>
          <w:szCs w:val="24"/>
        </w:rPr>
      </w:pPr>
      <w:r>
        <w:rPr>
          <w:rFonts w:hint="eastAsia" w:ascii="宋体" w:hAnsi="宋体"/>
          <w:sz w:val="24"/>
          <w:szCs w:val="24"/>
        </w:rPr>
        <w:t>29、开标。招标人将在规定的时间、地点组织开标，欢迎投标人委派代表参加。</w:t>
      </w:r>
    </w:p>
    <w:p>
      <w:pPr>
        <w:spacing w:line="400" w:lineRule="exact"/>
        <w:ind w:left="480" w:hanging="480" w:hangingChars="200"/>
        <w:rPr>
          <w:rFonts w:ascii="宋体" w:hAnsi="宋体"/>
          <w:sz w:val="24"/>
          <w:szCs w:val="24"/>
        </w:rPr>
      </w:pPr>
      <w:r>
        <w:rPr>
          <w:rFonts w:hint="eastAsia" w:ascii="宋体" w:hAnsi="宋体"/>
          <w:sz w:val="24"/>
          <w:szCs w:val="24"/>
        </w:rPr>
        <w:t>29.1主持人按下列程序进行开标：</w:t>
      </w:r>
    </w:p>
    <w:p>
      <w:pPr>
        <w:snapToGrid w:val="0"/>
        <w:spacing w:line="400" w:lineRule="exact"/>
        <w:rPr>
          <w:rFonts w:ascii="宋体" w:hAnsi="宋体"/>
          <w:sz w:val="24"/>
          <w:szCs w:val="24"/>
        </w:rPr>
      </w:pPr>
      <w:r>
        <w:rPr>
          <w:rFonts w:hint="eastAsia" w:ascii="宋体" w:hAnsi="宋体"/>
          <w:sz w:val="24"/>
          <w:szCs w:val="24"/>
        </w:rPr>
        <w:t>29.1.1宣布开标纪律；</w:t>
      </w:r>
    </w:p>
    <w:p>
      <w:pPr>
        <w:snapToGrid w:val="0"/>
        <w:spacing w:line="400" w:lineRule="exact"/>
        <w:rPr>
          <w:rFonts w:ascii="宋体" w:hAnsi="宋体"/>
          <w:sz w:val="24"/>
          <w:szCs w:val="24"/>
        </w:rPr>
      </w:pPr>
      <w:r>
        <w:rPr>
          <w:rFonts w:hint="eastAsia" w:ascii="宋体" w:hAnsi="宋体"/>
          <w:sz w:val="24"/>
          <w:szCs w:val="24"/>
        </w:rPr>
        <w:t>29.1.2公布在投标截止时间前递交投标文件的投标人名称；</w:t>
      </w:r>
    </w:p>
    <w:p>
      <w:pPr>
        <w:snapToGrid w:val="0"/>
        <w:spacing w:line="400" w:lineRule="exact"/>
        <w:rPr>
          <w:rFonts w:ascii="宋体" w:hAnsi="宋体"/>
          <w:sz w:val="24"/>
          <w:szCs w:val="24"/>
        </w:rPr>
      </w:pPr>
      <w:r>
        <w:rPr>
          <w:rFonts w:hint="eastAsia" w:ascii="宋体" w:hAnsi="宋体"/>
          <w:sz w:val="24"/>
          <w:szCs w:val="24"/>
        </w:rPr>
        <w:t>29.1.3宣布唱标人、记录人、监标人等有关人员姓名；</w:t>
      </w:r>
    </w:p>
    <w:p>
      <w:pPr>
        <w:snapToGrid w:val="0"/>
        <w:spacing w:line="400" w:lineRule="exact"/>
        <w:rPr>
          <w:rFonts w:ascii="宋体" w:hAnsi="宋体"/>
          <w:sz w:val="24"/>
          <w:szCs w:val="24"/>
        </w:rPr>
      </w:pPr>
      <w:r>
        <w:rPr>
          <w:rFonts w:hint="eastAsia" w:ascii="宋体" w:hAnsi="宋体"/>
          <w:sz w:val="24"/>
          <w:szCs w:val="24"/>
        </w:rPr>
        <w:t>29.1.4按照投标人须知前附表规定检查投标文件的密封情况；</w:t>
      </w:r>
    </w:p>
    <w:p>
      <w:pPr>
        <w:snapToGrid w:val="0"/>
        <w:spacing w:line="400" w:lineRule="exact"/>
        <w:rPr>
          <w:rFonts w:ascii="宋体" w:hAnsi="宋体"/>
          <w:sz w:val="24"/>
          <w:szCs w:val="24"/>
        </w:rPr>
      </w:pPr>
      <w:r>
        <w:rPr>
          <w:rFonts w:hint="eastAsia" w:ascii="宋体" w:hAnsi="宋体"/>
          <w:sz w:val="24"/>
          <w:szCs w:val="24"/>
        </w:rPr>
        <w:t>29.1.5</w:t>
      </w:r>
      <w:r>
        <w:rPr>
          <w:rFonts w:hint="eastAsia" w:ascii="宋体" w:hAnsi="宋体"/>
          <w:sz w:val="24"/>
        </w:rPr>
        <w:t>经确认无误后交至评标委员会进行评标。</w:t>
      </w:r>
    </w:p>
    <w:p>
      <w:pPr>
        <w:snapToGrid w:val="0"/>
        <w:spacing w:line="400" w:lineRule="exact"/>
        <w:rPr>
          <w:rFonts w:ascii="宋体" w:hAnsi="宋体"/>
          <w:sz w:val="24"/>
          <w:szCs w:val="24"/>
        </w:rPr>
      </w:pPr>
      <w:r>
        <w:rPr>
          <w:rFonts w:hint="eastAsia" w:ascii="宋体" w:hAnsi="宋体"/>
          <w:sz w:val="24"/>
          <w:szCs w:val="24"/>
        </w:rPr>
        <w:t>29.1.6开标结束。</w:t>
      </w:r>
    </w:p>
    <w:p>
      <w:pPr>
        <w:spacing w:line="400" w:lineRule="exact"/>
        <w:ind w:left="480" w:hanging="480" w:hangingChars="200"/>
        <w:rPr>
          <w:rFonts w:ascii="宋体" w:hAnsi="宋体"/>
          <w:sz w:val="24"/>
          <w:szCs w:val="24"/>
        </w:rPr>
      </w:pPr>
    </w:p>
    <w:p>
      <w:pPr>
        <w:spacing w:line="400" w:lineRule="exact"/>
        <w:jc w:val="center"/>
        <w:rPr>
          <w:rFonts w:ascii="宋体" w:hAnsi="宋体"/>
          <w:b/>
          <w:sz w:val="24"/>
          <w:szCs w:val="24"/>
        </w:rPr>
      </w:pPr>
      <w:r>
        <w:rPr>
          <w:rFonts w:hint="eastAsia" w:ascii="宋体" w:hAnsi="宋体"/>
          <w:b/>
          <w:sz w:val="24"/>
          <w:szCs w:val="24"/>
        </w:rPr>
        <w:t>（六）评标</w:t>
      </w:r>
    </w:p>
    <w:p>
      <w:pPr>
        <w:spacing w:line="400" w:lineRule="exact"/>
        <w:ind w:left="482" w:hanging="482" w:hangingChars="200"/>
        <w:jc w:val="center"/>
        <w:rPr>
          <w:rFonts w:hint="eastAsia" w:ascii="宋体" w:hAnsi="宋体"/>
          <w:b/>
          <w:sz w:val="24"/>
          <w:szCs w:val="24"/>
        </w:rPr>
      </w:pPr>
      <w:r>
        <w:rPr>
          <w:rFonts w:hint="eastAsia" w:ascii="宋体" w:hAnsi="宋体"/>
          <w:b/>
          <w:sz w:val="24"/>
          <w:szCs w:val="24"/>
        </w:rPr>
        <w:t>详见第四章“评标办法”</w:t>
      </w:r>
    </w:p>
    <w:p>
      <w:pPr>
        <w:spacing w:line="400" w:lineRule="exact"/>
        <w:ind w:left="482" w:hanging="482" w:hangingChars="200"/>
        <w:jc w:val="center"/>
        <w:rPr>
          <w:rFonts w:ascii="宋体" w:hAnsi="宋体"/>
          <w:b/>
          <w:sz w:val="24"/>
          <w:szCs w:val="24"/>
        </w:rPr>
      </w:pPr>
    </w:p>
    <w:p>
      <w:pPr>
        <w:spacing w:line="400" w:lineRule="exact"/>
        <w:jc w:val="center"/>
        <w:rPr>
          <w:rFonts w:ascii="宋体" w:hAnsi="宋体"/>
          <w:b/>
          <w:sz w:val="24"/>
          <w:szCs w:val="24"/>
        </w:rPr>
      </w:pPr>
      <w:r>
        <w:rPr>
          <w:rFonts w:hint="eastAsia" w:ascii="宋体" w:hAnsi="宋体"/>
          <w:b/>
          <w:sz w:val="24"/>
          <w:szCs w:val="24"/>
        </w:rPr>
        <w:t>（七）推荐中标候选人和授予合同</w:t>
      </w:r>
    </w:p>
    <w:p>
      <w:pPr>
        <w:spacing w:line="400" w:lineRule="exact"/>
        <w:ind w:left="480" w:hanging="480" w:hangingChars="200"/>
        <w:rPr>
          <w:rFonts w:ascii="宋体" w:hAnsi="宋体"/>
          <w:sz w:val="24"/>
          <w:szCs w:val="24"/>
        </w:rPr>
      </w:pPr>
      <w:r>
        <w:rPr>
          <w:rFonts w:hint="eastAsia" w:ascii="宋体" w:hAnsi="宋体"/>
          <w:sz w:val="24"/>
          <w:szCs w:val="24"/>
        </w:rPr>
        <w:t>31、推荐中标候选人</w:t>
      </w:r>
    </w:p>
    <w:p>
      <w:pPr>
        <w:spacing w:line="400" w:lineRule="exact"/>
        <w:ind w:left="480" w:hanging="480" w:hangingChars="200"/>
        <w:rPr>
          <w:rFonts w:ascii="宋体" w:hAnsi="宋体"/>
          <w:sz w:val="24"/>
          <w:szCs w:val="24"/>
        </w:rPr>
      </w:pPr>
      <w:r>
        <w:rPr>
          <w:rFonts w:hint="eastAsia" w:ascii="宋体" w:hAnsi="宋体"/>
          <w:sz w:val="24"/>
          <w:szCs w:val="24"/>
        </w:rPr>
        <w:t>31.1评委会将向招标人推荐1</w:t>
      </w:r>
      <w:r>
        <w:rPr>
          <w:rFonts w:ascii="宋体" w:hAnsi="宋体"/>
          <w:sz w:val="24"/>
          <w:szCs w:val="24"/>
        </w:rPr>
        <w:t>名</w:t>
      </w:r>
      <w:r>
        <w:rPr>
          <w:rFonts w:hint="eastAsia" w:ascii="宋体" w:hAnsi="宋体"/>
          <w:sz w:val="24"/>
          <w:szCs w:val="24"/>
        </w:rPr>
        <w:t>中标</w:t>
      </w:r>
      <w:r>
        <w:rPr>
          <w:rFonts w:ascii="宋体" w:hAnsi="宋体"/>
          <w:sz w:val="24"/>
          <w:szCs w:val="24"/>
        </w:rPr>
        <w:t>候选人</w:t>
      </w:r>
      <w:r>
        <w:rPr>
          <w:rFonts w:hint="eastAsia" w:ascii="宋体" w:hAnsi="宋体"/>
          <w:sz w:val="24"/>
          <w:szCs w:val="24"/>
        </w:rPr>
        <w:t>。</w:t>
      </w:r>
    </w:p>
    <w:p>
      <w:pPr>
        <w:spacing w:line="400" w:lineRule="exact"/>
        <w:rPr>
          <w:rFonts w:ascii="宋体" w:hAnsi="宋体"/>
          <w:sz w:val="24"/>
          <w:szCs w:val="24"/>
        </w:rPr>
      </w:pPr>
      <w:r>
        <w:rPr>
          <w:rFonts w:hint="eastAsia" w:ascii="宋体" w:hAnsi="宋体"/>
          <w:sz w:val="24"/>
          <w:szCs w:val="24"/>
        </w:rPr>
        <w:t>32、</w:t>
      </w:r>
      <w:r>
        <w:rPr>
          <w:rFonts w:ascii="宋体" w:hAnsi="宋体"/>
          <w:sz w:val="24"/>
          <w:szCs w:val="24"/>
        </w:rPr>
        <w:t>确定中标人</w:t>
      </w:r>
      <w:r>
        <w:rPr>
          <w:rFonts w:hint="eastAsia" w:ascii="宋体" w:hAnsi="宋体"/>
          <w:sz w:val="24"/>
          <w:szCs w:val="24"/>
        </w:rPr>
        <w:t>及合同的签订</w:t>
      </w:r>
    </w:p>
    <w:p>
      <w:pPr>
        <w:spacing w:line="400" w:lineRule="exact"/>
        <w:ind w:left="480" w:hanging="480" w:hangingChars="200"/>
        <w:rPr>
          <w:rFonts w:ascii="宋体" w:hAnsi="宋体"/>
          <w:sz w:val="24"/>
          <w:szCs w:val="24"/>
        </w:rPr>
      </w:pPr>
      <w:r>
        <w:rPr>
          <w:rFonts w:hint="eastAsia" w:ascii="宋体" w:hAnsi="宋体"/>
          <w:sz w:val="24"/>
          <w:szCs w:val="24"/>
        </w:rPr>
        <w:t>32.1招标人</w:t>
      </w:r>
      <w:r>
        <w:rPr>
          <w:rFonts w:ascii="宋体" w:hAnsi="宋体"/>
          <w:sz w:val="24"/>
          <w:szCs w:val="24"/>
        </w:rPr>
        <w:t>向中标人发出中标通知书。中标人在接到通知后，必须在5个工作日内领取中标通知书并签收。</w:t>
      </w:r>
      <w:r>
        <w:rPr>
          <w:rFonts w:hint="eastAsia" w:ascii="宋体" w:hAnsi="宋体"/>
          <w:sz w:val="24"/>
          <w:szCs w:val="24"/>
        </w:rPr>
        <w:t>（中标人须主动领取，否则由此造成的后果由投标人单方面承担）。</w:t>
      </w:r>
    </w:p>
    <w:p>
      <w:pPr>
        <w:snapToGrid w:val="0"/>
        <w:spacing w:line="400" w:lineRule="exact"/>
        <w:rPr>
          <w:rFonts w:ascii="宋体" w:hAnsi="宋体"/>
          <w:sz w:val="24"/>
          <w:szCs w:val="24"/>
        </w:rPr>
      </w:pPr>
      <w:r>
        <w:rPr>
          <w:rFonts w:hint="eastAsia" w:ascii="宋体" w:hAnsi="宋体"/>
          <w:sz w:val="24"/>
          <w:szCs w:val="24"/>
        </w:rPr>
        <w:t>33、履约担保（本项目不适用）</w:t>
      </w:r>
    </w:p>
    <w:p>
      <w:pPr>
        <w:snapToGrid w:val="0"/>
        <w:spacing w:line="400" w:lineRule="exact"/>
        <w:rPr>
          <w:rFonts w:ascii="宋体" w:hAnsi="宋体"/>
          <w:sz w:val="24"/>
          <w:szCs w:val="24"/>
        </w:rPr>
      </w:pPr>
      <w:r>
        <w:rPr>
          <w:rFonts w:hint="eastAsia" w:ascii="宋体" w:hAnsi="宋体"/>
          <w:sz w:val="24"/>
          <w:szCs w:val="24"/>
        </w:rPr>
        <w:t>34、合同授予</w:t>
      </w:r>
    </w:p>
    <w:p>
      <w:pPr>
        <w:snapToGrid w:val="0"/>
        <w:spacing w:line="400" w:lineRule="exact"/>
        <w:rPr>
          <w:rFonts w:ascii="宋体" w:hAnsi="宋体"/>
          <w:sz w:val="24"/>
          <w:szCs w:val="24"/>
        </w:rPr>
      </w:pPr>
      <w:r>
        <w:rPr>
          <w:rFonts w:hint="eastAsia" w:ascii="宋体" w:hAnsi="宋体"/>
          <w:sz w:val="24"/>
          <w:szCs w:val="24"/>
        </w:rPr>
        <w:t>34.1定标方式</w:t>
      </w:r>
    </w:p>
    <w:p>
      <w:pPr>
        <w:snapToGrid w:val="0"/>
        <w:spacing w:line="400" w:lineRule="exact"/>
        <w:ind w:left="561" w:leftChars="267"/>
        <w:rPr>
          <w:rFonts w:ascii="宋体" w:hAnsi="宋体"/>
          <w:sz w:val="24"/>
          <w:szCs w:val="24"/>
        </w:rPr>
      </w:pPr>
      <w:r>
        <w:rPr>
          <w:rFonts w:hint="eastAsia" w:ascii="宋体" w:hAnsi="宋体"/>
          <w:sz w:val="24"/>
          <w:szCs w:val="24"/>
        </w:rPr>
        <w:t>除投标人须知前附表规定评标委员会直接确定中标人外，招标人依据评标委员会推荐的中标候选人确定中标人，评标委员会推荐中标候选人的人数见投标人须知前附表。</w:t>
      </w:r>
    </w:p>
    <w:p>
      <w:pPr>
        <w:snapToGrid w:val="0"/>
        <w:spacing w:line="400" w:lineRule="exact"/>
        <w:ind w:left="600" w:hanging="600" w:hangingChars="250"/>
        <w:rPr>
          <w:rFonts w:ascii="宋体" w:hAnsi="宋体"/>
          <w:sz w:val="24"/>
          <w:szCs w:val="24"/>
        </w:rPr>
      </w:pPr>
      <w:r>
        <w:rPr>
          <w:rFonts w:hint="eastAsia" w:ascii="宋体" w:hAnsi="宋体"/>
          <w:sz w:val="24"/>
          <w:szCs w:val="24"/>
        </w:rPr>
        <w:t>34.2招标人和中标人应当自中标通知书发出之日起30天内，根据招标文件和中标人的投标文件订立书面合同。中标人无正当理由拒签合同的，招标人取消其中标资格，给招标人造成的损失的，中标人还应当对予以赔偿。</w:t>
      </w:r>
    </w:p>
    <w:p>
      <w:pPr>
        <w:snapToGrid w:val="0"/>
        <w:spacing w:line="400" w:lineRule="exact"/>
        <w:ind w:left="600" w:hanging="600" w:hangingChars="250"/>
        <w:rPr>
          <w:rFonts w:ascii="宋体" w:hAnsi="宋体"/>
          <w:sz w:val="24"/>
          <w:szCs w:val="24"/>
        </w:rPr>
      </w:pPr>
      <w:r>
        <w:rPr>
          <w:rFonts w:hint="eastAsia" w:ascii="宋体" w:hAnsi="宋体"/>
          <w:sz w:val="24"/>
          <w:szCs w:val="24"/>
        </w:rPr>
        <w:t>34.3发出中标通知书后，招标人无正当理由拒签合同的，给中标人造成损失，还应当赔偿损失。</w:t>
      </w:r>
    </w:p>
    <w:p>
      <w:pPr>
        <w:pStyle w:val="19"/>
        <w:spacing w:line="400" w:lineRule="exact"/>
        <w:ind w:left="480" w:hanging="480" w:hangingChars="200"/>
        <w:jc w:val="both"/>
        <w:rPr>
          <w:rFonts w:ascii="宋体" w:hAnsi="宋体" w:eastAsia="宋体"/>
          <w:b w:val="0"/>
          <w:sz w:val="24"/>
          <w:szCs w:val="24"/>
        </w:rPr>
      </w:pPr>
      <w:r>
        <w:rPr>
          <w:rFonts w:hint="eastAsia" w:ascii="宋体" w:hAnsi="宋体" w:eastAsia="宋体"/>
          <w:b w:val="0"/>
          <w:sz w:val="24"/>
          <w:szCs w:val="24"/>
        </w:rPr>
        <w:t>34.4 合同一式四份。</w:t>
      </w:r>
    </w:p>
    <w:p>
      <w:pPr>
        <w:snapToGrid w:val="0"/>
        <w:spacing w:line="400" w:lineRule="exact"/>
        <w:ind w:left="480" w:hanging="480" w:hangingChars="200"/>
        <w:rPr>
          <w:rFonts w:ascii="宋体" w:hAnsi="宋体"/>
          <w:color w:val="000000"/>
          <w:sz w:val="24"/>
          <w:szCs w:val="24"/>
        </w:rPr>
      </w:pPr>
      <w:r>
        <w:rPr>
          <w:rFonts w:hint="eastAsia" w:ascii="宋体" w:hAnsi="宋体"/>
          <w:sz w:val="24"/>
          <w:szCs w:val="24"/>
        </w:rPr>
        <w:t>35、招标人应当确定排名第一的中标候选人为中标人。排名第一的中标候选人放弃中标、因不可抗力不能履行合同、不按照招标文件要求提交履约保证金，或者被查</w:t>
      </w:r>
      <w:r>
        <w:rPr>
          <w:rFonts w:hint="eastAsia" w:ascii="宋体" w:hAnsi="宋体"/>
          <w:color w:val="000000"/>
          <w:sz w:val="24"/>
          <w:szCs w:val="24"/>
        </w:rPr>
        <w:t>实存在影响中标结果的违法行为等情形，不符合中标条件的，招标人可以按照评标委员会提出的中标候选人名单排序依次确定其他中标候选人为中标人，也可以重新招标。</w:t>
      </w:r>
    </w:p>
    <w:p>
      <w:pPr>
        <w:spacing w:line="400" w:lineRule="exact"/>
        <w:jc w:val="center"/>
        <w:rPr>
          <w:rFonts w:ascii="宋体" w:hAnsi="宋体"/>
          <w:b/>
          <w:sz w:val="24"/>
          <w:szCs w:val="24"/>
        </w:rPr>
      </w:pPr>
      <w:r>
        <w:rPr>
          <w:rFonts w:hint="eastAsia" w:ascii="宋体" w:hAnsi="宋体"/>
          <w:b/>
          <w:sz w:val="24"/>
          <w:szCs w:val="24"/>
        </w:rPr>
        <w:t>（八）保密和披露</w:t>
      </w:r>
    </w:p>
    <w:p>
      <w:pPr>
        <w:spacing w:line="400" w:lineRule="exact"/>
        <w:ind w:left="480" w:hanging="480" w:hangingChars="200"/>
        <w:rPr>
          <w:rFonts w:ascii="宋体" w:hAnsi="宋体"/>
          <w:sz w:val="24"/>
          <w:szCs w:val="24"/>
        </w:rPr>
      </w:pPr>
      <w:r>
        <w:rPr>
          <w:rFonts w:hint="eastAsia" w:ascii="宋体" w:hAnsi="宋体"/>
          <w:sz w:val="24"/>
          <w:szCs w:val="24"/>
        </w:rPr>
        <w:t>36、投标人自购买招标文件之日起，须承诺承担本招标项目下保密义务，不得将因本次招标获得的信息向第三方外传（已与投标人签订了合作协议的第三方除外）。</w:t>
      </w:r>
    </w:p>
    <w:p>
      <w:pPr>
        <w:spacing w:line="400" w:lineRule="exact"/>
        <w:ind w:left="480" w:hanging="480" w:hangingChars="200"/>
        <w:rPr>
          <w:rFonts w:ascii="宋体" w:hAnsi="宋体"/>
          <w:sz w:val="24"/>
          <w:szCs w:val="24"/>
        </w:rPr>
      </w:pPr>
      <w:r>
        <w:rPr>
          <w:rFonts w:hint="eastAsia" w:ascii="宋体" w:hAnsi="宋体"/>
          <w:sz w:val="24"/>
          <w:szCs w:val="24"/>
        </w:rPr>
        <w:t>37、招标人有权将投标人提供的所有资料向其他政府部门或有关的非政府机构负责评审标书的人员或与评标有关的人员披露。</w:t>
      </w:r>
    </w:p>
    <w:p>
      <w:pPr>
        <w:spacing w:line="400" w:lineRule="exact"/>
        <w:ind w:left="480" w:hanging="480" w:hangingChars="200"/>
        <w:rPr>
          <w:rFonts w:ascii="宋体" w:hAnsi="宋体"/>
          <w:sz w:val="24"/>
          <w:szCs w:val="24"/>
        </w:rPr>
      </w:pPr>
      <w:r>
        <w:rPr>
          <w:rFonts w:hint="eastAsia" w:ascii="宋体" w:hAnsi="宋体"/>
          <w:sz w:val="24"/>
          <w:szCs w:val="24"/>
        </w:rPr>
        <w:t>38、招标人在认为适当时，或在任何第三者提出要求（书面或其他方式）时，无须事先征求中标人同意而披露关于已订立合约的资料、中标人的名称及地址、中标产品的有关信息以及合约条款等。</w:t>
      </w:r>
      <w:bookmarkStart w:id="37" w:name="_Toc388867474"/>
    </w:p>
    <w:p>
      <w:pPr>
        <w:pStyle w:val="2"/>
        <w:numPr>
          <w:ilvl w:val="0"/>
          <w:numId w:val="0"/>
        </w:numPr>
        <w:spacing w:line="480" w:lineRule="exact"/>
        <w:jc w:val="center"/>
        <w:rPr>
          <w:rFonts w:ascii="宋体" w:hAnsi="宋体" w:eastAsia="宋体"/>
          <w:b/>
          <w:bCs/>
          <w:color w:val="000000"/>
          <w:sz w:val="32"/>
          <w:szCs w:val="32"/>
        </w:rPr>
      </w:pPr>
      <w:r>
        <w:rPr>
          <w:rFonts w:ascii="宋体" w:hAnsi="宋体"/>
          <w:sz w:val="24"/>
          <w:szCs w:val="24"/>
        </w:rPr>
        <w:br w:type="page"/>
      </w:r>
      <w:bookmarkEnd w:id="37"/>
      <w:bookmarkStart w:id="38" w:name="_Toc476643915"/>
      <w:r>
        <w:rPr>
          <w:rFonts w:hint="eastAsia" w:ascii="宋体" w:hAnsi="宋体" w:eastAsia="宋体"/>
          <w:b/>
          <w:bCs/>
          <w:color w:val="000000"/>
          <w:sz w:val="32"/>
          <w:szCs w:val="32"/>
        </w:rPr>
        <w:t>第三章  采购清单及技术商务要求</w:t>
      </w:r>
    </w:p>
    <w:p>
      <w:pPr>
        <w:spacing w:line="400" w:lineRule="exact"/>
        <w:jc w:val="center"/>
        <w:rPr>
          <w:rFonts w:ascii="宋体" w:hAnsi="宋体"/>
          <w:b/>
          <w:sz w:val="28"/>
          <w:szCs w:val="28"/>
        </w:rPr>
      </w:pPr>
      <w:r>
        <w:rPr>
          <w:rFonts w:hint="eastAsia" w:ascii="宋体" w:hAnsi="宋体"/>
          <w:b/>
          <w:sz w:val="28"/>
          <w:szCs w:val="28"/>
        </w:rPr>
        <w:t>技术要求</w:t>
      </w:r>
    </w:p>
    <w:p>
      <w:pPr>
        <w:widowControl/>
        <w:numPr>
          <w:ilvl w:val="0"/>
          <w:numId w:val="6"/>
        </w:numPr>
        <w:spacing w:before="166" w:beforeLines="50" w:after="166" w:afterLines="50"/>
        <w:jc w:val="center"/>
        <w:textAlignment w:val="baseline"/>
        <w:rPr>
          <w:rFonts w:ascii="宋体" w:hAnsi="宋体"/>
          <w:b/>
          <w:sz w:val="28"/>
          <w:szCs w:val="28"/>
        </w:rPr>
      </w:pPr>
      <w:r>
        <w:rPr>
          <w:rFonts w:hint="eastAsia" w:ascii="宋体" w:hAnsi="宋体"/>
          <w:b/>
          <w:sz w:val="28"/>
          <w:szCs w:val="28"/>
        </w:rPr>
        <w:t>采购清单</w:t>
      </w:r>
    </w:p>
    <w:tbl>
      <w:tblPr>
        <w:tblStyle w:val="49"/>
        <w:tblW w:w="9193" w:type="dxa"/>
        <w:tblInd w:w="93" w:type="dxa"/>
        <w:shd w:val="clear" w:color="auto" w:fill="auto"/>
        <w:tblLayout w:type="fixed"/>
        <w:tblCellMar>
          <w:top w:w="0" w:type="dxa"/>
          <w:left w:w="108" w:type="dxa"/>
          <w:bottom w:w="0" w:type="dxa"/>
          <w:right w:w="108" w:type="dxa"/>
        </w:tblCellMar>
      </w:tblPr>
      <w:tblGrid>
        <w:gridCol w:w="673"/>
        <w:gridCol w:w="2524"/>
        <w:gridCol w:w="1536"/>
        <w:gridCol w:w="967"/>
        <w:gridCol w:w="766"/>
        <w:gridCol w:w="879"/>
        <w:gridCol w:w="879"/>
        <w:gridCol w:w="969"/>
      </w:tblGrid>
      <w:tr>
        <w:tblPrEx>
          <w:shd w:val="clear" w:color="auto" w:fill="auto"/>
          <w:tblCellMar>
            <w:top w:w="0" w:type="dxa"/>
            <w:left w:w="108" w:type="dxa"/>
            <w:bottom w:w="0" w:type="dxa"/>
            <w:right w:w="108" w:type="dxa"/>
          </w:tblCellMar>
        </w:tblPrEx>
        <w:trPr>
          <w:trHeight w:val="27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物料名称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2"/>
                <w:szCs w:val="22"/>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4200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dn225*1.6MPa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8184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4200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给水管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1248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1344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热熔等径三通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热熔等径三通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热熔等径三通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热熔等径三通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热熔等径三通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160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PE100 SDR11 热熔异径三通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90/50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PE100 SDR11 热熔异径三通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 xml:space="preserve">90/63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PE100 SDR11 热熔异径三通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I10/63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PE100 SDR11 热熔异径三通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 xml:space="preserve">160/63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160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200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PE100 SDR11 热熔90°弯头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DB315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63/32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63/40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90/63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110/63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110/90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160/90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32/20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40/25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50/25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50/32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 xml:space="preserve">50/40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63/25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DN</w:t>
            </w:r>
            <w:r>
              <w:rPr>
                <w:rFonts w:hint="eastAsia" w:ascii="宋体" w:hAnsi="宋体" w:eastAsia="宋体" w:cs="宋体"/>
                <w:i w:val="0"/>
                <w:iCs w:val="0"/>
                <w:color w:val="000000"/>
                <w:kern w:val="0"/>
                <w:sz w:val="22"/>
                <w:szCs w:val="22"/>
                <w:u w:val="none"/>
                <w:lang w:val="en-US" w:eastAsia="zh-CN" w:bidi="ar"/>
              </w:rPr>
              <w:t>160/110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FF0000"/>
                <w:kern w:val="0"/>
                <w:sz w:val="22"/>
                <w:szCs w:val="22"/>
                <w:highlight w:val="none"/>
                <w:u w:val="none"/>
                <w:lang w:val="en-US" w:eastAsia="zh-CN" w:bidi="ar"/>
              </w:rPr>
            </w:pPr>
            <w:commentRangeStart w:id="0"/>
            <w:r>
              <w:rPr>
                <w:rFonts w:hint="eastAsia" w:ascii="宋体" w:hAnsi="宋体" w:cs="宋体"/>
                <w:i w:val="0"/>
                <w:iCs w:val="0"/>
                <w:color w:val="FF0000"/>
                <w:kern w:val="0"/>
                <w:sz w:val="22"/>
                <w:szCs w:val="22"/>
                <w:highlight w:val="none"/>
                <w:u w:val="none"/>
                <w:lang w:val="en-US" w:eastAsia="zh-CN" w:bidi="ar"/>
              </w:rPr>
              <w:t>53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none"/>
                <w:u w:val="none"/>
                <w:lang w:val="en-US" w:eastAsia="zh-CN" w:bidi="ar"/>
              </w:rPr>
            </w:pPr>
            <w:r>
              <w:rPr>
                <w:rFonts w:hint="eastAsia" w:ascii="宋体" w:hAnsi="宋体" w:eastAsia="宋体" w:cs="宋体"/>
                <w:i w:val="0"/>
                <w:iCs w:val="0"/>
                <w:color w:val="FF0000"/>
                <w:kern w:val="0"/>
                <w:sz w:val="22"/>
                <w:szCs w:val="22"/>
                <w:u w:val="none"/>
                <w:lang w:val="en-US" w:eastAsia="zh-CN" w:bidi="ar"/>
              </w:rPr>
              <w:t>PE100 SDR11 热熔变径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FF0000"/>
                <w:kern w:val="0"/>
                <w:sz w:val="22"/>
                <w:szCs w:val="22"/>
                <w:highlight w:val="none"/>
                <w:u w:val="none"/>
                <w:lang w:val="en-US" w:eastAsia="zh-CN" w:bidi="ar"/>
              </w:rPr>
            </w:pPr>
            <w:r>
              <w:rPr>
                <w:rFonts w:hint="eastAsia" w:ascii="宋体" w:hAnsi="宋体" w:cs="宋体"/>
                <w:i w:val="0"/>
                <w:iCs w:val="0"/>
                <w:color w:val="FF0000"/>
                <w:kern w:val="0"/>
                <w:sz w:val="22"/>
                <w:szCs w:val="22"/>
                <w:u w:val="none"/>
                <w:lang w:val="en-US" w:eastAsia="zh-CN" w:bidi="ar"/>
              </w:rPr>
              <w:t>DN225</w:t>
            </w:r>
            <w:r>
              <w:rPr>
                <w:rFonts w:hint="eastAsia" w:ascii="宋体" w:hAnsi="宋体" w:eastAsia="宋体" w:cs="宋体"/>
                <w:i w:val="0"/>
                <w:iCs w:val="0"/>
                <w:color w:val="FF0000"/>
                <w:kern w:val="0"/>
                <w:sz w:val="22"/>
                <w:szCs w:val="22"/>
                <w:u w:val="none"/>
                <w:lang w:val="en-US" w:eastAsia="zh-CN" w:bidi="ar"/>
              </w:rPr>
              <w:t>/1</w:t>
            </w:r>
            <w:r>
              <w:rPr>
                <w:rFonts w:hint="eastAsia" w:ascii="宋体" w:hAnsi="宋体" w:cs="宋体"/>
                <w:i w:val="0"/>
                <w:iCs w:val="0"/>
                <w:color w:val="FF0000"/>
                <w:kern w:val="0"/>
                <w:sz w:val="22"/>
                <w:szCs w:val="22"/>
                <w:u w:val="none"/>
                <w:lang w:val="en-US" w:eastAsia="zh-CN" w:bidi="ar"/>
              </w:rPr>
              <w:t>60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highlight w:val="none"/>
                <w:u w:val="none"/>
                <w:lang w:val="en-US" w:eastAsia="zh-CN" w:bidi="ar"/>
              </w:rPr>
            </w:pPr>
            <w:r>
              <w:rPr>
                <w:rFonts w:hint="eastAsia" w:ascii="宋体" w:hAnsi="宋体" w:cs="宋体"/>
                <w:i w:val="0"/>
                <w:iCs w:val="0"/>
                <w:color w:val="FF0000"/>
                <w:kern w:val="0"/>
                <w:sz w:val="22"/>
                <w:szCs w:val="22"/>
                <w:highlight w:val="none"/>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highlight w:val="none"/>
                <w:u w:val="none"/>
                <w:lang w:val="en-US" w:eastAsia="zh-CN" w:bidi="ar"/>
              </w:rPr>
            </w:pPr>
            <w:r>
              <w:rPr>
                <w:rFonts w:hint="eastAsia" w:ascii="宋体" w:hAnsi="宋体" w:cs="宋体"/>
                <w:i w:val="0"/>
                <w:iCs w:val="0"/>
                <w:color w:val="FF0000"/>
                <w:kern w:val="0"/>
                <w:sz w:val="22"/>
                <w:szCs w:val="22"/>
                <w:highlight w:val="none"/>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commentRangeEnd w:id="0"/>
          <w:p>
            <w:r>
              <w:commentReference w:id="0"/>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highlight w:val="none"/>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PE内螺纹直接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PE内螺纹直接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PE内螺纹直接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PE内螺纹直接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PE内螺纹直接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PE内螺纹直接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PE活接外螺接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PE活接外螺接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PE活接外螺接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PE活接外螺接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166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PE活接外螺接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296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PE外丝弯头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PE内丝弯头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PE内丝弯头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PE内丝弯头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PE热熔直接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PE热熔直接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PE热熔直接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400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40*25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50*20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50*25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50*32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63*25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PE电熔主通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90*40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I10*90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160*90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160*110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225*63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225*110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PE电熔三通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DN</w:t>
            </w:r>
            <w:r>
              <w:rPr>
                <w:rFonts w:hint="eastAsia" w:ascii="宋体" w:hAnsi="宋体" w:eastAsia="宋体" w:cs="宋体"/>
                <w:i w:val="0"/>
                <w:iCs w:val="0"/>
                <w:color w:val="000000"/>
                <w:kern w:val="0"/>
                <w:sz w:val="24"/>
                <w:szCs w:val="24"/>
                <w:u w:val="none"/>
                <w:lang w:val="en-US" w:eastAsia="zh-CN" w:bidi="ar"/>
              </w:rPr>
              <w:t>315*110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PE外螺纹接头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PE外螺纹接头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PE外螺纹接头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PE外螺纹接头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PE外螺纹接头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PE外螺纹接头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PE法兰头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PE法兰头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938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PE法兰头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DN160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624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PE法兰头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dn63*1.6MPa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commentRangeStart w:id="1"/>
            <w:r>
              <w:rPr>
                <w:rFonts w:hint="eastAsia" w:ascii="宋体" w:hAnsi="宋体" w:eastAsia="宋体" w:cs="宋体"/>
                <w:i w:val="0"/>
                <w:iCs w:val="0"/>
                <w:color w:val="FF0000"/>
                <w:kern w:val="0"/>
                <w:sz w:val="22"/>
                <w:szCs w:val="22"/>
                <w:u w:val="none"/>
                <w:lang w:val="en-US" w:eastAsia="zh-CN" w:bidi="ar"/>
              </w:rPr>
              <w:t>113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PPR管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Dn</w:t>
            </w:r>
            <w:r>
              <w:rPr>
                <w:rFonts w:hint="eastAsia" w:ascii="宋体" w:hAnsi="宋体" w:cs="宋体"/>
                <w:i w:val="0"/>
                <w:iCs w:val="0"/>
                <w:color w:val="FF0000"/>
                <w:kern w:val="0"/>
                <w:sz w:val="22"/>
                <w:szCs w:val="22"/>
                <w:u w:val="none"/>
                <w:lang w:val="en-US" w:eastAsia="zh-CN" w:bidi="ar"/>
              </w:rPr>
              <w:t>90</w:t>
            </w:r>
            <w:r>
              <w:rPr>
                <w:rFonts w:hint="eastAsia" w:ascii="宋体" w:hAnsi="宋体" w:eastAsia="宋体" w:cs="宋体"/>
                <w:i w:val="0"/>
                <w:iCs w:val="0"/>
                <w:color w:val="FF0000"/>
                <w:kern w:val="0"/>
                <w:sz w:val="22"/>
                <w:szCs w:val="22"/>
                <w:u w:val="none"/>
                <w:lang w:val="en-US" w:eastAsia="zh-CN" w:bidi="ar"/>
              </w:rPr>
              <w:t>*1.6MPa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米</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cs="宋体"/>
                <w:i w:val="0"/>
                <w:iCs w:val="0"/>
                <w:color w:val="FF0000"/>
                <w:kern w:val="0"/>
                <w:sz w:val="24"/>
                <w:szCs w:val="24"/>
                <w:u w:val="none"/>
                <w:lang w:val="en-US" w:eastAsia="zh-CN" w:bidi="ar"/>
              </w:rPr>
              <w:t>12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commentRangeEnd w:id="1"/>
          <w:p>
            <w:r>
              <w:commentReference w:id="1"/>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7200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PR内丝弯头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DN20*15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PR内丝弯头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DN25*15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DN63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DN50*25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PR三通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PR朿节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PR朿节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PR朿节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133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Dn</w:t>
            </w:r>
            <w:r>
              <w:rPr>
                <w:rFonts w:hint="eastAsia" w:ascii="宋体" w:hAnsi="宋体" w:cs="宋体"/>
                <w:i w:val="0"/>
                <w:iCs w:val="0"/>
                <w:color w:val="FF0000"/>
                <w:kern w:val="0"/>
                <w:sz w:val="22"/>
                <w:szCs w:val="22"/>
                <w:u w:val="none"/>
                <w:lang w:val="en-US" w:eastAsia="zh-CN" w:bidi="ar"/>
              </w:rPr>
              <w:t>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cs="宋体"/>
                <w:i w:val="0"/>
                <w:iCs w:val="0"/>
                <w:color w:val="FF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commentRangeStart w:id="2"/>
            <w:r>
              <w:rPr>
                <w:rFonts w:hint="eastAsia" w:ascii="宋体" w:hAnsi="宋体" w:eastAsia="宋体" w:cs="宋体"/>
                <w:i w:val="0"/>
                <w:iCs w:val="0"/>
                <w:color w:val="FF0000"/>
                <w:kern w:val="0"/>
                <w:sz w:val="22"/>
                <w:szCs w:val="22"/>
                <w:u w:val="none"/>
                <w:lang w:val="en-US" w:eastAsia="zh-CN" w:bidi="ar"/>
              </w:rPr>
              <w:t>134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Dn</w:t>
            </w:r>
            <w:r>
              <w:rPr>
                <w:rFonts w:hint="eastAsia" w:ascii="宋体" w:hAnsi="宋体" w:cs="宋体"/>
                <w:i w:val="0"/>
                <w:iCs w:val="0"/>
                <w:color w:val="FF0000"/>
                <w:kern w:val="0"/>
                <w:sz w:val="22"/>
                <w:szCs w:val="22"/>
                <w:u w:val="none"/>
                <w:lang w:val="en-US" w:eastAsia="zh-CN" w:bidi="ar"/>
              </w:rPr>
              <w:t>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cs="宋体"/>
                <w:i w:val="0"/>
                <w:iCs w:val="0"/>
                <w:color w:val="FF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commentRangeEnd w:id="2"/>
          <w:p>
            <w:r>
              <w:commentReference w:id="2"/>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dn63*25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PPR束节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PPR外丝活节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PPR外丝活节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PPR外丝活节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PPR外丝活节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PPR外丝活节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PR管帽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PR管帽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PR管帽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PR管帽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PR管帽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DN63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PPR内丝接头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680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PPR内丝接头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216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PPR内丝接头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PPR内丝接头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PPR内丝接头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PPR内丝接头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PPR内丝接头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158</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PR外丝接头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DN25*15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440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PR外丝接头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DN25*20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7600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PR外丝接头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DN32*25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PR外丝接头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DN40*32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PR外丝接头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DN50*40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PR外丝接头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DN63*50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136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PPR法兰片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64</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PPR法兰头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r>
              <w:rPr>
                <w:rFonts w:hint="eastAsia" w:ascii="宋体" w:hAnsi="宋体" w:cs="宋体"/>
                <w:i w:val="0"/>
                <w:iCs w:val="0"/>
                <w:color w:val="000000"/>
                <w:kern w:val="0"/>
                <w:sz w:val="22"/>
                <w:szCs w:val="22"/>
                <w:u w:val="none"/>
                <w:lang w:val="en-US" w:eastAsia="zh-CN" w:bidi="ar"/>
              </w:rPr>
              <w:t>5</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PPR法兰片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dn90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166</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PPR法兰头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dn90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9"/>
      </w:pPr>
    </w:p>
    <w:p>
      <w:pPr>
        <w:widowControl/>
        <w:spacing w:before="166" w:beforeLines="50" w:after="166" w:afterLines="50"/>
        <w:textAlignment w:val="baseline"/>
        <w:rPr>
          <w:rFonts w:hint="default" w:ascii="宋体" w:hAnsi="宋体"/>
          <w:b/>
          <w:sz w:val="22"/>
          <w:szCs w:val="22"/>
          <w:highlight w:val="yellow"/>
          <w:lang w:val="en-US"/>
        </w:rPr>
      </w:pPr>
      <w:r>
        <w:rPr>
          <w:rFonts w:hint="eastAsia" w:ascii="宋体" w:hAnsi="宋体"/>
          <w:b/>
          <w:sz w:val="22"/>
          <w:szCs w:val="22"/>
          <w:highlight w:val="yellow"/>
          <w:lang w:val="en-US" w:eastAsia="zh-CN"/>
        </w:rPr>
        <w:t>注：因管件数量多，投标企业在投标时另附所有管件的价格表并注明统一折扣，此价格不参与价格评分，实际采购量，以采购人实际采购量为准。</w:t>
      </w:r>
    </w:p>
    <w:p>
      <w:pPr>
        <w:pStyle w:val="48"/>
        <w:rPr>
          <w:rFonts w:ascii="宋体" w:hAnsi="宋体"/>
          <w:b/>
          <w:sz w:val="28"/>
          <w:szCs w:val="28"/>
        </w:rPr>
      </w:pPr>
    </w:p>
    <w:p>
      <w:pPr>
        <w:tabs>
          <w:tab w:val="left" w:pos="7560"/>
        </w:tabs>
        <w:spacing w:line="560" w:lineRule="exact"/>
        <w:jc w:val="center"/>
        <w:rPr>
          <w:rFonts w:hint="eastAsia" w:ascii="仿宋_GB2312" w:hAnsi="宋体" w:eastAsia="仿宋_GB2312"/>
          <w:b/>
          <w:bCs/>
          <w:sz w:val="36"/>
          <w:lang w:eastAsia="zh-CN"/>
        </w:rPr>
      </w:pPr>
    </w:p>
    <w:p>
      <w:pPr>
        <w:tabs>
          <w:tab w:val="left" w:pos="7560"/>
        </w:tabs>
        <w:spacing w:line="560" w:lineRule="exact"/>
        <w:jc w:val="center"/>
        <w:rPr>
          <w:rFonts w:ascii="仿宋_GB2312" w:hAnsi="宋体" w:eastAsia="仿宋_GB2312"/>
          <w:b/>
          <w:bCs/>
          <w:sz w:val="36"/>
        </w:rPr>
      </w:pPr>
      <w:r>
        <w:rPr>
          <w:rFonts w:hint="eastAsia" w:ascii="仿宋_GB2312" w:hAnsi="宋体" w:eastAsia="仿宋_GB2312"/>
          <w:b/>
          <w:bCs/>
          <w:sz w:val="36"/>
          <w:lang w:eastAsia="zh-CN"/>
        </w:rPr>
        <w:t>二、</w:t>
      </w:r>
      <w:r>
        <w:rPr>
          <w:rFonts w:hint="eastAsia" w:ascii="仿宋_GB2312" w:hAnsi="宋体" w:eastAsia="仿宋_GB2312"/>
          <w:b/>
          <w:bCs/>
          <w:sz w:val="36"/>
        </w:rPr>
        <w:t>标准、规范和技术要求</w:t>
      </w:r>
    </w:p>
    <w:p>
      <w:pPr>
        <w:jc w:val="both"/>
        <w:rPr>
          <w:rFonts w:hint="eastAsia" w:ascii="宋体" w:hAnsi="宋体"/>
          <w:b/>
          <w:sz w:val="24"/>
          <w:szCs w:val="24"/>
          <w:lang w:eastAsia="zh-CN"/>
        </w:rPr>
      </w:pPr>
      <w:r>
        <w:rPr>
          <w:rFonts w:hint="eastAsia" w:ascii="宋体" w:hAnsi="宋体"/>
          <w:b/>
          <w:sz w:val="24"/>
          <w:szCs w:val="24"/>
          <w:lang w:eastAsia="zh-CN"/>
        </w:rPr>
        <w:t>（一）</w:t>
      </w:r>
    </w:p>
    <w:p>
      <w:pPr>
        <w:jc w:val="both"/>
      </w:pPr>
      <w:r>
        <w:rPr>
          <w:b/>
          <w:sz w:val="24"/>
        </w:rPr>
        <w:t>PE</w:t>
      </w:r>
      <w:r>
        <w:rPr>
          <w:rFonts w:hint="eastAsia"/>
          <w:b/>
          <w:sz w:val="24"/>
        </w:rPr>
        <w:t>管材技术要求</w:t>
      </w:r>
    </w:p>
    <w:p>
      <w:pPr>
        <w:spacing w:line="360" w:lineRule="auto"/>
      </w:pPr>
      <w:r>
        <w:rPr>
          <w:b/>
        </w:rPr>
        <w:t>1.</w:t>
      </w:r>
      <w:r>
        <w:rPr>
          <w:rFonts w:hint="eastAsia"/>
        </w:rPr>
        <w:t>标志</w:t>
      </w:r>
    </w:p>
    <w:p>
      <w:pPr>
        <w:spacing w:line="360" w:lineRule="auto"/>
      </w:pPr>
      <w:r>
        <w:rPr>
          <w:rFonts w:hint="eastAsia"/>
        </w:rPr>
        <w:t>必须依照标准</w:t>
      </w:r>
      <w:r>
        <w:rPr>
          <w:rFonts w:hint="eastAsia"/>
          <w:lang w:val="en-US" w:eastAsia="zh-CN"/>
        </w:rPr>
        <w:t>管材：</w:t>
      </w:r>
      <w:r>
        <w:rPr>
          <w:b/>
        </w:rPr>
        <w:t>GB/T 13663</w:t>
      </w:r>
      <w:r>
        <w:rPr>
          <w:rFonts w:hint="eastAsia"/>
          <w:b/>
          <w:lang w:val="en-US" w:eastAsia="zh-CN"/>
        </w:rPr>
        <w:t>.2</w:t>
      </w:r>
      <w:r>
        <w:rPr>
          <w:b/>
        </w:rPr>
        <w:t>-20</w:t>
      </w:r>
      <w:r>
        <w:rPr>
          <w:rFonts w:hint="eastAsia"/>
          <w:b/>
          <w:lang w:val="en-US" w:eastAsia="zh-CN"/>
        </w:rPr>
        <w:t>18，</w:t>
      </w:r>
      <w:r>
        <w:rPr>
          <w:rFonts w:hint="eastAsia"/>
          <w:b w:val="0"/>
          <w:bCs/>
          <w:lang w:val="en-US" w:eastAsia="zh-CN"/>
        </w:rPr>
        <w:t>管件：</w:t>
      </w:r>
      <w:r>
        <w:rPr>
          <w:b/>
        </w:rPr>
        <w:t>GB/T 13663</w:t>
      </w:r>
      <w:r>
        <w:rPr>
          <w:rFonts w:hint="eastAsia"/>
          <w:b/>
          <w:lang w:val="en-US" w:eastAsia="zh-CN"/>
        </w:rPr>
        <w:t>.3</w:t>
      </w:r>
      <w:r>
        <w:rPr>
          <w:b/>
        </w:rPr>
        <w:t>-20</w:t>
      </w:r>
      <w:r>
        <w:rPr>
          <w:rFonts w:hint="eastAsia"/>
          <w:b/>
          <w:lang w:val="en-US" w:eastAsia="zh-CN"/>
        </w:rPr>
        <w:t>18</w:t>
      </w:r>
      <w:r>
        <w:rPr>
          <w:rFonts w:hint="eastAsia"/>
        </w:rPr>
        <w:t>制造。</w:t>
      </w:r>
    </w:p>
    <w:p>
      <w:pPr>
        <w:spacing w:line="360" w:lineRule="auto"/>
      </w:pPr>
      <w:r>
        <w:rPr>
          <w:rFonts w:hint="eastAsia"/>
        </w:rPr>
        <w:t>出厂时应根据</w:t>
      </w:r>
      <w:r>
        <w:rPr>
          <w:rFonts w:hint="eastAsia"/>
          <w:lang w:val="en-US" w:eastAsia="zh-CN"/>
        </w:rPr>
        <w:t>管材：</w:t>
      </w:r>
      <w:r>
        <w:rPr>
          <w:b/>
        </w:rPr>
        <w:t>GB/T 13663</w:t>
      </w:r>
      <w:r>
        <w:rPr>
          <w:rFonts w:hint="eastAsia"/>
          <w:b/>
          <w:lang w:val="en-US" w:eastAsia="zh-CN"/>
        </w:rPr>
        <w:t>.2</w:t>
      </w:r>
      <w:r>
        <w:rPr>
          <w:b/>
        </w:rPr>
        <w:t>-20</w:t>
      </w:r>
      <w:r>
        <w:rPr>
          <w:rFonts w:hint="eastAsia"/>
          <w:b/>
          <w:lang w:val="en-US" w:eastAsia="zh-CN"/>
        </w:rPr>
        <w:t>18，</w:t>
      </w:r>
      <w:r>
        <w:rPr>
          <w:rFonts w:hint="eastAsia"/>
          <w:b w:val="0"/>
          <w:bCs/>
          <w:lang w:val="en-US" w:eastAsia="zh-CN"/>
        </w:rPr>
        <w:t>管件：</w:t>
      </w:r>
      <w:r>
        <w:rPr>
          <w:b/>
        </w:rPr>
        <w:t>GB/T 13663</w:t>
      </w:r>
      <w:r>
        <w:rPr>
          <w:rFonts w:hint="eastAsia"/>
          <w:b/>
          <w:lang w:val="en-US" w:eastAsia="zh-CN"/>
        </w:rPr>
        <w:t>.3</w:t>
      </w:r>
      <w:r>
        <w:rPr>
          <w:b/>
        </w:rPr>
        <w:t>-20</w:t>
      </w:r>
      <w:r>
        <w:rPr>
          <w:rFonts w:hint="eastAsia"/>
          <w:b/>
          <w:lang w:val="en-US" w:eastAsia="zh-CN"/>
        </w:rPr>
        <w:t>18</w:t>
      </w:r>
      <w:r>
        <w:rPr>
          <w:rFonts w:hint="eastAsia"/>
        </w:rPr>
        <w:t>进行标识，标志至少应包括下列内容：</w:t>
      </w:r>
    </w:p>
    <w:p>
      <w:pPr>
        <w:spacing w:line="360" w:lineRule="auto"/>
      </w:pPr>
      <w:r>
        <w:t xml:space="preserve">— </w:t>
      </w:r>
      <w:r>
        <w:rPr>
          <w:rFonts w:hint="eastAsia"/>
        </w:rPr>
        <w:t>采用标准号</w:t>
      </w:r>
    </w:p>
    <w:p>
      <w:pPr>
        <w:spacing w:line="360" w:lineRule="auto"/>
      </w:pPr>
      <w:r>
        <w:t xml:space="preserve">— </w:t>
      </w:r>
      <w:r>
        <w:rPr>
          <w:rFonts w:hint="eastAsia"/>
        </w:rPr>
        <w:t>生产厂商</w:t>
      </w:r>
    </w:p>
    <w:p>
      <w:pPr>
        <w:spacing w:line="360" w:lineRule="auto"/>
      </w:pPr>
      <w:r>
        <w:t xml:space="preserve">— </w:t>
      </w:r>
      <w:r>
        <w:rPr>
          <w:rFonts w:hint="eastAsia"/>
        </w:rPr>
        <w:t>生产地址名称或代码（如生产商在不同地点设有分厂）</w:t>
      </w:r>
    </w:p>
    <w:p>
      <w:pPr>
        <w:spacing w:line="360" w:lineRule="auto"/>
      </w:pPr>
      <w:r>
        <w:t xml:space="preserve">— </w:t>
      </w:r>
      <w:r>
        <w:rPr>
          <w:rFonts w:hint="eastAsia"/>
        </w:rPr>
        <w:t>公称外径和公称壁厚</w:t>
      </w:r>
    </w:p>
    <w:p>
      <w:pPr>
        <w:spacing w:line="360" w:lineRule="auto"/>
      </w:pPr>
      <w:r>
        <w:t xml:space="preserve">— </w:t>
      </w:r>
      <w:r>
        <w:rPr>
          <w:rFonts w:hint="eastAsia"/>
        </w:rPr>
        <w:t>材料等级（如：</w:t>
      </w:r>
      <w:r>
        <w:t>HDPE</w:t>
      </w:r>
      <w:r>
        <w:rPr>
          <w:rFonts w:hint="eastAsia"/>
        </w:rPr>
        <w:t>）和原材料牌号（如：</w:t>
      </w:r>
      <w:r>
        <w:t>CRP100</w:t>
      </w:r>
      <w:r>
        <w:rPr>
          <w:rFonts w:hint="eastAsia"/>
        </w:rPr>
        <w:t>）</w:t>
      </w:r>
    </w:p>
    <w:p>
      <w:pPr>
        <w:spacing w:line="360" w:lineRule="auto"/>
      </w:pPr>
      <w:r>
        <w:t xml:space="preserve">— </w:t>
      </w:r>
      <w:r>
        <w:rPr>
          <w:rFonts w:hint="eastAsia"/>
        </w:rPr>
        <w:t>标准尺寸比（</w:t>
      </w:r>
      <w:r>
        <w:t>SDR</w:t>
      </w:r>
      <w:r>
        <w:rPr>
          <w:rFonts w:hint="eastAsia"/>
        </w:rPr>
        <w:t>）</w:t>
      </w:r>
    </w:p>
    <w:p>
      <w:pPr>
        <w:spacing w:line="360" w:lineRule="auto"/>
      </w:pPr>
      <w:r>
        <w:t xml:space="preserve">— </w:t>
      </w:r>
      <w:r>
        <w:rPr>
          <w:rFonts w:hint="eastAsia"/>
        </w:rPr>
        <w:t>公称压力（</w:t>
      </w:r>
      <w:r>
        <w:t>PN</w:t>
      </w:r>
      <w:r>
        <w:rPr>
          <w:rFonts w:hint="eastAsia"/>
        </w:rPr>
        <w:t>）</w:t>
      </w:r>
    </w:p>
    <w:p>
      <w:pPr>
        <w:spacing w:line="360" w:lineRule="auto"/>
      </w:pPr>
      <w:r>
        <w:t xml:space="preserve">— </w:t>
      </w:r>
      <w:r>
        <w:rPr>
          <w:rFonts w:hint="eastAsia"/>
        </w:rPr>
        <w:t>生产日期</w:t>
      </w:r>
    </w:p>
    <w:p/>
    <w:p>
      <w:r>
        <w:rPr>
          <w:rFonts w:hint="eastAsia"/>
        </w:rPr>
        <w:t>标志应具有永久性，且在不借助放大装置下清晰易读。</w:t>
      </w:r>
    </w:p>
    <w:p>
      <w:pPr>
        <w:rPr>
          <w:b/>
        </w:rPr>
      </w:pPr>
      <w:r>
        <w:rPr>
          <w:b/>
        </w:rPr>
        <w:t>2.</w:t>
      </w:r>
      <w:r>
        <w:rPr>
          <w:rFonts w:hint="eastAsia"/>
          <w:b/>
        </w:rPr>
        <w:t>树脂化学指标</w:t>
      </w:r>
    </w:p>
    <w:p>
      <w:pPr>
        <w:spacing w:line="360" w:lineRule="auto"/>
      </w:pPr>
      <w:r>
        <w:rPr>
          <w:rFonts w:hint="eastAsia"/>
        </w:rPr>
        <w:t>使用含有炭黑成分的黑色混配料生产管材（不允许采用基础树脂加母料的方式）。</w:t>
      </w:r>
    </w:p>
    <w:p>
      <w:pPr>
        <w:spacing w:line="360" w:lineRule="auto"/>
      </w:pPr>
      <w:r>
        <w:rPr>
          <w:rFonts w:hint="eastAsia"/>
        </w:rPr>
        <w:t>树脂牌号应从以下列表中选择：</w:t>
      </w:r>
      <w:r>
        <w:t xml:space="preserve"> </w:t>
      </w:r>
    </w:p>
    <w:tbl>
      <w:tblPr>
        <w:tblStyle w:val="4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30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b/>
                <w:sz w:val="24"/>
              </w:rPr>
            </w:pPr>
            <w:r>
              <w:rPr>
                <w:rFonts w:hint="eastAsia"/>
                <w:b/>
                <w:sz w:val="24"/>
              </w:rPr>
              <w:t>产品</w:t>
            </w:r>
          </w:p>
        </w:tc>
        <w:tc>
          <w:tcPr>
            <w:tcW w:w="3060" w:type="dxa"/>
          </w:tcPr>
          <w:p>
            <w:pPr>
              <w:rPr>
                <w:b/>
                <w:sz w:val="24"/>
              </w:rPr>
            </w:pPr>
            <w:r>
              <w:rPr>
                <w:rFonts w:hint="eastAsia"/>
                <w:b/>
                <w:sz w:val="24"/>
              </w:rPr>
              <w:t>生产商</w:t>
            </w:r>
          </w:p>
        </w:tc>
        <w:tc>
          <w:tcPr>
            <w:tcW w:w="1620" w:type="dxa"/>
          </w:tcPr>
          <w:p>
            <w:pPr>
              <w:rPr>
                <w:b/>
                <w:sz w:val="24"/>
              </w:rPr>
            </w:pPr>
            <w:r>
              <w:rPr>
                <w:rFonts w:hint="eastAsia"/>
                <w:b/>
                <w:sz w:val="24"/>
              </w:rPr>
              <w:t>生产国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BorSafe HE3490-LS</w:t>
            </w:r>
          </w:p>
        </w:tc>
        <w:tc>
          <w:tcPr>
            <w:tcW w:w="3060" w:type="dxa"/>
          </w:tcPr>
          <w:p>
            <w:pPr>
              <w:rPr>
                <w:sz w:val="24"/>
              </w:rPr>
            </w:pPr>
            <w:r>
              <w:rPr>
                <w:rFonts w:hint="eastAsia"/>
                <w:sz w:val="24"/>
              </w:rPr>
              <w:t>北欧化工</w:t>
            </w:r>
          </w:p>
        </w:tc>
        <w:tc>
          <w:tcPr>
            <w:tcW w:w="1620" w:type="dxa"/>
          </w:tcPr>
          <w:p>
            <w:pPr>
              <w:rPr>
                <w:sz w:val="24"/>
              </w:rPr>
            </w:pPr>
            <w:r>
              <w:rPr>
                <w:rFonts w:hint="eastAsia"/>
                <w:sz w:val="24"/>
              </w:rPr>
              <w:t>瑞典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BorSafe HE3490-LS-H</w:t>
            </w:r>
          </w:p>
        </w:tc>
        <w:tc>
          <w:tcPr>
            <w:tcW w:w="3060" w:type="dxa"/>
          </w:tcPr>
          <w:p>
            <w:pPr>
              <w:rPr>
                <w:sz w:val="24"/>
              </w:rPr>
            </w:pPr>
            <w:r>
              <w:rPr>
                <w:rFonts w:hint="eastAsia"/>
                <w:sz w:val="24"/>
              </w:rPr>
              <w:t>北欧化工</w:t>
            </w:r>
          </w:p>
        </w:tc>
        <w:tc>
          <w:tcPr>
            <w:tcW w:w="1620" w:type="dxa"/>
          </w:tcPr>
          <w:p>
            <w:pPr>
              <w:rPr>
                <w:sz w:val="24"/>
              </w:rPr>
            </w:pPr>
            <w:r>
              <w:rPr>
                <w:rFonts w:hint="eastAsia"/>
                <w:sz w:val="24"/>
              </w:rPr>
              <w:t>瑞典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BorSafe HE3490-LS</w:t>
            </w:r>
          </w:p>
        </w:tc>
        <w:tc>
          <w:tcPr>
            <w:tcW w:w="3060" w:type="dxa"/>
          </w:tcPr>
          <w:p>
            <w:pPr>
              <w:rPr>
                <w:sz w:val="24"/>
              </w:rPr>
            </w:pPr>
            <w:r>
              <w:rPr>
                <w:rFonts w:hint="eastAsia"/>
                <w:sz w:val="24"/>
              </w:rPr>
              <w:t>博禄集团</w:t>
            </w:r>
          </w:p>
        </w:tc>
        <w:tc>
          <w:tcPr>
            <w:tcW w:w="1620" w:type="dxa"/>
          </w:tcPr>
          <w:p>
            <w:pPr>
              <w:rPr>
                <w:sz w:val="24"/>
              </w:rPr>
            </w:pPr>
            <w:r>
              <w:rPr>
                <w:rFonts w:hint="eastAsia"/>
                <w:sz w:val="24"/>
              </w:rPr>
              <w:t>阿布扎比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BorSafe HE3490-LS-H</w:t>
            </w:r>
          </w:p>
        </w:tc>
        <w:tc>
          <w:tcPr>
            <w:tcW w:w="3060" w:type="dxa"/>
          </w:tcPr>
          <w:p>
            <w:pPr>
              <w:rPr>
                <w:sz w:val="24"/>
              </w:rPr>
            </w:pPr>
            <w:r>
              <w:rPr>
                <w:rFonts w:hint="eastAsia"/>
                <w:sz w:val="24"/>
              </w:rPr>
              <w:t>博禄集团</w:t>
            </w:r>
          </w:p>
        </w:tc>
        <w:tc>
          <w:tcPr>
            <w:tcW w:w="1620" w:type="dxa"/>
          </w:tcPr>
          <w:p>
            <w:pPr>
              <w:rPr>
                <w:sz w:val="24"/>
              </w:rPr>
            </w:pPr>
            <w:r>
              <w:rPr>
                <w:rFonts w:hint="eastAsia"/>
                <w:sz w:val="24"/>
              </w:rPr>
              <w:t>阿布扎比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ELTEX</w:t>
            </w:r>
            <w:r>
              <w:rPr>
                <w:sz w:val="24"/>
                <w:vertAlign w:val="superscript"/>
              </w:rPr>
              <w:t>®</w:t>
            </w:r>
            <w:r>
              <w:rPr>
                <w:sz w:val="24"/>
              </w:rPr>
              <w:t xml:space="preserve">  TUB 121</w:t>
            </w:r>
          </w:p>
        </w:tc>
        <w:tc>
          <w:tcPr>
            <w:tcW w:w="3060" w:type="dxa"/>
          </w:tcPr>
          <w:p>
            <w:pPr>
              <w:rPr>
                <w:sz w:val="24"/>
              </w:rPr>
            </w:pPr>
            <w:r>
              <w:rPr>
                <w:rFonts w:hint="eastAsia"/>
                <w:sz w:val="24"/>
              </w:rPr>
              <w:t>英力士</w:t>
            </w:r>
            <w:r>
              <w:rPr>
                <w:sz w:val="24"/>
              </w:rPr>
              <w:t>O&amp;P</w:t>
            </w:r>
          </w:p>
        </w:tc>
        <w:tc>
          <w:tcPr>
            <w:tcW w:w="1620" w:type="dxa"/>
          </w:tcPr>
          <w:p>
            <w:pPr>
              <w:rPr>
                <w:sz w:val="24"/>
              </w:rPr>
            </w:pPr>
            <w:r>
              <w:rPr>
                <w:rFonts w:hint="eastAsia"/>
                <w:sz w:val="24"/>
              </w:rPr>
              <w:t>法国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ELTEX</w:t>
            </w:r>
            <w:r>
              <w:rPr>
                <w:sz w:val="24"/>
                <w:vertAlign w:val="superscript"/>
              </w:rPr>
              <w:t>®</w:t>
            </w:r>
            <w:r>
              <w:rPr>
                <w:sz w:val="24"/>
              </w:rPr>
              <w:t xml:space="preserve">  TUB 121 N300</w:t>
            </w:r>
          </w:p>
        </w:tc>
        <w:tc>
          <w:tcPr>
            <w:tcW w:w="3060" w:type="dxa"/>
          </w:tcPr>
          <w:p>
            <w:pPr>
              <w:rPr>
                <w:sz w:val="24"/>
              </w:rPr>
            </w:pPr>
            <w:r>
              <w:rPr>
                <w:rFonts w:hint="eastAsia"/>
                <w:sz w:val="24"/>
              </w:rPr>
              <w:t>英力士</w:t>
            </w:r>
            <w:r>
              <w:rPr>
                <w:sz w:val="24"/>
              </w:rPr>
              <w:t>O&amp;P</w:t>
            </w:r>
          </w:p>
        </w:tc>
        <w:tc>
          <w:tcPr>
            <w:tcW w:w="1620" w:type="dxa"/>
          </w:tcPr>
          <w:p>
            <w:pPr>
              <w:rPr>
                <w:sz w:val="24"/>
              </w:rPr>
            </w:pPr>
            <w:r>
              <w:rPr>
                <w:rFonts w:hint="eastAsia"/>
                <w:sz w:val="24"/>
              </w:rPr>
              <w:t>法国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Hostalen CRP100</w:t>
            </w:r>
          </w:p>
        </w:tc>
        <w:tc>
          <w:tcPr>
            <w:tcW w:w="3060" w:type="dxa"/>
          </w:tcPr>
          <w:p>
            <w:pPr>
              <w:rPr>
                <w:sz w:val="24"/>
              </w:rPr>
            </w:pPr>
            <w:r>
              <w:rPr>
                <w:rFonts w:hint="eastAsia"/>
                <w:sz w:val="24"/>
              </w:rPr>
              <w:t>利安德巴塞尔</w:t>
            </w:r>
          </w:p>
        </w:tc>
        <w:tc>
          <w:tcPr>
            <w:tcW w:w="1620" w:type="dxa"/>
          </w:tcPr>
          <w:p>
            <w:pPr>
              <w:rPr>
                <w:sz w:val="24"/>
              </w:rPr>
            </w:pPr>
            <w:r>
              <w:rPr>
                <w:rFonts w:hint="eastAsia"/>
                <w:sz w:val="24"/>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Hostalen CRP100 Resist CR</w:t>
            </w:r>
          </w:p>
        </w:tc>
        <w:tc>
          <w:tcPr>
            <w:tcW w:w="3060" w:type="dxa"/>
          </w:tcPr>
          <w:p>
            <w:pPr>
              <w:rPr>
                <w:sz w:val="24"/>
              </w:rPr>
            </w:pPr>
            <w:r>
              <w:rPr>
                <w:rFonts w:hint="eastAsia"/>
                <w:sz w:val="24"/>
              </w:rPr>
              <w:t>利安德巴塞尔</w:t>
            </w:r>
          </w:p>
        </w:tc>
        <w:tc>
          <w:tcPr>
            <w:tcW w:w="1620" w:type="dxa"/>
          </w:tcPr>
          <w:p>
            <w:pPr>
              <w:rPr>
                <w:sz w:val="24"/>
              </w:rPr>
            </w:pPr>
            <w:r>
              <w:rPr>
                <w:rFonts w:hint="eastAsia"/>
                <w:sz w:val="24"/>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HI-ZEX 7700 MBK</w:t>
            </w:r>
          </w:p>
        </w:tc>
        <w:tc>
          <w:tcPr>
            <w:tcW w:w="3060" w:type="dxa"/>
          </w:tcPr>
          <w:p>
            <w:pPr>
              <w:rPr>
                <w:sz w:val="24"/>
              </w:rPr>
            </w:pPr>
            <w:r>
              <w:rPr>
                <w:rFonts w:hint="eastAsia"/>
                <w:sz w:val="24"/>
              </w:rPr>
              <w:t>普瑞曼聚合物株式会社</w:t>
            </w:r>
          </w:p>
        </w:tc>
        <w:tc>
          <w:tcPr>
            <w:tcW w:w="1620" w:type="dxa"/>
          </w:tcPr>
          <w:p>
            <w:pPr>
              <w:rPr>
                <w:sz w:val="24"/>
              </w:rPr>
            </w:pPr>
            <w:r>
              <w:rPr>
                <w:rFonts w:hint="eastAsia"/>
                <w:sz w:val="24"/>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EVL-H SP5505BK</w:t>
            </w:r>
          </w:p>
        </w:tc>
        <w:tc>
          <w:tcPr>
            <w:tcW w:w="3060" w:type="dxa"/>
          </w:tcPr>
          <w:p>
            <w:pPr>
              <w:rPr>
                <w:sz w:val="24"/>
              </w:rPr>
            </w:pPr>
            <w:r>
              <w:rPr>
                <w:rFonts w:hint="eastAsia"/>
                <w:sz w:val="24"/>
              </w:rPr>
              <w:t>普瑞曼聚合物株式会社</w:t>
            </w:r>
          </w:p>
        </w:tc>
        <w:tc>
          <w:tcPr>
            <w:tcW w:w="1620" w:type="dxa"/>
          </w:tcPr>
          <w:p>
            <w:pPr>
              <w:rPr>
                <w:sz w:val="24"/>
              </w:rPr>
            </w:pPr>
            <w:r>
              <w:rPr>
                <w:rFonts w:hint="eastAsia"/>
                <w:sz w:val="24"/>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SABIC Vestolen A 6060 R</w:t>
            </w:r>
          </w:p>
        </w:tc>
        <w:tc>
          <w:tcPr>
            <w:tcW w:w="3060" w:type="dxa"/>
          </w:tcPr>
          <w:p>
            <w:pPr>
              <w:rPr>
                <w:sz w:val="24"/>
              </w:rPr>
            </w:pPr>
            <w:r>
              <w:rPr>
                <w:sz w:val="24"/>
              </w:rPr>
              <w:t xml:space="preserve">SABIC </w:t>
            </w:r>
            <w:r>
              <w:rPr>
                <w:rFonts w:hint="eastAsia"/>
                <w:sz w:val="24"/>
              </w:rPr>
              <w:t>聚烯烃公司</w:t>
            </w:r>
          </w:p>
        </w:tc>
        <w:tc>
          <w:tcPr>
            <w:tcW w:w="1620" w:type="dxa"/>
          </w:tcPr>
          <w:p>
            <w:pPr>
              <w:rPr>
                <w:sz w:val="24"/>
              </w:rPr>
            </w:pPr>
            <w:r>
              <w:rPr>
                <w:rFonts w:hint="eastAsia"/>
                <w:sz w:val="24"/>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SABIC Vestolen A RELY 5922R-10000</w:t>
            </w:r>
          </w:p>
        </w:tc>
        <w:tc>
          <w:tcPr>
            <w:tcW w:w="3060" w:type="dxa"/>
          </w:tcPr>
          <w:p>
            <w:pPr>
              <w:rPr>
                <w:sz w:val="24"/>
              </w:rPr>
            </w:pPr>
            <w:r>
              <w:rPr>
                <w:sz w:val="24"/>
              </w:rPr>
              <w:t xml:space="preserve">SABIC </w:t>
            </w:r>
            <w:r>
              <w:rPr>
                <w:rFonts w:hint="eastAsia"/>
                <w:sz w:val="24"/>
              </w:rPr>
              <w:t>聚乙烯公司</w:t>
            </w:r>
          </w:p>
        </w:tc>
        <w:tc>
          <w:tcPr>
            <w:tcW w:w="1620" w:type="dxa"/>
          </w:tcPr>
          <w:p>
            <w:pPr>
              <w:rPr>
                <w:sz w:val="24"/>
              </w:rPr>
            </w:pPr>
            <w:r>
              <w:rPr>
                <w:rFonts w:hint="eastAsia"/>
                <w:sz w:val="24"/>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TASNEE 100 Black</w:t>
            </w:r>
          </w:p>
        </w:tc>
        <w:tc>
          <w:tcPr>
            <w:tcW w:w="3060" w:type="dxa"/>
          </w:tcPr>
          <w:p>
            <w:pPr>
              <w:rPr>
                <w:sz w:val="24"/>
              </w:rPr>
            </w:pPr>
            <w:r>
              <w:rPr>
                <w:rFonts w:hint="eastAsia"/>
                <w:sz w:val="24"/>
              </w:rPr>
              <w:t>沙特乙烯聚乙烯公司</w:t>
            </w:r>
          </w:p>
        </w:tc>
        <w:tc>
          <w:tcPr>
            <w:tcW w:w="1620" w:type="dxa"/>
          </w:tcPr>
          <w:p>
            <w:pPr>
              <w:rPr>
                <w:sz w:val="24"/>
              </w:rPr>
            </w:pPr>
            <w:r>
              <w:rPr>
                <w:rFonts w:hint="eastAsia"/>
                <w:sz w:val="24"/>
              </w:rPr>
              <w:t>沙特阿拉伯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pPr>
              <w:rPr>
                <w:sz w:val="24"/>
              </w:rPr>
            </w:pPr>
            <w:r>
              <w:rPr>
                <w:sz w:val="24"/>
              </w:rPr>
              <w:t>EL-LENE H1000PC</w:t>
            </w:r>
          </w:p>
        </w:tc>
        <w:tc>
          <w:tcPr>
            <w:tcW w:w="3060" w:type="dxa"/>
          </w:tcPr>
          <w:p>
            <w:pPr>
              <w:rPr>
                <w:sz w:val="24"/>
              </w:rPr>
            </w:pPr>
            <w:r>
              <w:rPr>
                <w:rFonts w:hint="eastAsia"/>
                <w:sz w:val="24"/>
              </w:rPr>
              <w:t>暹罗化工</w:t>
            </w:r>
            <w:r>
              <w:rPr>
                <w:sz w:val="24"/>
              </w:rPr>
              <w:t>&amp;</w:t>
            </w:r>
            <w:r>
              <w:rPr>
                <w:rFonts w:hint="eastAsia"/>
                <w:sz w:val="24"/>
              </w:rPr>
              <w:t>泰国聚乙烯公司</w:t>
            </w:r>
          </w:p>
        </w:tc>
        <w:tc>
          <w:tcPr>
            <w:tcW w:w="1620" w:type="dxa"/>
          </w:tcPr>
          <w:p>
            <w:pPr>
              <w:rPr>
                <w:sz w:val="24"/>
              </w:rPr>
            </w:pPr>
            <w:r>
              <w:rPr>
                <w:rFonts w:hint="eastAsia"/>
                <w:sz w:val="24"/>
              </w:rPr>
              <w:t>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4068" w:type="dxa"/>
          </w:tcPr>
          <w:p>
            <w:pPr>
              <w:rPr>
                <w:sz w:val="24"/>
              </w:rPr>
            </w:pPr>
            <w:r>
              <w:rPr>
                <w:sz w:val="24"/>
              </w:rPr>
              <w:t>HDPE XS10B</w:t>
            </w:r>
          </w:p>
        </w:tc>
        <w:tc>
          <w:tcPr>
            <w:tcW w:w="3060" w:type="dxa"/>
          </w:tcPr>
          <w:p>
            <w:pPr>
              <w:rPr>
                <w:sz w:val="24"/>
              </w:rPr>
            </w:pPr>
            <w:r>
              <w:rPr>
                <w:rFonts w:hint="eastAsia"/>
                <w:sz w:val="24"/>
              </w:rPr>
              <w:t>道达尔</w:t>
            </w:r>
          </w:p>
        </w:tc>
        <w:tc>
          <w:tcPr>
            <w:tcW w:w="1620" w:type="dxa"/>
          </w:tcPr>
          <w:p>
            <w:pPr>
              <w:rPr>
                <w:sz w:val="24"/>
              </w:rPr>
            </w:pPr>
            <w:r>
              <w:rPr>
                <w:rFonts w:hint="eastAsia"/>
                <w:sz w:val="24"/>
              </w:rPr>
              <w:t>比利时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068" w:type="dxa"/>
          </w:tcPr>
          <w:p>
            <w:pPr>
              <w:rPr>
                <w:sz w:val="24"/>
              </w:rPr>
            </w:pPr>
            <w:r>
              <w:rPr>
                <w:rFonts w:hint="eastAsia"/>
                <w:sz w:val="24"/>
              </w:rPr>
              <w:t>晓星</w:t>
            </w:r>
            <w:r>
              <w:rPr>
                <w:sz w:val="24"/>
              </w:rPr>
              <w:t>PP</w:t>
            </w:r>
          </w:p>
        </w:tc>
        <w:tc>
          <w:tcPr>
            <w:tcW w:w="3060" w:type="dxa"/>
          </w:tcPr>
          <w:p>
            <w:pPr>
              <w:rPr>
                <w:sz w:val="24"/>
              </w:rPr>
            </w:pPr>
            <w:r>
              <w:rPr>
                <w:rFonts w:hint="eastAsia"/>
                <w:sz w:val="24"/>
              </w:rPr>
              <w:t>中国石化</w:t>
            </w:r>
          </w:p>
        </w:tc>
        <w:tc>
          <w:tcPr>
            <w:tcW w:w="1620" w:type="dxa"/>
          </w:tcPr>
          <w:p>
            <w:pPr>
              <w:rPr>
                <w:sz w:val="24"/>
              </w:rPr>
            </w:pPr>
            <w:r>
              <w:rPr>
                <w:rFonts w:hint="eastAsia"/>
                <w:sz w:val="24"/>
              </w:rPr>
              <w:t>中国</w:t>
            </w:r>
          </w:p>
        </w:tc>
      </w:tr>
    </w:tbl>
    <w:p/>
    <w:p>
      <w:pPr>
        <w:spacing w:line="360" w:lineRule="auto"/>
        <w:rPr>
          <w:b/>
        </w:rPr>
      </w:pPr>
      <w:r>
        <w:rPr>
          <w:b/>
        </w:rPr>
        <w:t>3.</w:t>
      </w:r>
      <w:r>
        <w:rPr>
          <w:rFonts w:hint="eastAsia"/>
          <w:b/>
        </w:rPr>
        <w:t>成品物理性能</w:t>
      </w:r>
    </w:p>
    <w:p>
      <w:pPr>
        <w:spacing w:line="360" w:lineRule="auto"/>
      </w:pPr>
      <w:r>
        <w:rPr>
          <w:rFonts w:hint="eastAsia"/>
        </w:rPr>
        <w:t>成品管材加工完成并经状态调节后，其性能应满足如下指标：</w:t>
      </w:r>
    </w:p>
    <w:p>
      <w:pPr>
        <w:spacing w:line="360" w:lineRule="auto"/>
      </w:pPr>
      <w:r>
        <w:rPr>
          <w:rFonts w:hint="eastAsia"/>
        </w:rPr>
        <w:t>断裂伸长率：</w:t>
      </w:r>
      <w:r>
        <w:t xml:space="preserve">                    </w:t>
      </w:r>
      <w:r>
        <w:rPr>
          <w:rFonts w:hint="eastAsia"/>
        </w:rPr>
        <w:t>≧</w:t>
      </w:r>
      <w:r>
        <w:rPr>
          <w:rFonts w:hint="eastAsia"/>
          <w:lang w:val="en-US" w:eastAsia="zh-CN"/>
        </w:rPr>
        <w:t>350</w:t>
      </w:r>
      <w:r>
        <w:t xml:space="preserve">%                           </w:t>
      </w:r>
    </w:p>
    <w:p>
      <w:pPr>
        <w:spacing w:line="360" w:lineRule="auto"/>
      </w:pPr>
      <w:r>
        <w:rPr>
          <w:rFonts w:hint="eastAsia"/>
        </w:rPr>
        <w:t>纵向回缩率：</w:t>
      </w:r>
      <w:r>
        <w:t xml:space="preserve">                    </w:t>
      </w:r>
      <w:r>
        <w:rPr>
          <w:rFonts w:hint="eastAsia" w:ascii="宋体" w:hAnsi="宋体"/>
        </w:rPr>
        <w:t>≦</w:t>
      </w:r>
      <w:r>
        <w:t xml:space="preserve">3%                             </w:t>
      </w:r>
    </w:p>
    <w:p>
      <w:pPr>
        <w:spacing w:line="360" w:lineRule="auto"/>
      </w:pPr>
      <w:r>
        <w:rPr>
          <w:rFonts w:hint="eastAsia"/>
        </w:rPr>
        <w:t>氧化诱导时间（</w:t>
      </w:r>
      <w:r>
        <w:t>OIT</w:t>
      </w:r>
      <w:r>
        <w:rPr>
          <w:rFonts w:hint="eastAsia"/>
        </w:rPr>
        <w:t>）：</w:t>
      </w:r>
      <w:r>
        <w:t xml:space="preserve">            </w:t>
      </w:r>
      <w:r>
        <w:rPr>
          <w:rFonts w:hint="eastAsia"/>
        </w:rPr>
        <w:t>≧</w:t>
      </w:r>
      <w:r>
        <w:t xml:space="preserve"> </w:t>
      </w:r>
      <w:r>
        <w:rPr>
          <w:rFonts w:hint="eastAsia"/>
          <w:lang w:val="en-US" w:eastAsia="zh-CN"/>
        </w:rPr>
        <w:t>2</w:t>
      </w:r>
      <w:r>
        <w:t>0</w:t>
      </w:r>
      <w:r>
        <w:rPr>
          <w:rFonts w:hint="eastAsia"/>
        </w:rPr>
        <w:t>分钟（温度</w:t>
      </w:r>
      <w:r>
        <w:t>2</w:t>
      </w:r>
      <w:r>
        <w:rPr>
          <w:rFonts w:hint="eastAsia"/>
          <w:lang w:val="en-US" w:eastAsia="zh-CN"/>
        </w:rPr>
        <w:t>1</w:t>
      </w:r>
      <w:r>
        <w:t>0</w:t>
      </w:r>
      <w:r>
        <w:rPr>
          <w:rFonts w:hint="eastAsia" w:ascii="宋体" w:hAnsi="宋体"/>
        </w:rPr>
        <w:t>℃</w:t>
      </w:r>
      <w:r>
        <w:rPr>
          <w:rFonts w:hint="eastAsia"/>
        </w:rPr>
        <w:t>）</w:t>
      </w:r>
      <w:r>
        <w:t xml:space="preserve">          </w:t>
      </w:r>
    </w:p>
    <w:p>
      <w:pPr>
        <w:spacing w:line="360" w:lineRule="auto"/>
        <w:rPr>
          <w:rFonts w:ascii="宋体"/>
        </w:rPr>
      </w:pPr>
      <w:r>
        <w:rPr>
          <w:rFonts w:hint="eastAsia"/>
        </w:rPr>
        <w:t>炭黑含量：</w:t>
      </w:r>
      <w:r>
        <w:t xml:space="preserve">                     </w:t>
      </w:r>
      <w:r>
        <w:rPr>
          <w:rFonts w:hint="eastAsia"/>
          <w:lang w:val="en-US" w:eastAsia="zh-CN"/>
        </w:rPr>
        <w:t>2.5</w:t>
      </w:r>
      <w:r>
        <w:rPr>
          <w:rFonts w:hint="eastAsia" w:ascii="宋体" w:hAnsi="宋体"/>
        </w:rPr>
        <w:t>≧</w:t>
      </w:r>
      <w:r>
        <w:rPr>
          <w:rFonts w:ascii="宋体" w:hAnsi="宋体"/>
        </w:rPr>
        <w:t xml:space="preserve"> X </w:t>
      </w:r>
      <w:r>
        <w:rPr>
          <w:rFonts w:hint="eastAsia" w:ascii="宋体" w:hAnsi="宋体"/>
        </w:rPr>
        <w:t>≧</w:t>
      </w:r>
      <w:r>
        <w:rPr>
          <w:rFonts w:ascii="宋体" w:hAnsi="宋体"/>
        </w:rPr>
        <w:t xml:space="preserve"> 2                     </w:t>
      </w:r>
    </w:p>
    <w:p>
      <w:pPr>
        <w:spacing w:line="360" w:lineRule="auto"/>
      </w:pPr>
      <w:r>
        <w:rPr>
          <w:rFonts w:hint="eastAsia" w:ascii="宋体" w:hAnsi="宋体"/>
        </w:rPr>
        <w:t>炭黑分散等级：</w:t>
      </w:r>
      <w:r>
        <w:rPr>
          <w:rFonts w:ascii="宋体" w:hAnsi="宋体"/>
        </w:rPr>
        <w:t xml:space="preserve">                  </w:t>
      </w:r>
      <w:r>
        <w:rPr>
          <w:rFonts w:hint="eastAsia" w:ascii="宋体" w:hAnsi="宋体"/>
        </w:rPr>
        <w:t>≦</w:t>
      </w:r>
      <w:r>
        <w:rPr>
          <w:rFonts w:ascii="宋体" w:hAnsi="宋体"/>
        </w:rPr>
        <w:t xml:space="preserve"> 3                            </w:t>
      </w:r>
      <w:r>
        <w:t xml:space="preserve">            </w:t>
      </w:r>
    </w:p>
    <w:p>
      <w:pPr>
        <w:spacing w:line="360" w:lineRule="auto"/>
        <w:rPr>
          <w:b/>
        </w:rPr>
      </w:pPr>
      <w:r>
        <w:rPr>
          <w:b/>
        </w:rPr>
        <w:t>4.</w:t>
      </w:r>
      <w:r>
        <w:rPr>
          <w:rFonts w:hint="eastAsia"/>
          <w:b/>
        </w:rPr>
        <w:t>成品静液压试验</w:t>
      </w:r>
    </w:p>
    <w:p>
      <w:pPr>
        <w:spacing w:line="360" w:lineRule="auto"/>
      </w:pPr>
      <w:r>
        <w:rPr>
          <w:rFonts w:hint="eastAsia"/>
        </w:rPr>
        <w:t>管材在</w:t>
      </w:r>
      <w:r>
        <w:t>3</w:t>
      </w:r>
      <w:r>
        <w:rPr>
          <w:rFonts w:hint="eastAsia"/>
        </w:rPr>
        <w:t>种不同测试条件不发生破裂和渗漏</w:t>
      </w:r>
      <w:r>
        <w:t xml:space="preserve"> (</w:t>
      </w:r>
      <w:r>
        <w:rPr>
          <w:b/>
        </w:rPr>
        <w:t>ISO 4427:2007</w:t>
      </w:r>
      <w:r>
        <w:t>)</w:t>
      </w:r>
      <w:r>
        <w:rPr>
          <w:rFonts w:hint="eastAsia"/>
        </w:rPr>
        <w:t>：</w:t>
      </w:r>
    </w:p>
    <w:p>
      <w:pPr>
        <w:spacing w:line="360" w:lineRule="auto"/>
      </w:pPr>
    </w:p>
    <w:tbl>
      <w:tblPr>
        <w:tblStyle w:val="49"/>
        <w:tblW w:w="8300" w:type="dxa"/>
        <w:tblInd w:w="93" w:type="dxa"/>
        <w:tblLayout w:type="fixed"/>
        <w:tblCellMar>
          <w:top w:w="0" w:type="dxa"/>
          <w:left w:w="108" w:type="dxa"/>
          <w:bottom w:w="0" w:type="dxa"/>
          <w:right w:w="108" w:type="dxa"/>
        </w:tblCellMar>
      </w:tblPr>
      <w:tblGrid>
        <w:gridCol w:w="1660"/>
        <w:gridCol w:w="1498"/>
        <w:gridCol w:w="1822"/>
        <w:gridCol w:w="1660"/>
        <w:gridCol w:w="1660"/>
      </w:tblGrid>
      <w:tr>
        <w:tblPrEx>
          <w:tblCellMar>
            <w:top w:w="0" w:type="dxa"/>
            <w:left w:w="108" w:type="dxa"/>
            <w:bottom w:w="0" w:type="dxa"/>
            <w:right w:w="108" w:type="dxa"/>
          </w:tblCellMar>
        </w:tblPrEx>
        <w:trPr>
          <w:trHeight w:val="480" w:hRule="atLeast"/>
        </w:trPr>
        <w:tc>
          <w:tcPr>
            <w:tcW w:w="1660" w:type="dxa"/>
            <w:vMerge w:val="restart"/>
            <w:tcBorders>
              <w:top w:val="nil"/>
              <w:left w:val="nil"/>
              <w:bottom w:val="nil"/>
              <w:right w:val="nil"/>
            </w:tcBorders>
            <w:vAlign w:val="center"/>
          </w:tcPr>
          <w:p>
            <w:pPr>
              <w:widowControl/>
              <w:jc w:val="center"/>
              <w:rPr>
                <w:kern w:val="0"/>
                <w:szCs w:val="21"/>
              </w:rPr>
            </w:pPr>
          </w:p>
        </w:tc>
        <w:tc>
          <w:tcPr>
            <w:tcW w:w="33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环向应力（</w:t>
            </w:r>
            <w:r>
              <w:rPr>
                <w:kern w:val="0"/>
                <w:szCs w:val="21"/>
              </w:rPr>
              <w:t>MPa</w:t>
            </w:r>
            <w:r>
              <w:rPr>
                <w:rFonts w:hint="eastAsia" w:ascii="宋体" w:hAnsi="宋体" w:cs="宋体"/>
                <w:kern w:val="0"/>
                <w:szCs w:val="21"/>
              </w:rPr>
              <w:t>）</w:t>
            </w:r>
            <w:r>
              <w:rPr>
                <w:kern w:val="0"/>
                <w:szCs w:val="21"/>
                <w:vertAlign w:val="superscript"/>
              </w:rPr>
              <w:t>*</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温度（℃）</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时间（</w:t>
            </w:r>
            <w:r>
              <w:rPr>
                <w:kern w:val="0"/>
                <w:szCs w:val="21"/>
              </w:rPr>
              <w:t>h</w:t>
            </w:r>
            <w:r>
              <w:rPr>
                <w:rFonts w:hint="eastAsia" w:ascii="宋体" w:hAnsi="宋体" w:cs="宋体"/>
                <w:kern w:val="0"/>
                <w:szCs w:val="21"/>
              </w:rPr>
              <w:t>）</w:t>
            </w:r>
          </w:p>
        </w:tc>
      </w:tr>
      <w:tr>
        <w:tblPrEx>
          <w:tblCellMar>
            <w:top w:w="0" w:type="dxa"/>
            <w:left w:w="108" w:type="dxa"/>
            <w:bottom w:w="0" w:type="dxa"/>
            <w:right w:w="108" w:type="dxa"/>
          </w:tblCellMar>
        </w:tblPrEx>
        <w:trPr>
          <w:trHeight w:val="480" w:hRule="atLeast"/>
        </w:trPr>
        <w:tc>
          <w:tcPr>
            <w:tcW w:w="1660" w:type="dxa"/>
            <w:vMerge w:val="continue"/>
            <w:tcBorders>
              <w:top w:val="nil"/>
              <w:left w:val="nil"/>
              <w:bottom w:val="nil"/>
              <w:right w:val="nil"/>
            </w:tcBorders>
            <w:vAlign w:val="center"/>
          </w:tcPr>
          <w:p>
            <w:pPr>
              <w:widowControl/>
              <w:jc w:val="left"/>
              <w:rPr>
                <w:kern w:val="0"/>
                <w:szCs w:val="21"/>
              </w:rPr>
            </w:pPr>
          </w:p>
        </w:tc>
        <w:tc>
          <w:tcPr>
            <w:tcW w:w="1498"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PE80</w:t>
            </w:r>
          </w:p>
        </w:tc>
        <w:tc>
          <w:tcPr>
            <w:tcW w:w="182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PE100</w:t>
            </w: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p>
        </w:tc>
      </w:tr>
      <w:tr>
        <w:tblPrEx>
          <w:tblCellMar>
            <w:top w:w="0" w:type="dxa"/>
            <w:left w:w="108" w:type="dxa"/>
            <w:bottom w:w="0" w:type="dxa"/>
            <w:right w:w="108" w:type="dxa"/>
          </w:tblCellMar>
        </w:tblPrEx>
        <w:trPr>
          <w:trHeight w:val="480" w:hRule="atLeast"/>
        </w:trPr>
        <w:tc>
          <w:tcPr>
            <w:tcW w:w="16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1</w:t>
            </w:r>
          </w:p>
        </w:tc>
        <w:tc>
          <w:tcPr>
            <w:tcW w:w="1498"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10</w:t>
            </w:r>
          </w:p>
        </w:tc>
        <w:tc>
          <w:tcPr>
            <w:tcW w:w="182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12.4</w:t>
            </w:r>
          </w:p>
        </w:tc>
        <w:tc>
          <w:tcPr>
            <w:tcW w:w="16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20</w:t>
            </w:r>
          </w:p>
        </w:tc>
        <w:tc>
          <w:tcPr>
            <w:tcW w:w="16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100</w:t>
            </w:r>
          </w:p>
        </w:tc>
      </w:tr>
      <w:tr>
        <w:tblPrEx>
          <w:tblCellMar>
            <w:top w:w="0" w:type="dxa"/>
            <w:left w:w="108" w:type="dxa"/>
            <w:bottom w:w="0" w:type="dxa"/>
            <w:right w:w="108" w:type="dxa"/>
          </w:tblCellMar>
        </w:tblPrEx>
        <w:trPr>
          <w:trHeight w:val="480" w:hRule="atLeast"/>
        </w:trPr>
        <w:tc>
          <w:tcPr>
            <w:tcW w:w="166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2</w:t>
            </w:r>
          </w:p>
        </w:tc>
        <w:tc>
          <w:tcPr>
            <w:tcW w:w="1498"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4.5</w:t>
            </w:r>
          </w:p>
        </w:tc>
        <w:tc>
          <w:tcPr>
            <w:tcW w:w="182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5.4</w:t>
            </w:r>
          </w:p>
        </w:tc>
        <w:tc>
          <w:tcPr>
            <w:tcW w:w="16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80</w:t>
            </w:r>
          </w:p>
        </w:tc>
        <w:tc>
          <w:tcPr>
            <w:tcW w:w="16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165</w:t>
            </w:r>
          </w:p>
        </w:tc>
      </w:tr>
      <w:tr>
        <w:tblPrEx>
          <w:tblCellMar>
            <w:top w:w="0" w:type="dxa"/>
            <w:left w:w="108" w:type="dxa"/>
            <w:bottom w:w="0" w:type="dxa"/>
            <w:right w:w="108" w:type="dxa"/>
          </w:tblCellMar>
        </w:tblPrEx>
        <w:trPr>
          <w:trHeight w:val="480" w:hRule="atLeast"/>
        </w:trPr>
        <w:tc>
          <w:tcPr>
            <w:tcW w:w="166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3</w:t>
            </w:r>
          </w:p>
        </w:tc>
        <w:tc>
          <w:tcPr>
            <w:tcW w:w="1498"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4</w:t>
            </w:r>
          </w:p>
        </w:tc>
        <w:tc>
          <w:tcPr>
            <w:tcW w:w="182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5</w:t>
            </w:r>
          </w:p>
        </w:tc>
        <w:tc>
          <w:tcPr>
            <w:tcW w:w="16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80</w:t>
            </w:r>
          </w:p>
        </w:tc>
        <w:tc>
          <w:tcPr>
            <w:tcW w:w="16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1000</w:t>
            </w:r>
          </w:p>
        </w:tc>
      </w:tr>
    </w:tbl>
    <w:p/>
    <w:p>
      <w:pPr>
        <w:spacing w:line="360" w:lineRule="auto"/>
      </w:pPr>
      <w:r>
        <w:t xml:space="preserve">* </w:t>
      </w:r>
      <w:r>
        <w:rPr>
          <w:rFonts w:hint="eastAsia"/>
        </w:rPr>
        <w:t>管材内压应根据其几何形状（外径和壁厚）计算。</w:t>
      </w:r>
    </w:p>
    <w:p>
      <w:pPr>
        <w:spacing w:line="360" w:lineRule="auto"/>
        <w:rPr>
          <w:b/>
        </w:rPr>
      </w:pPr>
      <w:r>
        <w:rPr>
          <w:b/>
        </w:rPr>
        <w:t>5.</w:t>
      </w:r>
      <w:r>
        <w:rPr>
          <w:rFonts w:hint="eastAsia"/>
          <w:b/>
        </w:rPr>
        <w:t>树脂与水分含量</w:t>
      </w:r>
    </w:p>
    <w:p>
      <w:pPr>
        <w:spacing w:line="360" w:lineRule="auto"/>
      </w:pPr>
      <w:r>
        <w:rPr>
          <w:rFonts w:hint="eastAsia"/>
        </w:rPr>
        <w:t>用于制造管材的树脂必须具有欧洲卫生权威机构和</w:t>
      </w:r>
      <w:r>
        <w:t>/</w:t>
      </w:r>
      <w:r>
        <w:rPr>
          <w:rFonts w:hint="eastAsia"/>
        </w:rPr>
        <w:t>或中国卫生权威机构出具的卫生许可证。</w:t>
      </w:r>
    </w:p>
    <w:p>
      <w:pPr>
        <w:spacing w:line="360" w:lineRule="auto"/>
        <w:rPr>
          <w:b/>
        </w:rPr>
      </w:pPr>
      <w:r>
        <w:rPr>
          <w:b/>
        </w:rPr>
        <w:t>6.</w:t>
      </w:r>
      <w:r>
        <w:rPr>
          <w:rFonts w:hint="eastAsia"/>
          <w:b/>
        </w:rPr>
        <w:t>尺寸</w:t>
      </w:r>
    </w:p>
    <w:p>
      <w:pPr>
        <w:spacing w:line="360" w:lineRule="auto"/>
      </w:pPr>
      <w:r>
        <w:rPr>
          <w:rFonts w:hint="eastAsia"/>
        </w:rPr>
        <w:t>外径、内径、壁厚和椭圆度应符合国际标准</w:t>
      </w:r>
      <w:r>
        <w:rPr>
          <w:b/>
        </w:rPr>
        <w:t>ISO 4427-2:2007</w:t>
      </w:r>
      <w:r>
        <w:rPr>
          <w:rFonts w:hint="eastAsia"/>
        </w:rPr>
        <w:t>第</w:t>
      </w:r>
      <w:r>
        <w:rPr>
          <w:b/>
        </w:rPr>
        <w:t>6.2</w:t>
      </w:r>
      <w:r>
        <w:rPr>
          <w:rFonts w:hint="eastAsia"/>
        </w:rPr>
        <w:t>节“平均外径和不圆度”和第</w:t>
      </w:r>
      <w:r>
        <w:rPr>
          <w:b/>
        </w:rPr>
        <w:t>6.3</w:t>
      </w:r>
      <w:r>
        <w:rPr>
          <w:rFonts w:hint="eastAsia"/>
        </w:rPr>
        <w:t>节“壁厚及其公差”所给出或要求的值和公差指标。</w:t>
      </w:r>
    </w:p>
    <w:p>
      <w:pPr>
        <w:spacing w:line="360" w:lineRule="auto"/>
      </w:pPr>
    </w:p>
    <w:p>
      <w:pPr>
        <w:spacing w:line="360" w:lineRule="auto"/>
        <w:rPr>
          <w:b/>
        </w:rPr>
      </w:pPr>
      <w:r>
        <w:rPr>
          <w:b/>
        </w:rPr>
        <w:t>7.</w:t>
      </w:r>
      <w:r>
        <w:rPr>
          <w:rFonts w:hint="eastAsia"/>
          <w:b/>
        </w:rPr>
        <w:t>肉眼检查</w:t>
      </w:r>
    </w:p>
    <w:p>
      <w:pPr>
        <w:spacing w:line="360" w:lineRule="auto"/>
      </w:pPr>
      <w:r>
        <w:rPr>
          <w:rFonts w:hint="eastAsia"/>
        </w:rPr>
        <w:t>所有交付管材在接收时成色有较大差异（因为储藏期间长时间暴露于紫外光照射下而引起的明显变色）或交付时表面有超过壁厚</w:t>
      </w:r>
      <w:r>
        <w:t>10%</w:t>
      </w:r>
      <w:r>
        <w:rPr>
          <w:rFonts w:hint="eastAsia"/>
        </w:rPr>
        <w:t>的刮痕或有孔隙等可退回供应商调换。</w:t>
      </w:r>
    </w:p>
    <w:p>
      <w:pPr>
        <w:spacing w:line="360" w:lineRule="auto"/>
        <w:rPr>
          <w:b/>
        </w:rPr>
      </w:pPr>
      <w:r>
        <w:rPr>
          <w:b/>
        </w:rPr>
        <w:t>8.</w:t>
      </w:r>
      <w:r>
        <w:rPr>
          <w:rFonts w:hint="eastAsia"/>
          <w:b/>
        </w:rPr>
        <w:t>管件</w:t>
      </w:r>
    </w:p>
    <w:p>
      <w:pPr>
        <w:spacing w:line="360" w:lineRule="auto"/>
      </w:pPr>
      <w:r>
        <w:rPr>
          <w:rFonts w:hint="eastAsia"/>
        </w:rPr>
        <w:t>管件质量必须符合上述管材规格要求。为保证熔结质量良好，管材和管件需由相同的生产商、采用相同的树脂生产而成。</w:t>
      </w:r>
    </w:p>
    <w:p>
      <w:pPr>
        <w:spacing w:line="360" w:lineRule="auto"/>
        <w:rPr>
          <w:b/>
        </w:rPr>
      </w:pPr>
      <w:r>
        <w:rPr>
          <w:b/>
        </w:rPr>
        <w:t>9.</w:t>
      </w:r>
      <w:r>
        <w:rPr>
          <w:rFonts w:hint="eastAsia"/>
          <w:b/>
        </w:rPr>
        <w:t>其他</w:t>
      </w:r>
    </w:p>
    <w:p>
      <w:pPr>
        <w:spacing w:line="360" w:lineRule="auto"/>
      </w:pPr>
      <w:r>
        <w:rPr>
          <w:rFonts w:hint="eastAsia"/>
        </w:rPr>
        <w:t>所有管材必须是两端有盖封口交货。对于小径（</w:t>
      </w:r>
      <w:r>
        <w:t>d</w:t>
      </w:r>
      <w:r>
        <w:rPr>
          <w:vertAlign w:val="subscript"/>
        </w:rPr>
        <w:t>n</w:t>
      </w:r>
      <w:r>
        <w:rPr>
          <w:rFonts w:hint="eastAsia"/>
        </w:rPr>
        <w:t>）管材，绕圈形式交货时，绕圈内径最小不得低于</w:t>
      </w:r>
      <w:r>
        <w:t>18 d</w:t>
      </w:r>
      <w:r>
        <w:rPr>
          <w:vertAlign w:val="subscript"/>
        </w:rPr>
        <w:t>n</w:t>
      </w:r>
      <w:r>
        <w:rPr>
          <w:rFonts w:hint="eastAsia"/>
        </w:rPr>
        <w:t>。</w:t>
      </w:r>
    </w:p>
    <w:p>
      <w:pPr>
        <w:spacing w:line="360" w:lineRule="auto"/>
      </w:pPr>
    </w:p>
    <w:p>
      <w:pPr>
        <w:spacing w:line="360" w:lineRule="auto"/>
      </w:pPr>
    </w:p>
    <w:p>
      <w:pPr>
        <w:spacing w:line="360" w:lineRule="auto"/>
        <w:jc w:val="both"/>
        <w:rPr>
          <w:b/>
        </w:rPr>
      </w:pPr>
      <w:r>
        <w:rPr>
          <w:b/>
          <w:sz w:val="24"/>
        </w:rPr>
        <w:t>PP-R</w:t>
      </w:r>
      <w:r>
        <w:rPr>
          <w:rFonts w:hint="eastAsia"/>
          <w:b/>
          <w:sz w:val="24"/>
        </w:rPr>
        <w:t>管材技术要求</w:t>
      </w:r>
    </w:p>
    <w:p>
      <w:pPr>
        <w:spacing w:line="360" w:lineRule="auto"/>
        <w:rPr>
          <w:b/>
        </w:rPr>
      </w:pPr>
      <w:r>
        <w:rPr>
          <w:b/>
        </w:rPr>
        <w:t>1.</w:t>
      </w:r>
      <w:r>
        <w:rPr>
          <w:rFonts w:hint="eastAsia"/>
          <w:b/>
        </w:rPr>
        <w:t>标志</w:t>
      </w:r>
    </w:p>
    <w:p>
      <w:pPr>
        <w:spacing w:line="360" w:lineRule="auto"/>
      </w:pPr>
      <w:r>
        <w:rPr>
          <w:rFonts w:hint="eastAsia"/>
        </w:rPr>
        <w:t>管材必须依照标准</w:t>
      </w:r>
      <w:r>
        <w:rPr>
          <w:rFonts w:hint="eastAsia"/>
          <w:b w:val="0"/>
          <w:bCs/>
          <w:lang w:val="en-US" w:eastAsia="zh-CN"/>
        </w:rPr>
        <w:t>管材：</w:t>
      </w:r>
      <w:r>
        <w:rPr>
          <w:b/>
        </w:rPr>
        <w:t>GB/T 18742</w:t>
      </w:r>
      <w:r>
        <w:rPr>
          <w:rFonts w:hint="eastAsia"/>
          <w:b/>
          <w:lang w:val="en-US" w:eastAsia="zh-CN"/>
        </w:rPr>
        <w:t>.2</w:t>
      </w:r>
      <w:r>
        <w:rPr>
          <w:b/>
        </w:rPr>
        <w:t>-20</w:t>
      </w:r>
      <w:r>
        <w:rPr>
          <w:rFonts w:hint="eastAsia"/>
          <w:b/>
          <w:lang w:val="en-US" w:eastAsia="zh-CN"/>
        </w:rPr>
        <w:t>17,</w:t>
      </w:r>
      <w:r>
        <w:rPr>
          <w:rFonts w:hint="eastAsia"/>
          <w:b w:val="0"/>
          <w:bCs/>
          <w:lang w:val="en-US" w:eastAsia="zh-CN"/>
        </w:rPr>
        <w:t>管件：</w:t>
      </w:r>
      <w:r>
        <w:rPr>
          <w:b/>
        </w:rPr>
        <w:t>GB/T 18742</w:t>
      </w:r>
      <w:r>
        <w:rPr>
          <w:rFonts w:hint="eastAsia"/>
          <w:b/>
          <w:lang w:val="en-US" w:eastAsia="zh-CN"/>
        </w:rPr>
        <w:t>.3</w:t>
      </w:r>
      <w:r>
        <w:rPr>
          <w:b/>
        </w:rPr>
        <w:t>-20</w:t>
      </w:r>
      <w:r>
        <w:rPr>
          <w:rFonts w:hint="eastAsia"/>
          <w:b/>
          <w:lang w:val="en-US" w:eastAsia="zh-CN"/>
        </w:rPr>
        <w:t>17</w:t>
      </w:r>
      <w:r>
        <w:rPr>
          <w:rFonts w:hint="eastAsia"/>
        </w:rPr>
        <w:t>制造。</w:t>
      </w:r>
    </w:p>
    <w:p>
      <w:pPr>
        <w:spacing w:line="360" w:lineRule="auto"/>
      </w:pPr>
      <w:r>
        <w:rPr>
          <w:rFonts w:hint="eastAsia"/>
        </w:rPr>
        <w:t>所有管材出厂时应根据</w:t>
      </w:r>
      <w:r>
        <w:rPr>
          <w:rFonts w:hint="eastAsia"/>
          <w:b w:val="0"/>
          <w:bCs/>
          <w:lang w:val="en-US" w:eastAsia="zh-CN"/>
        </w:rPr>
        <w:t>管材：</w:t>
      </w:r>
      <w:r>
        <w:rPr>
          <w:b/>
        </w:rPr>
        <w:t>GB/T 18742</w:t>
      </w:r>
      <w:r>
        <w:rPr>
          <w:rFonts w:hint="eastAsia"/>
          <w:b/>
          <w:lang w:val="en-US" w:eastAsia="zh-CN"/>
        </w:rPr>
        <w:t>.2</w:t>
      </w:r>
      <w:r>
        <w:rPr>
          <w:b/>
        </w:rPr>
        <w:t>-20</w:t>
      </w:r>
      <w:r>
        <w:rPr>
          <w:rFonts w:hint="eastAsia"/>
          <w:b/>
          <w:lang w:val="en-US" w:eastAsia="zh-CN"/>
        </w:rPr>
        <w:t>17,</w:t>
      </w:r>
      <w:r>
        <w:rPr>
          <w:rFonts w:hint="eastAsia"/>
          <w:b w:val="0"/>
          <w:bCs/>
          <w:lang w:val="en-US" w:eastAsia="zh-CN"/>
        </w:rPr>
        <w:t>管件：</w:t>
      </w:r>
      <w:r>
        <w:rPr>
          <w:b/>
        </w:rPr>
        <w:t>GB/T 18742</w:t>
      </w:r>
      <w:r>
        <w:rPr>
          <w:rFonts w:hint="eastAsia"/>
          <w:b/>
          <w:lang w:val="en-US" w:eastAsia="zh-CN"/>
        </w:rPr>
        <w:t>.3</w:t>
      </w:r>
      <w:r>
        <w:rPr>
          <w:b/>
        </w:rPr>
        <w:t>-20</w:t>
      </w:r>
      <w:r>
        <w:rPr>
          <w:rFonts w:hint="eastAsia"/>
          <w:b/>
          <w:lang w:val="en-US" w:eastAsia="zh-CN"/>
        </w:rPr>
        <w:t>17</w:t>
      </w:r>
      <w:r>
        <w:rPr>
          <w:rFonts w:hint="eastAsia"/>
        </w:rPr>
        <w:t>进行标识，标志至少应包括下列内容：</w:t>
      </w:r>
    </w:p>
    <w:p>
      <w:pPr>
        <w:spacing w:line="360" w:lineRule="auto"/>
      </w:pPr>
      <w:r>
        <w:t xml:space="preserve">— </w:t>
      </w:r>
      <w:r>
        <w:rPr>
          <w:rFonts w:hint="eastAsia"/>
        </w:rPr>
        <w:t>采用标准号</w:t>
      </w:r>
    </w:p>
    <w:p>
      <w:pPr>
        <w:spacing w:line="360" w:lineRule="auto"/>
      </w:pPr>
      <w:r>
        <w:t xml:space="preserve">— </w:t>
      </w:r>
      <w:r>
        <w:rPr>
          <w:rFonts w:hint="eastAsia"/>
        </w:rPr>
        <w:t>生产厂商</w:t>
      </w:r>
    </w:p>
    <w:p>
      <w:pPr>
        <w:spacing w:line="360" w:lineRule="auto"/>
      </w:pPr>
      <w:r>
        <w:t xml:space="preserve">— </w:t>
      </w:r>
      <w:r>
        <w:rPr>
          <w:rFonts w:hint="eastAsia"/>
        </w:rPr>
        <w:t>生产地址名称或代码（如生产商在不同地点设有分厂）</w:t>
      </w:r>
    </w:p>
    <w:p>
      <w:pPr>
        <w:spacing w:line="360" w:lineRule="auto"/>
      </w:pPr>
      <w:r>
        <w:t xml:space="preserve">— </w:t>
      </w:r>
      <w:r>
        <w:rPr>
          <w:rFonts w:hint="eastAsia"/>
        </w:rPr>
        <w:t>公称外径和公称壁厚</w:t>
      </w:r>
    </w:p>
    <w:p>
      <w:pPr>
        <w:spacing w:line="360" w:lineRule="auto"/>
      </w:pPr>
      <w:r>
        <w:t xml:space="preserve">— </w:t>
      </w:r>
      <w:r>
        <w:rPr>
          <w:rFonts w:hint="eastAsia"/>
        </w:rPr>
        <w:t>材料等级</w:t>
      </w:r>
    </w:p>
    <w:p>
      <w:pPr>
        <w:spacing w:line="360" w:lineRule="auto"/>
      </w:pPr>
      <w:r>
        <w:t xml:space="preserve">— </w:t>
      </w:r>
      <w:r>
        <w:rPr>
          <w:rFonts w:hint="eastAsia"/>
        </w:rPr>
        <w:t>管尺寸系列</w:t>
      </w:r>
    </w:p>
    <w:p>
      <w:pPr>
        <w:spacing w:line="360" w:lineRule="auto"/>
      </w:pPr>
      <w:r>
        <w:t xml:space="preserve">— </w:t>
      </w:r>
      <w:r>
        <w:rPr>
          <w:rFonts w:hint="eastAsia"/>
        </w:rPr>
        <w:t>公称压力（</w:t>
      </w:r>
      <w:r>
        <w:t>PN</w:t>
      </w:r>
      <w:r>
        <w:rPr>
          <w:rFonts w:hint="eastAsia"/>
        </w:rPr>
        <w:t>）</w:t>
      </w:r>
    </w:p>
    <w:p>
      <w:pPr>
        <w:spacing w:line="360" w:lineRule="auto"/>
      </w:pPr>
      <w:r>
        <w:t xml:space="preserve">— </w:t>
      </w:r>
      <w:r>
        <w:rPr>
          <w:rFonts w:hint="eastAsia"/>
        </w:rPr>
        <w:t>生产日期</w:t>
      </w:r>
    </w:p>
    <w:p>
      <w:pPr>
        <w:spacing w:line="360" w:lineRule="auto"/>
      </w:pPr>
      <w:r>
        <w:rPr>
          <w:rFonts w:hint="eastAsia"/>
        </w:rPr>
        <w:t>标志应具有永久性，且在不借助放大装置下清晰易读。</w:t>
      </w:r>
    </w:p>
    <w:p>
      <w:pPr>
        <w:spacing w:line="360" w:lineRule="auto"/>
        <w:ind w:firstLine="105" w:firstLineChars="50"/>
        <w:rPr>
          <w:b/>
        </w:rPr>
      </w:pPr>
      <w:r>
        <w:rPr>
          <w:b/>
        </w:rPr>
        <w:t>2.</w:t>
      </w:r>
      <w:r>
        <w:rPr>
          <w:rFonts w:hint="eastAsia"/>
          <w:b/>
        </w:rPr>
        <w:t>树脂化学指标</w:t>
      </w:r>
    </w:p>
    <w:p>
      <w:pPr>
        <w:spacing w:line="360" w:lineRule="auto"/>
        <w:ind w:firstLine="105" w:firstLineChars="50"/>
      </w:pPr>
      <w:r>
        <w:rPr>
          <w:rFonts w:hint="eastAsia"/>
        </w:rPr>
        <w:t>使用聚丙烯原料生产管，不应添加塑化剂、着色剂或研磨剂，不允许与不同牌号或其他塑料材料混合生产。原料树脂应符合</w:t>
      </w:r>
      <w:r>
        <w:rPr>
          <w:b/>
        </w:rPr>
        <w:t>SH/T 1750-2005</w:t>
      </w:r>
      <w:r>
        <w:rPr>
          <w:rFonts w:hint="eastAsia"/>
        </w:rPr>
        <w:t>标准要求。</w:t>
      </w:r>
    </w:p>
    <w:p>
      <w:pPr>
        <w:spacing w:line="360" w:lineRule="auto"/>
        <w:ind w:firstLine="105" w:firstLineChars="50"/>
        <w:rPr>
          <w:b/>
        </w:rPr>
      </w:pPr>
      <w:r>
        <w:rPr>
          <w:b/>
        </w:rPr>
        <w:t>3.</w:t>
      </w:r>
      <w:r>
        <w:rPr>
          <w:rFonts w:hint="eastAsia"/>
          <w:b/>
        </w:rPr>
        <w:t>产品物理性能</w:t>
      </w:r>
    </w:p>
    <w:p>
      <w:pPr>
        <w:spacing w:line="360" w:lineRule="auto"/>
        <w:ind w:firstLine="105" w:firstLineChars="50"/>
        <w:rPr>
          <w:rFonts w:ascii="宋体"/>
        </w:rPr>
      </w:pPr>
      <w:r>
        <w:rPr>
          <w:rFonts w:hint="eastAsia"/>
        </w:rPr>
        <w:t>成品管材加工完成并经状态调节后，其性能应满足如下指标：</w:t>
      </w:r>
      <w:r>
        <w:rPr>
          <w:rFonts w:ascii="宋体" w:hAnsi="宋体"/>
        </w:rPr>
        <w:t xml:space="preserve">                  </w:t>
      </w:r>
    </w:p>
    <w:p>
      <w:pPr>
        <w:spacing w:line="360" w:lineRule="auto"/>
        <w:ind w:firstLine="105" w:firstLineChars="50"/>
        <w:rPr>
          <w:rFonts w:ascii="宋体" w:hAnsi="宋体"/>
        </w:rPr>
      </w:pPr>
      <w:r>
        <w:rPr>
          <w:rFonts w:hint="eastAsia" w:ascii="宋体" w:hAnsi="宋体"/>
        </w:rPr>
        <w:t>纵向回缩率</w:t>
      </w:r>
      <w:r>
        <w:rPr>
          <w:rFonts w:ascii="宋体" w:hAnsi="宋体"/>
        </w:rPr>
        <w:t xml:space="preserve">                </w:t>
      </w:r>
      <w:r>
        <w:rPr>
          <w:rFonts w:hint="eastAsia" w:ascii="宋体" w:hAnsi="宋体"/>
        </w:rPr>
        <w:t>≦</w:t>
      </w:r>
      <w:r>
        <w:rPr>
          <w:rFonts w:ascii="宋体" w:hAnsi="宋体"/>
        </w:rPr>
        <w:t xml:space="preserve">2%                      </w:t>
      </w:r>
    </w:p>
    <w:p>
      <w:pPr>
        <w:spacing w:line="360" w:lineRule="auto"/>
        <w:ind w:firstLine="105" w:firstLineChars="50"/>
        <w:rPr>
          <w:rFonts w:ascii="宋体"/>
        </w:rPr>
      </w:pPr>
      <w:r>
        <w:rPr>
          <w:rFonts w:hint="eastAsia" w:ascii="宋体" w:hAnsi="宋体"/>
        </w:rPr>
        <w:t>屈服应力</w:t>
      </w:r>
      <w:r>
        <w:rPr>
          <w:rFonts w:ascii="宋体" w:hAnsi="宋体"/>
        </w:rPr>
        <w:t xml:space="preserve">                   &gt; 22Mpa                       </w:t>
      </w:r>
    </w:p>
    <w:p>
      <w:pPr>
        <w:spacing w:line="360" w:lineRule="auto"/>
        <w:ind w:firstLine="105" w:firstLineChars="50"/>
        <w:rPr>
          <w:rFonts w:ascii="宋体"/>
        </w:rPr>
      </w:pPr>
      <w:r>
        <w:rPr>
          <w:rFonts w:hint="eastAsia" w:ascii="宋体" w:hAnsi="宋体"/>
        </w:rPr>
        <w:t>熔融温度</w:t>
      </w:r>
      <w:r>
        <w:rPr>
          <w:rFonts w:ascii="宋体" w:hAnsi="宋体"/>
        </w:rPr>
        <w:t xml:space="preserve">                   &lt; 146 </w:t>
      </w:r>
      <w:r>
        <w:rPr>
          <w:rFonts w:hint="eastAsia" w:ascii="宋体" w:hAnsi="宋体"/>
        </w:rPr>
        <w:t>℃</w:t>
      </w:r>
      <w:r>
        <w:rPr>
          <w:rFonts w:ascii="宋体" w:hAnsi="宋体"/>
        </w:rPr>
        <w:t xml:space="preserve">                      </w:t>
      </w:r>
    </w:p>
    <w:p>
      <w:pPr>
        <w:spacing w:line="360" w:lineRule="auto"/>
        <w:ind w:firstLine="105" w:firstLineChars="50"/>
        <w:rPr>
          <w:rFonts w:ascii="宋体" w:hAnsi="宋体"/>
        </w:rPr>
      </w:pPr>
      <w:r>
        <w:rPr>
          <w:rFonts w:hint="eastAsia" w:ascii="宋体" w:hAnsi="宋体"/>
        </w:rPr>
        <w:t>氧化诱导时间（</w:t>
      </w:r>
      <w:r>
        <w:rPr>
          <w:rFonts w:ascii="宋体" w:hAnsi="宋体"/>
        </w:rPr>
        <w:t>OIT</w:t>
      </w:r>
      <w:r>
        <w:rPr>
          <w:rFonts w:hint="eastAsia" w:ascii="宋体" w:hAnsi="宋体"/>
        </w:rPr>
        <w:t>）</w:t>
      </w:r>
      <w:r>
        <w:rPr>
          <w:rFonts w:ascii="宋体" w:hAnsi="宋体"/>
        </w:rPr>
        <w:t xml:space="preserve">        </w:t>
      </w:r>
      <w:r>
        <w:rPr>
          <w:rFonts w:hint="eastAsia" w:ascii="宋体" w:hAnsi="宋体"/>
        </w:rPr>
        <w:t>≧</w:t>
      </w:r>
      <w:r>
        <w:rPr>
          <w:rFonts w:ascii="宋体" w:hAnsi="宋体"/>
        </w:rPr>
        <w:t xml:space="preserve"> 20</w:t>
      </w:r>
      <w:r>
        <w:rPr>
          <w:rFonts w:hint="eastAsia" w:ascii="宋体" w:hAnsi="宋体"/>
        </w:rPr>
        <w:t>分钟（温度</w:t>
      </w:r>
      <w:r>
        <w:rPr>
          <w:rFonts w:ascii="宋体" w:hAnsi="宋体"/>
        </w:rPr>
        <w:t>210</w:t>
      </w:r>
      <w:r>
        <w:rPr>
          <w:rFonts w:hint="eastAsia" w:ascii="宋体" w:hAnsi="宋体"/>
        </w:rPr>
        <w:t>℃）</w:t>
      </w:r>
      <w:r>
        <w:rPr>
          <w:rFonts w:ascii="宋体" w:hAnsi="宋体"/>
        </w:rPr>
        <w:t xml:space="preserve">      </w:t>
      </w:r>
    </w:p>
    <w:p>
      <w:pPr>
        <w:spacing w:line="360" w:lineRule="auto"/>
        <w:ind w:firstLine="105" w:firstLineChars="50"/>
      </w:pPr>
      <w:r>
        <w:rPr>
          <w:rFonts w:ascii="宋体" w:hAnsi="宋体"/>
        </w:rPr>
        <w:t xml:space="preserve"> </w:t>
      </w:r>
      <w:r>
        <w:rPr>
          <w:rFonts w:hint="eastAsia"/>
        </w:rPr>
        <w:t>冲击性能</w:t>
      </w:r>
      <w:r>
        <w:t xml:space="preserve">                   &lt;  10%                      </w:t>
      </w:r>
    </w:p>
    <w:p>
      <w:pPr>
        <w:spacing w:line="360" w:lineRule="auto"/>
        <w:ind w:firstLine="105" w:firstLineChars="50"/>
        <w:rPr>
          <w:rFonts w:ascii="宋体"/>
        </w:rPr>
      </w:pPr>
      <w:r>
        <w:rPr>
          <w:rFonts w:hint="eastAsia"/>
        </w:rPr>
        <w:t>熔体质量流动速率（树脂）</w:t>
      </w:r>
      <w:r>
        <w:t xml:space="preserve">  </w:t>
      </w:r>
      <w:r>
        <w:rPr>
          <w:rFonts w:ascii="宋体" w:hAnsi="宋体"/>
        </w:rPr>
        <w:t xml:space="preserve"> </w:t>
      </w:r>
      <w:r>
        <w:rPr>
          <w:rFonts w:hint="eastAsia" w:ascii="宋体" w:hAnsi="宋体"/>
        </w:rPr>
        <w:t>≦</w:t>
      </w:r>
      <w:r>
        <w:rPr>
          <w:rFonts w:ascii="宋体" w:hAnsi="宋体"/>
        </w:rPr>
        <w:t xml:space="preserve"> 0.5g/10</w:t>
      </w:r>
      <w:r>
        <w:rPr>
          <w:rFonts w:hint="eastAsia" w:ascii="宋体" w:hAnsi="宋体"/>
        </w:rPr>
        <w:t>分钟</w:t>
      </w:r>
      <w:r>
        <w:rPr>
          <w:rFonts w:ascii="宋体" w:hAnsi="宋体"/>
        </w:rPr>
        <w:t xml:space="preserve">               ISO 15874:2003</w:t>
      </w:r>
    </w:p>
    <w:p>
      <w:pPr>
        <w:spacing w:line="360" w:lineRule="auto"/>
        <w:ind w:firstLine="105" w:firstLineChars="50"/>
        <w:rPr>
          <w:rFonts w:ascii="宋体"/>
        </w:rPr>
      </w:pPr>
      <w:r>
        <w:rPr>
          <w:rFonts w:hint="eastAsia"/>
        </w:rPr>
        <w:t>熔体质量流动速率（管材）</w:t>
      </w:r>
      <w:r>
        <w:t xml:space="preserve">   </w:t>
      </w:r>
      <w:r>
        <w:rPr>
          <w:rFonts w:hint="eastAsia"/>
        </w:rPr>
        <w:t>与树脂值偏差不大于</w:t>
      </w:r>
      <w:r>
        <w:t xml:space="preserve">30%        </w:t>
      </w:r>
      <w:r>
        <w:rPr>
          <w:rFonts w:ascii="宋体" w:hAnsi="宋体"/>
        </w:rPr>
        <w:t>ISO 15874:2003</w:t>
      </w:r>
    </w:p>
    <w:p>
      <w:pPr>
        <w:spacing w:line="360" w:lineRule="auto"/>
        <w:ind w:firstLine="105" w:firstLineChars="50"/>
        <w:rPr>
          <w:rFonts w:ascii="宋体"/>
        </w:rPr>
      </w:pPr>
      <w:r>
        <w:rPr>
          <w:rFonts w:hint="eastAsia"/>
        </w:rPr>
        <w:t>管不透光性</w:t>
      </w:r>
      <w:r>
        <w:t xml:space="preserve">                 </w:t>
      </w:r>
      <w:r>
        <w:rPr>
          <w:rFonts w:hint="eastAsia"/>
        </w:rPr>
        <w:t>可见光通过率</w:t>
      </w:r>
      <w:r>
        <w:t xml:space="preserve"> </w:t>
      </w:r>
      <w:r>
        <w:rPr>
          <w:rFonts w:hint="eastAsia" w:ascii="宋体" w:hAnsi="宋体"/>
        </w:rPr>
        <w:t>≦</w:t>
      </w:r>
      <w:r>
        <w:rPr>
          <w:rFonts w:ascii="宋体" w:hAnsi="宋体"/>
        </w:rPr>
        <w:t xml:space="preserve"> 0.2%          ISO 15874:2003</w:t>
      </w:r>
    </w:p>
    <w:p>
      <w:pPr>
        <w:spacing w:line="360" w:lineRule="auto"/>
        <w:ind w:firstLine="105" w:firstLineChars="50"/>
        <w:rPr>
          <w:b/>
        </w:rPr>
      </w:pPr>
      <w:r>
        <w:rPr>
          <w:b/>
        </w:rPr>
        <w:t>4.</w:t>
      </w:r>
      <w:r>
        <w:rPr>
          <w:rFonts w:hint="eastAsia"/>
          <w:b/>
        </w:rPr>
        <w:t>产品静液压试验</w:t>
      </w:r>
    </w:p>
    <w:p>
      <w:pPr>
        <w:spacing w:line="360" w:lineRule="auto"/>
        <w:ind w:firstLine="105" w:firstLineChars="50"/>
      </w:pPr>
      <w:r>
        <w:rPr>
          <w:rFonts w:hint="eastAsia"/>
        </w:rPr>
        <w:t>管材根据</w:t>
      </w:r>
      <w:r>
        <w:rPr>
          <w:b/>
        </w:rPr>
        <w:t>EN921</w:t>
      </w:r>
      <w:r>
        <w:rPr>
          <w:rFonts w:hint="eastAsia"/>
        </w:rPr>
        <w:t>进行试验，在试验期间不允许发生破裂和渗漏。</w:t>
      </w:r>
    </w:p>
    <w:tbl>
      <w:tblPr>
        <w:tblStyle w:val="49"/>
        <w:tblW w:w="8600" w:type="dxa"/>
        <w:tblInd w:w="93" w:type="dxa"/>
        <w:tblLayout w:type="fixed"/>
        <w:tblCellMar>
          <w:top w:w="0" w:type="dxa"/>
          <w:left w:w="108" w:type="dxa"/>
          <w:bottom w:w="0" w:type="dxa"/>
          <w:right w:w="108" w:type="dxa"/>
        </w:tblCellMar>
      </w:tblPr>
      <w:tblGrid>
        <w:gridCol w:w="1095"/>
        <w:gridCol w:w="1925"/>
        <w:gridCol w:w="1680"/>
        <w:gridCol w:w="1360"/>
        <w:gridCol w:w="1420"/>
        <w:gridCol w:w="1120"/>
      </w:tblGrid>
      <w:tr>
        <w:tblPrEx>
          <w:tblCellMar>
            <w:top w:w="0" w:type="dxa"/>
            <w:left w:w="108" w:type="dxa"/>
            <w:bottom w:w="0" w:type="dxa"/>
            <w:right w:w="108" w:type="dxa"/>
          </w:tblCellMar>
        </w:tblPrEx>
        <w:trPr>
          <w:trHeight w:val="375" w:hRule="atLeast"/>
        </w:trPr>
        <w:tc>
          <w:tcPr>
            <w:tcW w:w="1095" w:type="dxa"/>
            <w:tcBorders>
              <w:top w:val="nil"/>
              <w:left w:val="nil"/>
              <w:bottom w:val="nil"/>
              <w:right w:val="nil"/>
            </w:tcBorders>
            <w:vAlign w:val="center"/>
          </w:tcPr>
          <w:p>
            <w:pPr>
              <w:widowControl/>
              <w:jc w:val="center"/>
              <w:rPr>
                <w:kern w:val="0"/>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环向应力（</w:t>
            </w:r>
            <w:r>
              <w:rPr>
                <w:kern w:val="0"/>
                <w:szCs w:val="21"/>
              </w:rPr>
              <w:t>MPa</w:t>
            </w:r>
            <w:r>
              <w:rPr>
                <w:rFonts w:hint="eastAsia" w:ascii="宋体" w:hAnsi="宋体" w:cs="宋体"/>
                <w:kern w:val="0"/>
                <w:szCs w:val="21"/>
              </w:rPr>
              <w:t>）</w:t>
            </w:r>
            <w:r>
              <w:rPr>
                <w:kern w:val="0"/>
                <w:szCs w:val="21"/>
                <w:vertAlign w:val="superscript"/>
              </w:rPr>
              <w:t>*</w:t>
            </w:r>
          </w:p>
        </w:tc>
        <w:tc>
          <w:tcPr>
            <w:tcW w:w="168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试验温度（℃）</w:t>
            </w:r>
          </w:p>
        </w:tc>
        <w:tc>
          <w:tcPr>
            <w:tcW w:w="13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试验时间（</w:t>
            </w:r>
            <w:r>
              <w:rPr>
                <w:kern w:val="0"/>
                <w:szCs w:val="21"/>
              </w:rPr>
              <w:t>h</w:t>
            </w:r>
            <w:r>
              <w:rPr>
                <w:rFonts w:hint="eastAsia" w:ascii="宋体" w:hAnsi="宋体" w:cs="宋体"/>
                <w:kern w:val="0"/>
                <w:szCs w:val="21"/>
              </w:rPr>
              <w:t>）</w:t>
            </w:r>
          </w:p>
        </w:tc>
        <w:tc>
          <w:tcPr>
            <w:tcW w:w="14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试验环境</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试样数量</w:t>
            </w:r>
          </w:p>
        </w:tc>
      </w:tr>
      <w:tr>
        <w:tblPrEx>
          <w:tblCellMar>
            <w:top w:w="0" w:type="dxa"/>
            <w:left w:w="108" w:type="dxa"/>
            <w:bottom w:w="0" w:type="dxa"/>
            <w:right w:w="108" w:type="dxa"/>
          </w:tblCellMar>
        </w:tblPrEx>
        <w:trPr>
          <w:trHeight w:val="375" w:hRule="atLeast"/>
        </w:trPr>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1</w:t>
            </w:r>
          </w:p>
        </w:tc>
        <w:tc>
          <w:tcPr>
            <w:tcW w:w="1925"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16</w:t>
            </w:r>
          </w:p>
        </w:tc>
        <w:tc>
          <w:tcPr>
            <w:tcW w:w="168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20</w:t>
            </w:r>
          </w:p>
        </w:tc>
        <w:tc>
          <w:tcPr>
            <w:tcW w:w="13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w:t>
            </w:r>
          </w:p>
        </w:tc>
        <w:tc>
          <w:tcPr>
            <w:tcW w:w="14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水</w:t>
            </w:r>
            <w:r>
              <w:rPr>
                <w:kern w:val="0"/>
                <w:szCs w:val="21"/>
              </w:rPr>
              <w:t>-</w:t>
            </w:r>
            <w:r>
              <w:rPr>
                <w:rFonts w:hint="eastAsia" w:ascii="宋体" w:hAnsi="宋体" w:cs="宋体"/>
                <w:kern w:val="0"/>
                <w:szCs w:val="21"/>
              </w:rPr>
              <w:t>水</w:t>
            </w:r>
          </w:p>
        </w:tc>
        <w:tc>
          <w:tcPr>
            <w:tcW w:w="112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3</w:t>
            </w:r>
          </w:p>
        </w:tc>
      </w:tr>
      <w:tr>
        <w:tblPrEx>
          <w:tblCellMar>
            <w:top w:w="0" w:type="dxa"/>
            <w:left w:w="108" w:type="dxa"/>
            <w:bottom w:w="0" w:type="dxa"/>
            <w:right w:w="108" w:type="dxa"/>
          </w:tblCellMar>
        </w:tblPrEx>
        <w:trPr>
          <w:trHeight w:val="375" w:hRule="atLeast"/>
        </w:trPr>
        <w:tc>
          <w:tcPr>
            <w:tcW w:w="109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2</w:t>
            </w:r>
          </w:p>
        </w:tc>
        <w:tc>
          <w:tcPr>
            <w:tcW w:w="1925"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4.3</w:t>
            </w:r>
          </w:p>
        </w:tc>
        <w:tc>
          <w:tcPr>
            <w:tcW w:w="168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95</w:t>
            </w:r>
          </w:p>
        </w:tc>
        <w:tc>
          <w:tcPr>
            <w:tcW w:w="13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22</w:t>
            </w:r>
          </w:p>
        </w:tc>
        <w:tc>
          <w:tcPr>
            <w:tcW w:w="14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水</w:t>
            </w:r>
            <w:r>
              <w:rPr>
                <w:kern w:val="0"/>
                <w:szCs w:val="21"/>
              </w:rPr>
              <w:t>-</w:t>
            </w:r>
            <w:r>
              <w:rPr>
                <w:rFonts w:hint="eastAsia" w:ascii="宋体" w:hAnsi="宋体" w:cs="宋体"/>
                <w:kern w:val="0"/>
                <w:szCs w:val="21"/>
              </w:rPr>
              <w:t>水</w:t>
            </w:r>
          </w:p>
        </w:tc>
        <w:tc>
          <w:tcPr>
            <w:tcW w:w="112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3</w:t>
            </w:r>
          </w:p>
        </w:tc>
      </w:tr>
      <w:tr>
        <w:tblPrEx>
          <w:tblCellMar>
            <w:top w:w="0" w:type="dxa"/>
            <w:left w:w="108" w:type="dxa"/>
            <w:bottom w:w="0" w:type="dxa"/>
            <w:right w:w="108" w:type="dxa"/>
          </w:tblCellMar>
        </w:tblPrEx>
        <w:trPr>
          <w:trHeight w:val="375" w:hRule="atLeast"/>
        </w:trPr>
        <w:tc>
          <w:tcPr>
            <w:tcW w:w="109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3</w:t>
            </w:r>
          </w:p>
        </w:tc>
        <w:tc>
          <w:tcPr>
            <w:tcW w:w="1925"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3.8</w:t>
            </w:r>
          </w:p>
        </w:tc>
        <w:tc>
          <w:tcPr>
            <w:tcW w:w="168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95</w:t>
            </w:r>
          </w:p>
        </w:tc>
        <w:tc>
          <w:tcPr>
            <w:tcW w:w="13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165</w:t>
            </w:r>
          </w:p>
        </w:tc>
        <w:tc>
          <w:tcPr>
            <w:tcW w:w="14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水</w:t>
            </w:r>
            <w:r>
              <w:rPr>
                <w:kern w:val="0"/>
                <w:szCs w:val="21"/>
              </w:rPr>
              <w:t>-</w:t>
            </w:r>
            <w:r>
              <w:rPr>
                <w:rFonts w:hint="eastAsia" w:ascii="宋体" w:hAnsi="宋体" w:cs="宋体"/>
                <w:kern w:val="0"/>
                <w:szCs w:val="21"/>
              </w:rPr>
              <w:t>水</w:t>
            </w:r>
          </w:p>
        </w:tc>
        <w:tc>
          <w:tcPr>
            <w:tcW w:w="112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3</w:t>
            </w:r>
          </w:p>
        </w:tc>
      </w:tr>
      <w:tr>
        <w:tblPrEx>
          <w:tblCellMar>
            <w:top w:w="0" w:type="dxa"/>
            <w:left w:w="108" w:type="dxa"/>
            <w:bottom w:w="0" w:type="dxa"/>
            <w:right w:w="108" w:type="dxa"/>
          </w:tblCellMar>
        </w:tblPrEx>
        <w:trPr>
          <w:trHeight w:val="375" w:hRule="atLeast"/>
        </w:trPr>
        <w:tc>
          <w:tcPr>
            <w:tcW w:w="109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4</w:t>
            </w:r>
          </w:p>
        </w:tc>
        <w:tc>
          <w:tcPr>
            <w:tcW w:w="1925"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3.5</w:t>
            </w:r>
          </w:p>
        </w:tc>
        <w:tc>
          <w:tcPr>
            <w:tcW w:w="168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95</w:t>
            </w:r>
          </w:p>
        </w:tc>
        <w:tc>
          <w:tcPr>
            <w:tcW w:w="13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1000</w:t>
            </w:r>
          </w:p>
        </w:tc>
        <w:tc>
          <w:tcPr>
            <w:tcW w:w="14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水</w:t>
            </w:r>
            <w:r>
              <w:rPr>
                <w:kern w:val="0"/>
                <w:szCs w:val="21"/>
              </w:rPr>
              <w:t>-</w:t>
            </w:r>
            <w:r>
              <w:rPr>
                <w:rFonts w:hint="eastAsia" w:ascii="宋体" w:hAnsi="宋体" w:cs="宋体"/>
                <w:kern w:val="0"/>
                <w:szCs w:val="21"/>
              </w:rPr>
              <w:t>水</w:t>
            </w:r>
          </w:p>
        </w:tc>
        <w:tc>
          <w:tcPr>
            <w:tcW w:w="112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3</w:t>
            </w:r>
          </w:p>
        </w:tc>
      </w:tr>
      <w:tr>
        <w:tblPrEx>
          <w:tblCellMar>
            <w:top w:w="0" w:type="dxa"/>
            <w:left w:w="108" w:type="dxa"/>
            <w:bottom w:w="0" w:type="dxa"/>
            <w:right w:w="108" w:type="dxa"/>
          </w:tblCellMar>
        </w:tblPrEx>
        <w:trPr>
          <w:trHeight w:val="375" w:hRule="atLeast"/>
        </w:trPr>
        <w:tc>
          <w:tcPr>
            <w:tcW w:w="109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测试</w:t>
            </w:r>
            <w:r>
              <w:rPr>
                <w:kern w:val="0"/>
                <w:szCs w:val="21"/>
              </w:rPr>
              <w:t>5</w:t>
            </w:r>
          </w:p>
        </w:tc>
        <w:tc>
          <w:tcPr>
            <w:tcW w:w="1925"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1.9</w:t>
            </w:r>
          </w:p>
        </w:tc>
        <w:tc>
          <w:tcPr>
            <w:tcW w:w="168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110</w:t>
            </w:r>
          </w:p>
        </w:tc>
        <w:tc>
          <w:tcPr>
            <w:tcW w:w="136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8760</w:t>
            </w:r>
          </w:p>
        </w:tc>
        <w:tc>
          <w:tcPr>
            <w:tcW w:w="1420"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水</w:t>
            </w:r>
            <w:r>
              <w:rPr>
                <w:kern w:val="0"/>
                <w:szCs w:val="21"/>
              </w:rPr>
              <w:t>-</w:t>
            </w:r>
            <w:r>
              <w:rPr>
                <w:rFonts w:hint="eastAsia" w:ascii="宋体" w:hAnsi="宋体" w:cs="宋体"/>
                <w:kern w:val="0"/>
                <w:szCs w:val="21"/>
              </w:rPr>
              <w:t>空气</w:t>
            </w:r>
          </w:p>
        </w:tc>
        <w:tc>
          <w:tcPr>
            <w:tcW w:w="1120"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1</w:t>
            </w:r>
          </w:p>
        </w:tc>
      </w:tr>
    </w:tbl>
    <w:p>
      <w:pPr>
        <w:spacing w:line="360" w:lineRule="auto"/>
        <w:ind w:firstLine="105" w:firstLineChars="50"/>
      </w:pPr>
      <w:r>
        <w:t xml:space="preserve">* </w:t>
      </w:r>
      <w:r>
        <w:rPr>
          <w:rFonts w:hint="eastAsia"/>
        </w:rPr>
        <w:t>管材内压应根据其几何形状（外径和壁厚）计算。</w:t>
      </w:r>
    </w:p>
    <w:p>
      <w:pPr>
        <w:spacing w:line="360" w:lineRule="auto"/>
        <w:ind w:firstLine="105" w:firstLineChars="50"/>
        <w:rPr>
          <w:b/>
        </w:rPr>
      </w:pPr>
      <w:r>
        <w:rPr>
          <w:b/>
        </w:rPr>
        <w:t>5.</w:t>
      </w:r>
      <w:r>
        <w:rPr>
          <w:rFonts w:hint="eastAsia"/>
          <w:b/>
        </w:rPr>
        <w:t>树脂与卫生性能</w:t>
      </w:r>
    </w:p>
    <w:p>
      <w:pPr>
        <w:spacing w:line="360" w:lineRule="auto"/>
        <w:ind w:firstLine="105" w:firstLineChars="50"/>
      </w:pPr>
      <w:r>
        <w:rPr>
          <w:rFonts w:hint="eastAsia"/>
        </w:rPr>
        <w:t>用于制造管材的树脂必须具有国家卫生权威机构出具的卫生许可证。</w:t>
      </w:r>
    </w:p>
    <w:p>
      <w:pPr>
        <w:spacing w:line="360" w:lineRule="auto"/>
        <w:ind w:firstLine="105" w:firstLineChars="50"/>
        <w:rPr>
          <w:b/>
        </w:rPr>
      </w:pPr>
      <w:r>
        <w:rPr>
          <w:b/>
        </w:rPr>
        <w:t>2.6</w:t>
      </w:r>
      <w:r>
        <w:rPr>
          <w:rFonts w:hint="eastAsia"/>
          <w:b/>
        </w:rPr>
        <w:t>尺寸</w:t>
      </w:r>
    </w:p>
    <w:p>
      <w:pPr>
        <w:spacing w:line="360" w:lineRule="auto"/>
        <w:ind w:firstLine="105" w:firstLineChars="50"/>
      </w:pPr>
      <w:r>
        <w:rPr>
          <w:rFonts w:hint="eastAsia"/>
        </w:rPr>
        <w:t>外径、内径、壁厚和不圆度应符合国际标准</w:t>
      </w:r>
      <w:r>
        <w:rPr>
          <w:b/>
        </w:rPr>
        <w:t>ISO 15874-2:2003</w:t>
      </w:r>
      <w:r>
        <w:rPr>
          <w:rFonts w:hint="eastAsia"/>
        </w:rPr>
        <w:t>第</w:t>
      </w:r>
      <w:r>
        <w:t>6.2</w:t>
      </w:r>
      <w:r>
        <w:rPr>
          <w:rFonts w:hint="eastAsia"/>
        </w:rPr>
        <w:t>节“几何尺寸”所给值和公差指标要求。</w:t>
      </w:r>
    </w:p>
    <w:p>
      <w:pPr>
        <w:spacing w:line="360" w:lineRule="auto"/>
        <w:ind w:firstLine="105" w:firstLineChars="50"/>
        <w:rPr>
          <w:b/>
        </w:rPr>
      </w:pPr>
      <w:r>
        <w:rPr>
          <w:b/>
        </w:rPr>
        <w:t>6.</w:t>
      </w:r>
      <w:r>
        <w:rPr>
          <w:rFonts w:hint="eastAsia"/>
          <w:b/>
        </w:rPr>
        <w:t>肉眼检查</w:t>
      </w:r>
    </w:p>
    <w:p>
      <w:pPr>
        <w:spacing w:line="360" w:lineRule="auto"/>
      </w:pPr>
      <w:r>
        <w:rPr>
          <w:rFonts w:hint="eastAsia"/>
        </w:rPr>
        <w:t>所有交付管材在接收时颜色有较大差异（因为储藏期间长时间暴露于紫外光照射下而引起的明显变色）或交付时表面含有可见杂质，或超过壁厚</w:t>
      </w:r>
      <w:r>
        <w:t>10%</w:t>
      </w:r>
      <w:r>
        <w:rPr>
          <w:rFonts w:hint="eastAsia"/>
        </w:rPr>
        <w:t>的刮痕或有孔隙等应退回供应商调换。</w:t>
      </w:r>
    </w:p>
    <w:p>
      <w:pPr>
        <w:spacing w:line="360" w:lineRule="auto"/>
        <w:ind w:firstLine="105" w:firstLineChars="50"/>
        <w:rPr>
          <w:b/>
        </w:rPr>
      </w:pPr>
      <w:r>
        <w:rPr>
          <w:b/>
        </w:rPr>
        <w:t>7.</w:t>
      </w:r>
      <w:r>
        <w:rPr>
          <w:rFonts w:hint="eastAsia"/>
          <w:b/>
        </w:rPr>
        <w:t>管件</w:t>
      </w:r>
    </w:p>
    <w:p>
      <w:pPr>
        <w:spacing w:line="360" w:lineRule="auto"/>
        <w:ind w:firstLine="105" w:firstLineChars="50"/>
      </w:pPr>
      <w:r>
        <w:rPr>
          <w:rFonts w:hint="eastAsia"/>
        </w:rPr>
        <w:t>管件质量必须符合上述管材规格要求。为保证熔结质量良好，管材和管件需由相同的生产商、采用相同的树脂生产而成。</w:t>
      </w:r>
    </w:p>
    <w:p>
      <w:pPr>
        <w:spacing w:line="360" w:lineRule="auto"/>
        <w:ind w:firstLine="105" w:firstLineChars="50"/>
        <w:rPr>
          <w:b/>
        </w:rPr>
      </w:pPr>
      <w:r>
        <w:rPr>
          <w:b/>
        </w:rPr>
        <w:t>8.</w:t>
      </w:r>
      <w:r>
        <w:rPr>
          <w:rFonts w:hint="eastAsia"/>
          <w:b/>
        </w:rPr>
        <w:t>其他</w:t>
      </w:r>
    </w:p>
    <w:p>
      <w:pPr>
        <w:spacing w:line="360" w:lineRule="auto"/>
        <w:ind w:firstLine="105" w:firstLineChars="50"/>
      </w:pPr>
      <w:r>
        <w:rPr>
          <w:rFonts w:hint="eastAsia"/>
        </w:rPr>
        <w:t>所有管材交货时，两端必须封口。</w:t>
      </w:r>
    </w:p>
    <w:p>
      <w:pPr>
        <w:spacing w:line="360" w:lineRule="auto"/>
        <w:ind w:firstLine="105" w:firstLineChars="50"/>
        <w:rPr>
          <w:szCs w:val="21"/>
        </w:rPr>
        <w:sectPr>
          <w:footerReference r:id="rId5" w:type="default"/>
          <w:pgSz w:w="11906" w:h="16838"/>
          <w:pgMar w:top="1418" w:right="1418" w:bottom="1361" w:left="1418" w:header="851" w:footer="992" w:gutter="0"/>
          <w:pgNumType w:fmt="numberInDash" w:start="1"/>
          <w:cols w:space="425" w:num="1"/>
          <w:docGrid w:linePitch="312" w:charSpace="0"/>
        </w:sectPr>
      </w:pPr>
    </w:p>
    <w:p>
      <w:pPr>
        <w:spacing w:line="480" w:lineRule="exact"/>
        <w:rPr>
          <w:rFonts w:hint="eastAsia" w:ascii="宋体" w:hAnsi="宋体"/>
          <w:b/>
          <w:sz w:val="24"/>
          <w:szCs w:val="24"/>
          <w:lang w:eastAsia="zh-CN"/>
        </w:rPr>
      </w:pPr>
    </w:p>
    <w:p>
      <w:pPr>
        <w:spacing w:line="480" w:lineRule="exact"/>
        <w:rPr>
          <w:rFonts w:ascii="宋体" w:hAnsi="宋体"/>
          <w:b/>
          <w:sz w:val="24"/>
          <w:szCs w:val="24"/>
        </w:rPr>
      </w:pPr>
      <w:r>
        <w:rPr>
          <w:rFonts w:hint="eastAsia" w:ascii="宋体" w:hAnsi="宋体"/>
          <w:b/>
          <w:sz w:val="24"/>
          <w:szCs w:val="24"/>
        </w:rPr>
        <w:t>（二）质量要求</w:t>
      </w:r>
    </w:p>
    <w:p>
      <w:pPr>
        <w:spacing w:line="480" w:lineRule="exact"/>
        <w:ind w:left="707" w:leftChars="171" w:hanging="348" w:hangingChars="145"/>
        <w:rPr>
          <w:rFonts w:ascii="宋体" w:hAnsi="宋体"/>
          <w:sz w:val="24"/>
          <w:szCs w:val="24"/>
        </w:rPr>
      </w:pPr>
      <w:r>
        <w:rPr>
          <w:rFonts w:hint="eastAsia" w:ascii="宋体" w:hAnsi="宋体"/>
          <w:sz w:val="24"/>
          <w:szCs w:val="24"/>
        </w:rPr>
        <w:t>1.</w:t>
      </w:r>
      <w:r>
        <w:rPr>
          <w:sz w:val="24"/>
          <w:szCs w:val="24"/>
        </w:rPr>
        <w:t xml:space="preserve"> 合同签订后，中标人供应的货物经采购方委托的检测机购检测，常规项目第一次出现不合格的，中标人需在三个日历天内无条件换货并将不合格货物处理完毕（期间所发生的费用中标人自理），采购方将给与中标人警告一次，同时扣除货款的10%作为处罚，一年期内，累计出现两次常规项目检测不合格的，釆购人将无条件解除合同，取消其供货资格</w:t>
      </w:r>
      <w:r>
        <w:rPr>
          <w:rFonts w:hint="eastAsia"/>
          <w:sz w:val="24"/>
          <w:szCs w:val="24"/>
        </w:rPr>
        <w:t xml:space="preserve"> </w:t>
      </w:r>
      <w:r>
        <w:rPr>
          <w:sz w:val="24"/>
          <w:szCs w:val="24"/>
        </w:rPr>
        <w:t>。</w:t>
      </w:r>
    </w:p>
    <w:p>
      <w:pPr>
        <w:pStyle w:val="44"/>
        <w:spacing w:line="480" w:lineRule="atLeast"/>
        <w:ind w:left="675" w:leftChars="150" w:hanging="360" w:hangingChars="150"/>
        <w:rPr>
          <w:rFonts w:hint="eastAsia"/>
          <w:sz w:val="24"/>
          <w:szCs w:val="24"/>
        </w:rPr>
      </w:pPr>
      <w:r>
        <w:rPr>
          <w:rFonts w:hint="eastAsia"/>
          <w:sz w:val="24"/>
          <w:szCs w:val="24"/>
        </w:rPr>
        <w:t>2.</w:t>
      </w:r>
      <w:r>
        <w:rPr>
          <w:sz w:val="24"/>
          <w:szCs w:val="24"/>
        </w:rPr>
        <w:t xml:space="preserve"> 中标人供应的货物经釆购方委托的检测机构检测，安全性评价项目出现不合格的，采购方将无条件解除合同，取消其</w:t>
      </w:r>
      <w:r>
        <w:rPr>
          <w:rFonts w:hint="eastAsia"/>
          <w:sz w:val="24"/>
          <w:szCs w:val="24"/>
        </w:rPr>
        <w:t>供</w:t>
      </w:r>
      <w:r>
        <w:rPr>
          <w:sz w:val="24"/>
          <w:szCs w:val="24"/>
        </w:rPr>
        <w:t>货资格，同时全额没收履约保证金</w:t>
      </w:r>
      <w:r>
        <w:rPr>
          <w:rFonts w:hint="eastAsia"/>
          <w:sz w:val="24"/>
          <w:szCs w:val="24"/>
        </w:rPr>
        <w:t>。（</w:t>
      </w:r>
      <w:r>
        <w:rPr>
          <w:sz w:val="24"/>
          <w:szCs w:val="24"/>
        </w:rPr>
        <w:t>检测不合格是指所检测常规项目和安全性评价项目中出现任一项不合格项。</w:t>
      </w:r>
      <w:r>
        <w:rPr>
          <w:rFonts w:hint="eastAsia"/>
          <w:sz w:val="24"/>
          <w:szCs w:val="24"/>
        </w:rPr>
        <w:t>）</w:t>
      </w:r>
      <w:r>
        <w:rPr>
          <w:sz w:val="24"/>
          <w:szCs w:val="24"/>
        </w:rPr>
        <w:t xml:space="preserve"> </w:t>
      </w:r>
    </w:p>
    <w:p>
      <w:pPr>
        <w:pStyle w:val="20"/>
        <w:spacing w:line="400" w:lineRule="exact"/>
        <w:ind w:firstLine="240" w:firstLineChars="100"/>
        <w:rPr>
          <w:rFonts w:ascii="宋体" w:hAnsi="宋体" w:eastAsia="宋体"/>
          <w:sz w:val="24"/>
          <w:szCs w:val="24"/>
        </w:rPr>
      </w:pPr>
      <w:r>
        <w:rPr>
          <w:rFonts w:hint="eastAsia" w:ascii="宋体" w:hAnsi="宋体" w:eastAsia="宋体"/>
          <w:sz w:val="24"/>
          <w:szCs w:val="24"/>
        </w:rPr>
        <w:t xml:space="preserve"> </w:t>
      </w:r>
    </w:p>
    <w:p>
      <w:pPr>
        <w:tabs>
          <w:tab w:val="left" w:pos="1050"/>
        </w:tabs>
        <w:spacing w:before="166" w:beforeLines="50" w:after="166" w:afterLines="50" w:line="336" w:lineRule="auto"/>
        <w:ind w:left="420" w:leftChars="200" w:firstLine="3361" w:firstLineChars="1395"/>
        <w:rPr>
          <w:rFonts w:hint="eastAsia" w:ascii="宋体" w:hAnsi="宋体"/>
          <w:b/>
          <w:sz w:val="24"/>
          <w:szCs w:val="24"/>
        </w:rPr>
      </w:pPr>
    </w:p>
    <w:p>
      <w:pPr>
        <w:tabs>
          <w:tab w:val="left" w:pos="1050"/>
        </w:tabs>
        <w:spacing w:before="166" w:beforeLines="50" w:after="166" w:afterLines="50" w:line="336" w:lineRule="auto"/>
        <w:ind w:left="420" w:leftChars="200" w:firstLine="3361" w:firstLineChars="1395"/>
        <w:rPr>
          <w:rFonts w:ascii="宋体" w:hAnsi="宋体"/>
          <w:b/>
          <w:sz w:val="24"/>
          <w:szCs w:val="24"/>
        </w:rPr>
      </w:pPr>
      <w:r>
        <w:rPr>
          <w:rFonts w:hint="eastAsia" w:ascii="宋体" w:hAnsi="宋体"/>
          <w:b/>
          <w:sz w:val="24"/>
          <w:szCs w:val="24"/>
        </w:rPr>
        <w:t>三、商务要求</w:t>
      </w:r>
    </w:p>
    <w:p>
      <w:pPr>
        <w:spacing w:line="336" w:lineRule="auto"/>
        <w:ind w:left="784" w:leftChars="202" w:hanging="360" w:hangingChars="150"/>
        <w:rPr>
          <w:rFonts w:ascii="宋体" w:hAnsi="宋体"/>
          <w:sz w:val="24"/>
        </w:rPr>
      </w:pPr>
      <w:r>
        <w:rPr>
          <w:rFonts w:hint="eastAsia" w:ascii="宋体" w:hAnsi="宋体"/>
          <w:sz w:val="24"/>
        </w:rPr>
        <w:t>1、如果在技术参数或配置中标明了品牌、经销商或产地，则仅供参考，并非指定，但投标人提供的货物必须满足主要技术参数及配置要求，投标人可以选用替代的方案，但这种替代整体上要优于或相当于招标文件的相关要求。</w:t>
      </w:r>
    </w:p>
    <w:p>
      <w:pPr>
        <w:spacing w:line="336" w:lineRule="auto"/>
        <w:ind w:left="784" w:leftChars="202" w:hanging="360" w:hangingChars="150"/>
        <w:rPr>
          <w:rFonts w:ascii="宋体" w:hAnsi="宋体"/>
          <w:b/>
          <w:sz w:val="24"/>
        </w:rPr>
      </w:pPr>
      <w:r>
        <w:rPr>
          <w:rFonts w:hint="eastAsia" w:ascii="宋体" w:hAnsi="宋体"/>
          <w:sz w:val="24"/>
        </w:rPr>
        <w:t>2、所有货物要完全符合国家质量标准，提供厂家出具的合格证书、有国家强制性认证要求的产品须提供3C证书（如有），货物的技术参数及配置情况必须由投标人提供制造商的技术资料予以支持，如有相关检测机构出具的检验报告须提供检测报告。没有技术资料支持的技术参数及配置不能视为响应。</w:t>
      </w:r>
      <w:r>
        <w:rPr>
          <w:rFonts w:hint="eastAsia" w:ascii="宋体" w:hAnsi="宋体"/>
          <w:sz w:val="24"/>
          <w:szCs w:val="24"/>
        </w:rPr>
        <w:t>投标报价包含了交付使用前的全部费用，</w:t>
      </w:r>
      <w:r>
        <w:rPr>
          <w:rFonts w:hint="eastAsia" w:ascii="宋体" w:hAnsi="宋体"/>
          <w:b/>
          <w:sz w:val="24"/>
          <w:szCs w:val="24"/>
        </w:rPr>
        <w:t>填报的单价包括货物购置费（包括所有主材、附件、备品备件及专用工具费等）、制作费、保险费、运输费、质保期内的维修费、验收费用、风险费、成品包装费、成品保护费及招标文件中要求的相关费用</w:t>
      </w:r>
      <w:r>
        <w:rPr>
          <w:rFonts w:ascii="宋体" w:hAnsi="宋体"/>
          <w:b/>
          <w:sz w:val="24"/>
          <w:szCs w:val="24"/>
        </w:rPr>
        <w:t xml:space="preserve"> </w:t>
      </w:r>
      <w:r>
        <w:rPr>
          <w:rFonts w:hint="eastAsia" w:ascii="宋体" w:hAnsi="宋体"/>
          <w:b/>
          <w:sz w:val="24"/>
          <w:szCs w:val="24"/>
        </w:rPr>
        <w:t>（如包装费、仓储费、保管费及质保服务费、资料费、招标代理服务费以及完成本项目所需要的其他费用）及所有税金及合理利润等。</w:t>
      </w:r>
    </w:p>
    <w:p>
      <w:pPr>
        <w:spacing w:line="336" w:lineRule="auto"/>
        <w:ind w:left="784" w:leftChars="202" w:hanging="360" w:hangingChars="150"/>
        <w:rPr>
          <w:rFonts w:ascii="宋体" w:hAnsi="宋体"/>
          <w:sz w:val="24"/>
        </w:rPr>
      </w:pPr>
      <w:r>
        <w:rPr>
          <w:rFonts w:hint="eastAsia" w:ascii="宋体" w:hAnsi="宋体"/>
          <w:sz w:val="24"/>
        </w:rPr>
        <w:t>3、</w:t>
      </w:r>
      <w:r>
        <w:rPr>
          <w:rFonts w:hint="eastAsia" w:ascii="宋体" w:hAnsi="宋体" w:cs="Arial"/>
          <w:sz w:val="24"/>
        </w:rPr>
        <w:t>中标人应</w:t>
      </w:r>
      <w:r>
        <w:rPr>
          <w:rFonts w:ascii="宋体" w:hAnsi="宋体" w:cs="Arial"/>
          <w:sz w:val="24"/>
        </w:rPr>
        <w:t>根据</w:t>
      </w:r>
      <w:r>
        <w:rPr>
          <w:rFonts w:hint="eastAsia" w:ascii="宋体" w:hAnsi="宋体" w:cs="Arial"/>
          <w:sz w:val="24"/>
        </w:rPr>
        <w:t>招标人</w:t>
      </w:r>
      <w:r>
        <w:rPr>
          <w:rFonts w:ascii="宋体" w:hAnsi="宋体" w:cs="Arial"/>
          <w:sz w:val="24"/>
        </w:rPr>
        <w:t>提供的使用单位名称、地址以及货物数量和时间</w:t>
      </w:r>
      <w:r>
        <w:rPr>
          <w:rFonts w:hint="eastAsia" w:ascii="宋体" w:hAnsi="宋体" w:cs="Arial"/>
          <w:sz w:val="24"/>
        </w:rPr>
        <w:t>、运输方式</w:t>
      </w:r>
      <w:r>
        <w:rPr>
          <w:rFonts w:ascii="宋体" w:hAnsi="宋体" w:cs="Arial"/>
          <w:sz w:val="24"/>
        </w:rPr>
        <w:t>等</w:t>
      </w:r>
      <w:r>
        <w:rPr>
          <w:rFonts w:hint="eastAsia" w:ascii="宋体" w:hAnsi="宋体" w:cs="Arial"/>
          <w:sz w:val="24"/>
        </w:rPr>
        <w:t>要求分批供货</w:t>
      </w:r>
      <w:r>
        <w:rPr>
          <w:rFonts w:ascii="宋体" w:hAnsi="宋体" w:cs="Arial"/>
          <w:sz w:val="24"/>
        </w:rPr>
        <w:t>。</w:t>
      </w:r>
    </w:p>
    <w:p>
      <w:pPr>
        <w:spacing w:line="336" w:lineRule="auto"/>
        <w:ind w:left="420" w:leftChars="200"/>
        <w:rPr>
          <w:rFonts w:ascii="宋体" w:hAnsi="宋体"/>
          <w:sz w:val="24"/>
        </w:rPr>
      </w:pPr>
      <w:r>
        <w:rPr>
          <w:rFonts w:hint="eastAsia" w:ascii="宋体" w:hAnsi="宋体"/>
          <w:sz w:val="24"/>
        </w:rPr>
        <w:t>4、技术支持</w:t>
      </w:r>
    </w:p>
    <w:p>
      <w:pPr>
        <w:spacing w:line="336" w:lineRule="auto"/>
        <w:ind w:left="420" w:leftChars="200"/>
        <w:rPr>
          <w:rFonts w:ascii="宋体" w:hAnsi="宋体"/>
          <w:sz w:val="24"/>
        </w:rPr>
      </w:pPr>
      <w:r>
        <w:rPr>
          <w:rFonts w:hint="eastAsia" w:ascii="宋体" w:hAnsi="宋体"/>
          <w:sz w:val="24"/>
        </w:rPr>
        <w:t>4.1中标人应向招标人提供全方位、及时而有效的技术支持和服务。</w:t>
      </w:r>
    </w:p>
    <w:p>
      <w:pPr>
        <w:spacing w:line="336" w:lineRule="auto"/>
        <w:ind w:left="420" w:leftChars="200"/>
        <w:rPr>
          <w:rFonts w:ascii="宋体" w:hAnsi="宋体"/>
          <w:b/>
          <w:sz w:val="24"/>
          <w:u w:val="dotted"/>
        </w:rPr>
      </w:pPr>
      <w:r>
        <w:rPr>
          <w:rFonts w:hint="eastAsia" w:ascii="宋体" w:hAnsi="宋体"/>
          <w:sz w:val="24"/>
        </w:rPr>
        <w:t>4.2</w:t>
      </w:r>
      <w:r>
        <w:rPr>
          <w:rFonts w:hint="eastAsia" w:ascii="宋体" w:hAnsi="宋体"/>
          <w:b/>
          <w:sz w:val="24"/>
          <w:u w:val="thick"/>
        </w:rPr>
        <w:t>中标人负责货物的供货，如需中标人配合，应派技术人员到场，免费配合解决相关问题。</w:t>
      </w:r>
    </w:p>
    <w:p>
      <w:pPr>
        <w:spacing w:line="336" w:lineRule="auto"/>
        <w:ind w:left="420" w:leftChars="200"/>
        <w:rPr>
          <w:rFonts w:ascii="宋体" w:hAnsi="宋体"/>
          <w:sz w:val="24"/>
        </w:rPr>
      </w:pPr>
      <w:r>
        <w:rPr>
          <w:rFonts w:hint="eastAsia" w:ascii="宋体" w:hAnsi="宋体"/>
          <w:sz w:val="24"/>
        </w:rPr>
        <w:t>5、质保及售后服务：</w:t>
      </w:r>
    </w:p>
    <w:p>
      <w:pPr>
        <w:spacing w:line="336" w:lineRule="auto"/>
        <w:ind w:left="780" w:leftChars="200" w:hanging="360" w:hangingChars="150"/>
        <w:rPr>
          <w:rFonts w:ascii="宋体" w:hAnsi="宋体"/>
          <w:sz w:val="24"/>
        </w:rPr>
      </w:pPr>
      <w:r>
        <w:rPr>
          <w:rFonts w:hint="eastAsia" w:ascii="宋体" w:hAnsi="宋体"/>
          <w:sz w:val="24"/>
        </w:rPr>
        <w:t>5.1</w:t>
      </w:r>
      <w:r>
        <w:rPr>
          <w:rFonts w:hint="eastAsia" w:ascii="宋体" w:hAnsi="宋体"/>
          <w:b/>
          <w:sz w:val="24"/>
          <w:u w:val="thick"/>
        </w:rPr>
        <w:t>质保期为</w:t>
      </w:r>
      <w:r>
        <w:rPr>
          <w:rFonts w:hint="eastAsia" w:ascii="宋体" w:hAnsi="宋体"/>
          <w:b/>
          <w:sz w:val="24"/>
          <w:u w:val="thick"/>
          <w:lang w:eastAsia="zh-CN"/>
        </w:rPr>
        <w:t>两</w:t>
      </w:r>
      <w:r>
        <w:rPr>
          <w:rFonts w:hint="eastAsia" w:ascii="宋体" w:hAnsi="宋体"/>
          <w:b/>
          <w:sz w:val="24"/>
          <w:u w:val="thick"/>
        </w:rPr>
        <w:t>年。</w:t>
      </w:r>
      <w:r>
        <w:rPr>
          <w:rFonts w:hint="eastAsia" w:ascii="宋体" w:hAnsi="宋体"/>
          <w:sz w:val="24"/>
        </w:rPr>
        <w:t xml:space="preserve"> 中标人将负责免费处理所有正常使用过程中发现的质量问题。</w:t>
      </w:r>
    </w:p>
    <w:p>
      <w:pPr>
        <w:spacing w:line="336" w:lineRule="auto"/>
        <w:ind w:left="780" w:leftChars="200" w:hanging="360" w:hangingChars="150"/>
        <w:rPr>
          <w:rFonts w:ascii="宋体" w:hAnsi="宋体"/>
          <w:sz w:val="24"/>
        </w:rPr>
      </w:pPr>
      <w:r>
        <w:rPr>
          <w:rFonts w:hint="eastAsia" w:ascii="宋体" w:hAnsi="宋体"/>
          <w:sz w:val="24"/>
        </w:rPr>
        <w:t>5.2中标人须设有服务电话，负责解答用户在使用中遇到的问题，及时提出解决问题的建议和操作方法。</w:t>
      </w:r>
    </w:p>
    <w:p>
      <w:pPr>
        <w:spacing w:line="336" w:lineRule="auto"/>
        <w:ind w:left="780" w:leftChars="200" w:hanging="360" w:hangingChars="150"/>
        <w:rPr>
          <w:rFonts w:ascii="宋体" w:hAnsi="宋体"/>
          <w:sz w:val="24"/>
        </w:rPr>
      </w:pPr>
      <w:r>
        <w:rPr>
          <w:rFonts w:hint="eastAsia" w:ascii="宋体" w:hAnsi="宋体"/>
          <w:sz w:val="24"/>
        </w:rPr>
        <w:t>5.3故障响应时间：一旦发现产品质量问题，中标人保证在接报电话24小时内作出响应，在接到报电话后2日内派有能力、经验丰富的技术人员到现场处理。如果中标人未能及时处理，招标人可以有权进行处理，由此产生的费用由中标人承担。</w:t>
      </w:r>
    </w:p>
    <w:p>
      <w:pPr>
        <w:spacing w:line="336" w:lineRule="auto"/>
        <w:ind w:left="780" w:leftChars="200" w:hanging="360" w:hangingChars="150"/>
        <w:rPr>
          <w:rFonts w:ascii="宋体" w:hAnsi="宋体"/>
          <w:b/>
          <w:sz w:val="24"/>
          <w:u w:val="thick"/>
        </w:rPr>
      </w:pPr>
      <w:r>
        <w:rPr>
          <w:rFonts w:hint="eastAsia" w:ascii="宋体" w:hAnsi="宋体"/>
          <w:sz w:val="24"/>
        </w:rPr>
        <w:t>5.4（1）</w:t>
      </w:r>
      <w:r>
        <w:rPr>
          <w:rFonts w:hint="eastAsia" w:ascii="宋体" w:hAnsi="宋体"/>
          <w:b/>
          <w:sz w:val="24"/>
          <w:u w:val="thick"/>
        </w:rPr>
        <w:t>产品质量应符合本行业质量标准要求，具有权威部门出具的检测或检验报告。因质量出现问题，中标人负责包退、包换，由此引起招标人工期延误等相关损失费用由中标人负责。</w:t>
      </w:r>
    </w:p>
    <w:p>
      <w:pPr>
        <w:spacing w:line="336" w:lineRule="auto"/>
        <w:ind w:left="843" w:hanging="843" w:hangingChars="350"/>
        <w:rPr>
          <w:rFonts w:ascii="宋体" w:hAnsi="宋体"/>
          <w:b/>
          <w:sz w:val="24"/>
          <w:u w:val="thick"/>
        </w:rPr>
      </w:pPr>
      <w:r>
        <w:rPr>
          <w:rFonts w:hint="eastAsia" w:ascii="宋体" w:hAnsi="宋体"/>
          <w:b/>
          <w:sz w:val="24"/>
        </w:rPr>
        <w:t xml:space="preserve">    （2）</w:t>
      </w:r>
      <w:r>
        <w:rPr>
          <w:rFonts w:hint="eastAsia" w:ascii="宋体" w:hAnsi="宋体"/>
          <w:b/>
          <w:sz w:val="24"/>
          <w:u w:val="thick"/>
        </w:rPr>
        <w:t>由于包装不善引起的货物损坏和损失，由中标人负责。每批货应附质量合格证。</w:t>
      </w:r>
    </w:p>
    <w:p>
      <w:pPr>
        <w:spacing w:line="336" w:lineRule="auto"/>
        <w:ind w:left="843" w:hanging="843" w:hangingChars="350"/>
        <w:rPr>
          <w:rFonts w:ascii="宋体" w:hAnsi="宋体"/>
          <w:b/>
          <w:sz w:val="24"/>
          <w:u w:val="thick"/>
        </w:rPr>
      </w:pPr>
      <w:r>
        <w:rPr>
          <w:rFonts w:hint="eastAsia" w:ascii="宋体" w:hAnsi="宋体"/>
          <w:b/>
          <w:sz w:val="24"/>
        </w:rPr>
        <w:t xml:space="preserve">    （3）</w:t>
      </w:r>
      <w:r>
        <w:rPr>
          <w:rFonts w:hint="eastAsia" w:ascii="宋体" w:hAnsi="宋体"/>
          <w:b/>
          <w:sz w:val="24"/>
          <w:u w:val="thick"/>
        </w:rPr>
        <w:t>中标人承担货物交验前的一切损耗（已含在投标报价内），产品到达使用人指定地点后，除中标人提供材料检验报告（费用自理）外，招标人同时组织现场随机抽检。每批次送货应当提供该批产品的出厂合格记录和证明，每批次送货以现场验收为准，使用中如有问题需及时到现场解决，确属厂方原因应无条件退、换货并承担由此给招标人造成的损失。</w:t>
      </w:r>
    </w:p>
    <w:p>
      <w:pPr>
        <w:spacing w:line="336" w:lineRule="auto"/>
        <w:ind w:left="780" w:leftChars="200" w:hanging="360" w:hangingChars="150"/>
        <w:rPr>
          <w:rFonts w:ascii="宋体" w:hAnsi="宋体"/>
          <w:b/>
          <w:sz w:val="24"/>
          <w:u w:val="thick"/>
        </w:rPr>
      </w:pPr>
      <w:r>
        <w:rPr>
          <w:rFonts w:hint="eastAsia" w:ascii="宋体" w:hAnsi="宋体"/>
          <w:sz w:val="24"/>
        </w:rPr>
        <w:t>6、</w:t>
      </w:r>
      <w:r>
        <w:rPr>
          <w:rFonts w:hint="eastAsia" w:ascii="宋体" w:hAnsi="宋体"/>
          <w:b/>
          <w:sz w:val="24"/>
          <w:u w:val="thick"/>
        </w:rPr>
        <w:t>交货期: 根据招标人要求供货，中标人必须在招标人发出供货通知后</w:t>
      </w:r>
      <w:commentRangeStart w:id="3"/>
      <w:r>
        <w:rPr>
          <w:rFonts w:hint="eastAsia" w:ascii="宋体" w:hAnsi="宋体"/>
          <w:b/>
          <w:color w:val="FF0000"/>
          <w:sz w:val="24"/>
          <w:u w:val="thick"/>
          <w:lang w:val="en-US" w:eastAsia="zh-CN"/>
        </w:rPr>
        <w:t>七</w:t>
      </w:r>
      <w:r>
        <w:rPr>
          <w:rFonts w:hint="eastAsia" w:ascii="宋体" w:hAnsi="宋体"/>
          <w:b/>
          <w:color w:val="FF0000"/>
          <w:sz w:val="24"/>
          <w:u w:val="thick"/>
        </w:rPr>
        <w:t>日</w:t>
      </w:r>
      <w:commentRangeEnd w:id="3"/>
      <w:r>
        <w:commentReference w:id="3"/>
      </w:r>
      <w:r>
        <w:rPr>
          <w:rFonts w:hint="eastAsia" w:ascii="宋体" w:hAnsi="宋体"/>
          <w:b/>
          <w:sz w:val="24"/>
          <w:u w:val="thick"/>
        </w:rPr>
        <w:t>内将货物运至指定地点。（中标人应能随时确保招标人的需求，因中标人原因缺货而给招标人造成损失，由中标人负责无条件赔偿）</w:t>
      </w:r>
    </w:p>
    <w:p>
      <w:pPr>
        <w:spacing w:line="336" w:lineRule="auto"/>
        <w:ind w:left="420" w:leftChars="200"/>
        <w:rPr>
          <w:rFonts w:ascii="宋体" w:hAnsi="宋体"/>
          <w:sz w:val="24"/>
        </w:rPr>
      </w:pPr>
      <w:r>
        <w:rPr>
          <w:rFonts w:hint="eastAsia" w:ascii="宋体" w:hAnsi="宋体"/>
          <w:sz w:val="24"/>
        </w:rPr>
        <w:t>7、交货地点：招标人指定的地点。</w:t>
      </w:r>
    </w:p>
    <w:p>
      <w:pPr>
        <w:spacing w:line="336" w:lineRule="auto"/>
        <w:ind w:left="420" w:leftChars="200"/>
        <w:rPr>
          <w:rFonts w:ascii="宋体" w:hAnsi="宋体"/>
          <w:sz w:val="24"/>
        </w:rPr>
      </w:pPr>
      <w:r>
        <w:rPr>
          <w:rFonts w:hint="eastAsia" w:ascii="宋体" w:hAnsi="宋体"/>
          <w:sz w:val="24"/>
        </w:rPr>
        <w:t>8、验收：</w:t>
      </w:r>
    </w:p>
    <w:p>
      <w:pPr>
        <w:spacing w:line="336" w:lineRule="auto"/>
        <w:ind w:left="780" w:leftChars="200" w:hanging="360" w:hangingChars="150"/>
        <w:rPr>
          <w:rFonts w:ascii="宋体" w:hAnsi="宋体"/>
          <w:sz w:val="24"/>
        </w:rPr>
      </w:pPr>
      <w:r>
        <w:rPr>
          <w:rFonts w:hint="eastAsia" w:ascii="宋体" w:hAnsi="宋体"/>
          <w:sz w:val="24"/>
        </w:rPr>
        <w:t>8.1货物在验收时，中标人应提供发票（增值税专用发票）、制造厂家出具的产品合格证书、装箱清单等应由中标人提供的必要文件。</w:t>
      </w:r>
    </w:p>
    <w:p>
      <w:pPr>
        <w:spacing w:line="336" w:lineRule="auto"/>
        <w:ind w:left="420" w:leftChars="200"/>
        <w:rPr>
          <w:rFonts w:hint="eastAsia" w:ascii="宋体" w:hAnsi="宋体"/>
          <w:b/>
          <w:sz w:val="24"/>
          <w:u w:val="thick"/>
        </w:rPr>
      </w:pPr>
      <w:r>
        <w:rPr>
          <w:rFonts w:hint="eastAsia" w:ascii="宋体" w:hAnsi="宋体"/>
          <w:sz w:val="24"/>
        </w:rPr>
        <w:t>9、付款方式：</w:t>
      </w:r>
      <w:r>
        <w:rPr>
          <w:rFonts w:hint="eastAsia" w:ascii="宋体" w:hAnsi="宋体"/>
          <w:b/>
          <w:sz w:val="24"/>
          <w:u w:val="thick"/>
        </w:rPr>
        <w:t>卖方每批次货、票到且双方无异议，在二个月内付清。</w:t>
      </w:r>
      <w:bookmarkEnd w:id="11"/>
      <w:bookmarkEnd w:id="12"/>
      <w:bookmarkEnd w:id="38"/>
      <w:bookmarkStart w:id="39" w:name="_Toc389733414"/>
      <w:bookmarkStart w:id="40" w:name="_Toc436319646"/>
    </w:p>
    <w:p>
      <w:pPr>
        <w:pStyle w:val="2"/>
        <w:widowControl/>
        <w:numPr>
          <w:ilvl w:val="0"/>
          <w:numId w:val="7"/>
        </w:numPr>
        <w:tabs>
          <w:tab w:val="left" w:pos="0"/>
        </w:tabs>
        <w:jc w:val="center"/>
        <w:rPr>
          <w:rFonts w:hint="eastAsia" w:ascii="宋体" w:hAnsi="宋体" w:eastAsia="宋体"/>
          <w:b/>
          <w:sz w:val="32"/>
          <w:szCs w:val="32"/>
        </w:rPr>
      </w:pPr>
      <w:r>
        <w:rPr>
          <w:rFonts w:hint="eastAsia" w:ascii="宋体" w:hAnsi="宋体" w:eastAsia="宋体"/>
          <w:b/>
          <w:sz w:val="32"/>
          <w:szCs w:val="32"/>
        </w:rPr>
        <w:t xml:space="preserve"> 评标办法</w:t>
      </w:r>
    </w:p>
    <w:p>
      <w:pPr>
        <w:spacing w:line="400" w:lineRule="exact"/>
        <w:ind w:left="482" w:hanging="482" w:hangingChars="200"/>
        <w:rPr>
          <w:rFonts w:ascii="宋体" w:hAnsi="宋体"/>
          <w:b/>
          <w:sz w:val="24"/>
          <w:szCs w:val="24"/>
        </w:rPr>
      </w:pPr>
      <w:r>
        <w:rPr>
          <w:rFonts w:hint="eastAsia" w:ascii="宋体" w:hAnsi="宋体"/>
          <w:b/>
          <w:sz w:val="24"/>
          <w:szCs w:val="24"/>
        </w:rPr>
        <w:t>1、评标办法</w:t>
      </w:r>
    </w:p>
    <w:p>
      <w:pPr>
        <w:spacing w:line="540" w:lineRule="exact"/>
        <w:ind w:left="482" w:hanging="482" w:hangingChars="200"/>
        <w:rPr>
          <w:rFonts w:hint="eastAsia" w:ascii="宋体" w:hAnsi="宋体"/>
          <w:b/>
          <w:sz w:val="24"/>
          <w:szCs w:val="24"/>
        </w:rPr>
      </w:pPr>
      <w:r>
        <w:rPr>
          <w:rFonts w:hint="eastAsia" w:ascii="宋体" w:hAnsi="宋体"/>
          <w:b/>
          <w:sz w:val="24"/>
          <w:szCs w:val="24"/>
        </w:rPr>
        <w:t>一、评审办法</w:t>
      </w:r>
    </w:p>
    <w:p>
      <w:pPr>
        <w:spacing w:line="540" w:lineRule="exact"/>
        <w:ind w:left="480" w:hanging="480" w:hangingChars="200"/>
        <w:rPr>
          <w:rFonts w:hint="eastAsia" w:ascii="宋体" w:hAnsi="宋体"/>
          <w:sz w:val="24"/>
          <w:szCs w:val="24"/>
        </w:rPr>
      </w:pPr>
      <w:r>
        <w:rPr>
          <w:rFonts w:hint="eastAsia" w:ascii="宋体" w:hAnsi="宋体"/>
          <w:sz w:val="24"/>
          <w:szCs w:val="24"/>
        </w:rPr>
        <w:t>1、评标</w:t>
      </w:r>
    </w:p>
    <w:p>
      <w:pPr>
        <w:spacing w:line="540" w:lineRule="exact"/>
        <w:ind w:left="480" w:hanging="480" w:hangingChars="200"/>
        <w:rPr>
          <w:rFonts w:hint="eastAsia" w:ascii="宋体" w:hAnsi="宋体"/>
          <w:sz w:val="24"/>
          <w:szCs w:val="24"/>
        </w:rPr>
      </w:pPr>
      <w:r>
        <w:rPr>
          <w:rFonts w:hint="eastAsia" w:ascii="宋体" w:hAnsi="宋体"/>
          <w:sz w:val="24"/>
          <w:szCs w:val="24"/>
        </w:rPr>
        <w:t>1.1</w:t>
      </w:r>
      <w:r>
        <w:rPr>
          <w:rFonts w:ascii="宋体" w:hAnsi="宋体"/>
          <w:sz w:val="24"/>
          <w:szCs w:val="24"/>
        </w:rPr>
        <w:t>开标会结束后开始评标。</w:t>
      </w:r>
    </w:p>
    <w:p>
      <w:pPr>
        <w:spacing w:line="540" w:lineRule="exact"/>
        <w:ind w:left="480" w:hanging="480" w:hangingChars="200"/>
        <w:rPr>
          <w:rFonts w:hint="eastAsia" w:ascii="宋体" w:hAnsi="宋体"/>
          <w:sz w:val="24"/>
          <w:szCs w:val="24"/>
        </w:rPr>
      </w:pPr>
      <w:r>
        <w:rPr>
          <w:rFonts w:hint="eastAsia" w:ascii="宋体" w:hAnsi="宋体"/>
          <w:sz w:val="24"/>
          <w:szCs w:val="24"/>
        </w:rPr>
        <w:t>1.2</w:t>
      </w:r>
      <w:r>
        <w:rPr>
          <w:rFonts w:ascii="宋体" w:hAnsi="宋体"/>
          <w:sz w:val="24"/>
          <w:szCs w:val="24"/>
        </w:rPr>
        <w:t>评标工作由为该项目专门组织的的评标委员会(</w:t>
      </w:r>
      <w:r>
        <w:rPr>
          <w:rFonts w:hint="eastAsia" w:ascii="宋体" w:hAnsi="宋体"/>
          <w:sz w:val="24"/>
          <w:szCs w:val="24"/>
        </w:rPr>
        <w:t>以下</w:t>
      </w:r>
      <w:r>
        <w:rPr>
          <w:rFonts w:ascii="宋体" w:hAnsi="宋体"/>
          <w:sz w:val="24"/>
          <w:szCs w:val="24"/>
        </w:rPr>
        <w:t>简称</w:t>
      </w:r>
      <w:r>
        <w:rPr>
          <w:rFonts w:hint="eastAsia" w:ascii="宋体" w:hAnsi="宋体"/>
          <w:sz w:val="24"/>
          <w:szCs w:val="24"/>
        </w:rPr>
        <w:t>“</w:t>
      </w:r>
      <w:r>
        <w:rPr>
          <w:rFonts w:ascii="宋体" w:hAnsi="宋体"/>
          <w:sz w:val="24"/>
          <w:szCs w:val="24"/>
        </w:rPr>
        <w:t>评委会</w:t>
      </w:r>
      <w:r>
        <w:rPr>
          <w:rFonts w:hint="eastAsia" w:ascii="宋体" w:hAnsi="宋体"/>
          <w:sz w:val="24"/>
          <w:szCs w:val="24"/>
        </w:rPr>
        <w:t>”</w:t>
      </w:r>
      <w:r>
        <w:rPr>
          <w:rFonts w:ascii="宋体" w:hAnsi="宋体"/>
          <w:sz w:val="24"/>
          <w:szCs w:val="24"/>
        </w:rPr>
        <w:t>)进行。</w:t>
      </w:r>
    </w:p>
    <w:p>
      <w:pPr>
        <w:spacing w:line="540" w:lineRule="exact"/>
        <w:ind w:left="480" w:hanging="480" w:hangingChars="200"/>
        <w:rPr>
          <w:rFonts w:hint="eastAsia" w:ascii="宋体" w:hAnsi="宋体"/>
          <w:sz w:val="24"/>
          <w:szCs w:val="24"/>
        </w:rPr>
      </w:pPr>
      <w:r>
        <w:rPr>
          <w:rFonts w:hint="eastAsia" w:ascii="宋体" w:hAnsi="宋体"/>
          <w:sz w:val="24"/>
          <w:szCs w:val="24"/>
        </w:rPr>
        <w:t>1.3</w:t>
      </w:r>
      <w:r>
        <w:rPr>
          <w:rFonts w:ascii="宋体" w:hAnsi="宋体"/>
          <w:sz w:val="24"/>
          <w:szCs w:val="24"/>
        </w:rPr>
        <w:t>评标</w:t>
      </w:r>
      <w:r>
        <w:rPr>
          <w:rFonts w:hint="eastAsia" w:ascii="宋体" w:hAnsi="宋体"/>
          <w:sz w:val="24"/>
          <w:szCs w:val="24"/>
        </w:rPr>
        <w:t>包括</w:t>
      </w:r>
      <w:r>
        <w:rPr>
          <w:rFonts w:ascii="宋体" w:hAnsi="宋体"/>
          <w:sz w:val="24"/>
          <w:szCs w:val="24"/>
        </w:rPr>
        <w:t>投标文件初审</w:t>
      </w:r>
      <w:r>
        <w:rPr>
          <w:rFonts w:hint="eastAsia" w:ascii="宋体" w:hAnsi="宋体"/>
          <w:sz w:val="24"/>
          <w:szCs w:val="24"/>
        </w:rPr>
        <w:t>、</w:t>
      </w:r>
      <w:r>
        <w:rPr>
          <w:rFonts w:ascii="宋体" w:hAnsi="宋体"/>
          <w:sz w:val="24"/>
          <w:szCs w:val="24"/>
        </w:rPr>
        <w:t>澄清有关问题</w:t>
      </w:r>
      <w:r>
        <w:rPr>
          <w:rFonts w:hint="eastAsia" w:ascii="宋体" w:hAnsi="宋体"/>
          <w:sz w:val="24"/>
          <w:szCs w:val="24"/>
        </w:rPr>
        <w:t>、</w:t>
      </w:r>
      <w:r>
        <w:rPr>
          <w:rFonts w:ascii="宋体" w:hAnsi="宋体"/>
          <w:sz w:val="24"/>
          <w:szCs w:val="24"/>
        </w:rPr>
        <w:t>比较与评价</w:t>
      </w:r>
      <w:r>
        <w:rPr>
          <w:rFonts w:hint="eastAsia" w:ascii="宋体" w:hAnsi="宋体"/>
          <w:sz w:val="24"/>
          <w:szCs w:val="24"/>
        </w:rPr>
        <w:t>、</w:t>
      </w:r>
      <w:r>
        <w:rPr>
          <w:rFonts w:ascii="宋体" w:hAnsi="宋体"/>
          <w:sz w:val="24"/>
          <w:szCs w:val="24"/>
        </w:rPr>
        <w:t>推荐中标候选</w:t>
      </w:r>
      <w:r>
        <w:rPr>
          <w:rFonts w:hint="eastAsia" w:ascii="宋体" w:hAnsi="宋体"/>
          <w:sz w:val="24"/>
          <w:szCs w:val="24"/>
        </w:rPr>
        <w:t>人或确定</w:t>
      </w:r>
      <w:r>
        <w:rPr>
          <w:rFonts w:ascii="宋体" w:hAnsi="宋体"/>
          <w:sz w:val="24"/>
          <w:szCs w:val="24"/>
        </w:rPr>
        <w:t>中标候选</w:t>
      </w:r>
      <w:r>
        <w:rPr>
          <w:rFonts w:hint="eastAsia" w:ascii="宋体" w:hAnsi="宋体"/>
          <w:sz w:val="24"/>
          <w:szCs w:val="24"/>
        </w:rPr>
        <w:t>人等几个步骤。</w:t>
      </w:r>
    </w:p>
    <w:p>
      <w:pPr>
        <w:spacing w:line="540" w:lineRule="exact"/>
        <w:ind w:left="480" w:hanging="480" w:hangingChars="200"/>
        <w:rPr>
          <w:rFonts w:hint="eastAsia" w:ascii="宋体" w:hAnsi="宋体"/>
          <w:sz w:val="24"/>
          <w:szCs w:val="24"/>
        </w:rPr>
      </w:pPr>
      <w:r>
        <w:rPr>
          <w:rFonts w:hint="eastAsia" w:ascii="宋体" w:hAnsi="宋体"/>
          <w:sz w:val="24"/>
          <w:szCs w:val="24"/>
        </w:rPr>
        <w:t>1.4评标方法和评标标准</w:t>
      </w:r>
    </w:p>
    <w:p>
      <w:pPr>
        <w:spacing w:line="540" w:lineRule="exact"/>
        <w:ind w:left="480" w:hanging="480" w:hangingChars="200"/>
        <w:rPr>
          <w:rFonts w:hint="eastAsia" w:ascii="宋体" w:hAnsi="宋体"/>
          <w:sz w:val="24"/>
          <w:szCs w:val="24"/>
          <w:highlight w:val="none"/>
        </w:rPr>
      </w:pPr>
      <w:r>
        <w:rPr>
          <w:rFonts w:hint="eastAsia" w:ascii="宋体" w:hAnsi="宋体"/>
          <w:sz w:val="24"/>
          <w:szCs w:val="24"/>
        </w:rPr>
        <w:t>1.4.</w:t>
      </w:r>
      <w:r>
        <w:rPr>
          <w:rFonts w:hint="eastAsia" w:ascii="宋体" w:hAnsi="宋体"/>
          <w:sz w:val="24"/>
          <w:szCs w:val="24"/>
          <w:highlight w:val="none"/>
        </w:rPr>
        <w:t>1评审方法：本项目采用经评审的</w:t>
      </w:r>
      <w:r>
        <w:rPr>
          <w:rFonts w:hint="eastAsia" w:ascii="宋体" w:hAnsi="宋体"/>
          <w:sz w:val="24"/>
          <w:szCs w:val="24"/>
          <w:highlight w:val="none"/>
          <w:lang w:val="en-US" w:eastAsia="zh-CN"/>
        </w:rPr>
        <w:t>综合评分法</w:t>
      </w:r>
      <w:r>
        <w:rPr>
          <w:rFonts w:hint="eastAsia" w:ascii="宋体" w:hAnsi="宋体"/>
          <w:sz w:val="24"/>
          <w:szCs w:val="24"/>
          <w:highlight w:val="none"/>
        </w:rPr>
        <w:t>，评审的基本步骤和基本要求如下：</w:t>
      </w:r>
    </w:p>
    <w:p>
      <w:pPr>
        <w:snapToGrid w:val="0"/>
        <w:spacing w:line="360" w:lineRule="auto"/>
        <w:ind w:left="480" w:hanging="480" w:hangingChars="200"/>
        <w:rPr>
          <w:rFonts w:hint="eastAsia" w:ascii="宋体" w:hAnsi="宋体"/>
          <w:sz w:val="24"/>
          <w:szCs w:val="24"/>
          <w:highlight w:val="none"/>
        </w:rPr>
      </w:pPr>
      <w:r>
        <w:rPr>
          <w:rFonts w:hint="eastAsia" w:ascii="宋体" w:hAnsi="宋体"/>
          <w:sz w:val="24"/>
          <w:szCs w:val="24"/>
          <w:highlight w:val="none"/>
        </w:rPr>
        <w:t>1.5初步评审</w:t>
      </w:r>
    </w:p>
    <w:p>
      <w:pPr>
        <w:snapToGrid w:val="0"/>
        <w:spacing w:line="360" w:lineRule="auto"/>
        <w:rPr>
          <w:rFonts w:hint="eastAsia" w:ascii="宋体" w:hAnsi="宋体"/>
          <w:sz w:val="24"/>
          <w:szCs w:val="24"/>
        </w:rPr>
      </w:pPr>
      <w:r>
        <w:rPr>
          <w:rFonts w:hint="eastAsia" w:ascii="宋体" w:hAnsi="宋体"/>
          <w:sz w:val="24"/>
          <w:szCs w:val="24"/>
        </w:rPr>
        <w:t>1.5.1评委会成员依据招标文件的要求，对所有投标人提交的投标文件进行初审，初审分为资格性审查和符合性审查，审查每份投标文件是否实质上响应了招标文件的要求。当发现投标人或其投标文件存在下列情况之一时，将直接判定投标人的资格不符合要求，初审不通过。</w:t>
      </w:r>
    </w:p>
    <w:p>
      <w:pPr>
        <w:snapToGrid w:val="0"/>
        <w:spacing w:line="360" w:lineRule="auto"/>
        <w:rPr>
          <w:rFonts w:hint="eastAsia" w:ascii="宋体" w:hAnsi="宋体"/>
          <w:sz w:val="24"/>
          <w:szCs w:val="24"/>
        </w:rPr>
      </w:pPr>
      <w:r>
        <w:rPr>
          <w:rFonts w:hint="eastAsia" w:ascii="宋体" w:hAnsi="宋体"/>
          <w:sz w:val="24"/>
          <w:szCs w:val="24"/>
        </w:rPr>
        <w:t>15.1.1.1、投标文件的初步评审</w:t>
      </w:r>
    </w:p>
    <w:p>
      <w:pPr>
        <w:snapToGrid w:val="0"/>
        <w:spacing w:line="360" w:lineRule="auto"/>
        <w:rPr>
          <w:rFonts w:ascii="宋体" w:hAnsi="宋体"/>
          <w:sz w:val="24"/>
          <w:szCs w:val="24"/>
        </w:rPr>
      </w:pPr>
      <w:r>
        <w:rPr>
          <w:rFonts w:hint="eastAsia" w:ascii="宋体" w:hAnsi="宋体"/>
          <w:sz w:val="24"/>
          <w:szCs w:val="24"/>
        </w:rPr>
        <w:t>（1）未按招标文件要求提供营业执照、税务登记证复印件的（若投标人提供了 “三证合一”或“五证合一”的新版营业执照，无需另行提供税务登记证）；</w:t>
      </w:r>
    </w:p>
    <w:p>
      <w:pPr>
        <w:snapToGrid w:val="0"/>
        <w:spacing w:line="360" w:lineRule="auto"/>
        <w:rPr>
          <w:rFonts w:hint="eastAsia" w:ascii="宋体" w:hAnsi="宋体"/>
          <w:sz w:val="24"/>
          <w:szCs w:val="24"/>
        </w:rPr>
      </w:pPr>
      <w:r>
        <w:rPr>
          <w:rFonts w:hint="eastAsia" w:ascii="宋体" w:hAnsi="宋体"/>
          <w:sz w:val="24"/>
          <w:szCs w:val="24"/>
        </w:rPr>
        <w:t>（2）未按招标文件要求提供</w:t>
      </w:r>
      <w:r>
        <w:rPr>
          <w:rFonts w:ascii="宋体" w:hAnsi="宋体"/>
          <w:sz w:val="24"/>
          <w:szCs w:val="24"/>
        </w:rPr>
        <w:t>有效的省级及以上卫生部门颁发的涉及饮用水卫生生产许可证批件</w:t>
      </w:r>
      <w:r>
        <w:rPr>
          <w:rFonts w:hint="eastAsia" w:ascii="宋体" w:hAnsi="宋体"/>
          <w:sz w:val="24"/>
          <w:szCs w:val="24"/>
        </w:rPr>
        <w:t>复印件</w:t>
      </w:r>
      <w:r>
        <w:rPr>
          <w:rFonts w:hint="eastAsia"/>
          <w:color w:val="auto"/>
          <w:sz w:val="24"/>
          <w:szCs w:val="24"/>
          <w:highlight w:val="none"/>
          <w:lang w:val="en-US" w:eastAsia="zh-CN"/>
        </w:rPr>
        <w:t>或省下放审批权到地级市卫生部门颁发的设计饮用水卫生生产许可证批件复印件</w:t>
      </w:r>
      <w:r>
        <w:rPr>
          <w:rFonts w:ascii="宋体" w:hAnsi="宋体"/>
          <w:sz w:val="24"/>
          <w:szCs w:val="24"/>
        </w:rPr>
        <w:t>；</w:t>
      </w:r>
      <w:r>
        <w:rPr>
          <w:rFonts w:hint="eastAsia" w:ascii="宋体" w:hAnsi="宋体"/>
          <w:sz w:val="24"/>
          <w:szCs w:val="24"/>
        </w:rPr>
        <w:t>未提供生产厂家的投标产品地市级及以上质量技术监督部门</w:t>
      </w:r>
      <w:r>
        <w:rPr>
          <w:rFonts w:hint="eastAsia" w:ascii="宋体" w:hAnsi="宋体"/>
          <w:color w:val="000000"/>
          <w:sz w:val="24"/>
          <w:szCs w:val="24"/>
          <w:lang w:val="en-US" w:eastAsia="zh-CN"/>
        </w:rPr>
        <w:t>或具有资质第三方检测单位出具</w:t>
      </w:r>
      <w:r>
        <w:rPr>
          <w:rFonts w:hint="eastAsia" w:ascii="宋体" w:hAnsi="宋体"/>
          <w:sz w:val="24"/>
          <w:szCs w:val="24"/>
        </w:rPr>
        <w:t>的产品质量检测报告复印件；</w:t>
      </w:r>
    </w:p>
    <w:p>
      <w:pPr>
        <w:snapToGrid w:val="0"/>
        <w:spacing w:line="360" w:lineRule="auto"/>
        <w:rPr>
          <w:rFonts w:ascii="宋体" w:hAnsi="宋体"/>
          <w:sz w:val="24"/>
          <w:szCs w:val="24"/>
        </w:rPr>
      </w:pPr>
      <w:r>
        <w:rPr>
          <w:rFonts w:hint="eastAsia" w:ascii="宋体" w:hAnsi="宋体"/>
          <w:sz w:val="24"/>
          <w:szCs w:val="24"/>
        </w:rPr>
        <w:t>（3）未按招标文件要求提供法定代表人授权委托书原件的（法定代表人递交投标文件参加投标的，无需此件）；</w:t>
      </w:r>
    </w:p>
    <w:p>
      <w:pPr>
        <w:snapToGrid w:val="0"/>
        <w:spacing w:line="360" w:lineRule="auto"/>
        <w:rPr>
          <w:rFonts w:hint="eastAsia" w:ascii="宋体" w:hAnsi="宋体"/>
          <w:sz w:val="24"/>
          <w:szCs w:val="24"/>
        </w:rPr>
      </w:pPr>
      <w:r>
        <w:rPr>
          <w:rFonts w:hint="eastAsia" w:ascii="宋体" w:hAnsi="宋体"/>
          <w:sz w:val="24"/>
          <w:szCs w:val="24"/>
        </w:rPr>
        <w:t>（4）对招标文件提出的商务要求及合同条款未完全响应；</w:t>
      </w:r>
    </w:p>
    <w:p>
      <w:pPr>
        <w:snapToGrid w:val="0"/>
        <w:spacing w:line="360" w:lineRule="auto"/>
        <w:rPr>
          <w:rFonts w:ascii="宋体" w:hAnsi="宋体"/>
          <w:sz w:val="24"/>
          <w:szCs w:val="24"/>
        </w:rPr>
      </w:pPr>
      <w:r>
        <w:rPr>
          <w:rFonts w:hint="eastAsia" w:ascii="宋体" w:hAnsi="宋体"/>
          <w:sz w:val="24"/>
          <w:szCs w:val="24"/>
        </w:rPr>
        <w:t>（5）投标货物不满足招标文件提出的主要技术要求或对招标文件提出的非主要技术要求存在重大负偏离；</w:t>
      </w:r>
    </w:p>
    <w:p>
      <w:pPr>
        <w:snapToGrid w:val="0"/>
        <w:spacing w:line="360" w:lineRule="auto"/>
        <w:rPr>
          <w:rFonts w:hint="eastAsia" w:ascii="宋体" w:hAnsi="宋体"/>
          <w:sz w:val="24"/>
          <w:szCs w:val="24"/>
        </w:rPr>
      </w:pPr>
      <w:r>
        <w:rPr>
          <w:rFonts w:hint="eastAsia" w:ascii="宋体" w:hAnsi="宋体"/>
          <w:sz w:val="24"/>
          <w:szCs w:val="24"/>
        </w:rPr>
        <w:t>（6）未按照招标文件要求进行报名、获取招标文件；</w:t>
      </w:r>
    </w:p>
    <w:p>
      <w:pPr>
        <w:snapToGrid w:val="0"/>
        <w:spacing w:line="360" w:lineRule="auto"/>
        <w:rPr>
          <w:rFonts w:hint="eastAsia" w:ascii="宋体" w:hAnsi="宋体"/>
          <w:sz w:val="24"/>
          <w:szCs w:val="24"/>
        </w:rPr>
      </w:pPr>
      <w:r>
        <w:rPr>
          <w:rFonts w:hint="eastAsia" w:ascii="宋体" w:hAnsi="宋体"/>
          <w:sz w:val="24"/>
          <w:szCs w:val="24"/>
        </w:rPr>
        <w:t>（7）投标人资质不符合国家强制性要求；</w:t>
      </w:r>
    </w:p>
    <w:p>
      <w:pPr>
        <w:snapToGrid w:val="0"/>
        <w:spacing w:line="360" w:lineRule="auto"/>
        <w:ind w:left="480" w:hanging="480" w:hangingChars="200"/>
        <w:rPr>
          <w:rFonts w:hint="eastAsia" w:ascii="宋体" w:hAnsi="宋体"/>
          <w:sz w:val="24"/>
          <w:szCs w:val="24"/>
        </w:rPr>
      </w:pPr>
      <w:r>
        <w:rPr>
          <w:rFonts w:hint="eastAsia" w:ascii="宋体" w:hAnsi="宋体"/>
          <w:sz w:val="24"/>
          <w:szCs w:val="24"/>
        </w:rPr>
        <w:t>（8）出现有选择报价或两个及以上报价方案；</w:t>
      </w:r>
    </w:p>
    <w:p>
      <w:pPr>
        <w:snapToGrid w:val="0"/>
        <w:spacing w:line="360" w:lineRule="auto"/>
        <w:ind w:left="480" w:hanging="480" w:hangingChars="200"/>
        <w:rPr>
          <w:rFonts w:hint="eastAsia" w:ascii="宋体" w:hAnsi="宋体"/>
          <w:sz w:val="24"/>
          <w:szCs w:val="24"/>
        </w:rPr>
      </w:pPr>
      <w:r>
        <w:rPr>
          <w:rFonts w:hint="eastAsia" w:ascii="宋体" w:hAnsi="宋体"/>
          <w:sz w:val="24"/>
          <w:szCs w:val="24"/>
        </w:rPr>
        <w:t>（9）未按招标文件要求提供投标函；</w:t>
      </w:r>
    </w:p>
    <w:p>
      <w:pPr>
        <w:snapToGrid w:val="0"/>
        <w:spacing w:line="360" w:lineRule="auto"/>
        <w:ind w:left="480" w:hanging="480" w:hangingChars="200"/>
        <w:rPr>
          <w:rFonts w:hint="eastAsia" w:ascii="宋体" w:hAnsi="宋体"/>
          <w:sz w:val="24"/>
          <w:szCs w:val="24"/>
        </w:rPr>
      </w:pPr>
      <w:r>
        <w:rPr>
          <w:rFonts w:hint="eastAsia" w:ascii="宋体" w:hAnsi="宋体"/>
          <w:sz w:val="24"/>
          <w:szCs w:val="24"/>
        </w:rPr>
        <w:t>（10）应视为无效报价的其他情形。</w:t>
      </w:r>
    </w:p>
    <w:p>
      <w:pPr>
        <w:snapToGrid w:val="0"/>
        <w:spacing w:line="360" w:lineRule="auto"/>
        <w:rPr>
          <w:rFonts w:hint="eastAsia" w:ascii="宋体" w:hAnsi="宋体"/>
          <w:sz w:val="24"/>
          <w:szCs w:val="24"/>
        </w:rPr>
      </w:pPr>
      <w:r>
        <w:rPr>
          <w:rFonts w:hint="eastAsia" w:ascii="宋体" w:hAnsi="宋体"/>
          <w:sz w:val="24"/>
          <w:szCs w:val="24"/>
        </w:rPr>
        <w:t>（11）不符合法律、法规和招标文件中规定的其他实质性要求的。</w:t>
      </w:r>
    </w:p>
    <w:p>
      <w:pPr>
        <w:snapToGrid w:val="0"/>
        <w:spacing w:line="360" w:lineRule="auto"/>
        <w:rPr>
          <w:rFonts w:hint="eastAsia" w:ascii="宋体" w:hAnsi="宋体"/>
          <w:sz w:val="24"/>
          <w:szCs w:val="24"/>
        </w:rPr>
      </w:pPr>
      <w:r>
        <w:rPr>
          <w:rFonts w:hint="eastAsia" w:ascii="宋体" w:hAnsi="宋体"/>
          <w:sz w:val="24"/>
          <w:szCs w:val="24"/>
        </w:rPr>
        <w:t>（12）未提供疾控中心检验报告的。</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评审过程中，当评委会发现投标人的报价或者某些分项报价明显不合理或者低于各类成本，有可能影响商品质量和不能诚信履约的，可以要求投标人现场提供投标产品的生产制造成本、销售成本、投标成本的证明材料（包括但不限于各类合同、票据、人员工资表等）及其他证明文件予以解释说明；如果投标人没有提供或者提供的材料无法证明其投标报价不低于投标产品的各类成本，评委会可以认定该投标报价为无效报价。</w:t>
      </w:r>
    </w:p>
    <w:p>
      <w:pPr>
        <w:snapToGrid w:val="0"/>
        <w:spacing w:line="360" w:lineRule="auto"/>
        <w:ind w:firstLine="480" w:firstLineChars="200"/>
        <w:rPr>
          <w:rFonts w:hint="eastAsia" w:ascii="宋体" w:hAnsi="宋体"/>
          <w:sz w:val="24"/>
          <w:szCs w:val="24"/>
        </w:rPr>
      </w:pPr>
      <w:r>
        <w:rPr>
          <w:rFonts w:hint="eastAsia" w:ascii="宋体" w:hAnsi="宋体"/>
          <w:sz w:val="24"/>
          <w:szCs w:val="24"/>
        </w:rPr>
        <w:t>投标人投标时，自行决定是否另行携带投标报价不低于各类成本的证明材料，投标人单方面承担由于未携带证明材料而产生的一切风险和后果；否则，评标委员会可以取消该投标人的中标候选资格，按顺序由排在后面的中标候选人递补，此次类推。</w:t>
      </w:r>
    </w:p>
    <w:p>
      <w:pPr>
        <w:snapToGrid w:val="0"/>
        <w:spacing w:line="360" w:lineRule="auto"/>
        <w:ind w:left="480" w:hanging="480" w:hangingChars="200"/>
        <w:rPr>
          <w:rFonts w:hint="eastAsia" w:ascii="宋体" w:hAnsi="宋体"/>
          <w:sz w:val="24"/>
          <w:szCs w:val="24"/>
        </w:rPr>
      </w:pPr>
      <w:r>
        <w:rPr>
          <w:rFonts w:hint="eastAsia" w:ascii="宋体" w:hAnsi="宋体"/>
          <w:sz w:val="24"/>
          <w:szCs w:val="24"/>
        </w:rPr>
        <w:t>1.6</w:t>
      </w:r>
      <w:r>
        <w:rPr>
          <w:rFonts w:ascii="宋体" w:hAnsi="宋体"/>
          <w:sz w:val="24"/>
          <w:szCs w:val="24"/>
        </w:rPr>
        <w:t xml:space="preserve"> </w:t>
      </w:r>
      <w:r>
        <w:rPr>
          <w:rFonts w:hint="eastAsia" w:ascii="宋体" w:hAnsi="宋体"/>
          <w:sz w:val="24"/>
          <w:szCs w:val="24"/>
        </w:rPr>
        <w:t>未通过资格初审的投标人，将不再进入后续评标程序。当符合资格初审要求的投</w:t>
      </w:r>
    </w:p>
    <w:p>
      <w:pPr>
        <w:snapToGrid w:val="0"/>
        <w:spacing w:line="360" w:lineRule="auto"/>
        <w:ind w:left="480" w:hanging="480" w:hangingChars="200"/>
        <w:rPr>
          <w:rFonts w:hint="eastAsia" w:ascii="宋体" w:hAnsi="宋体"/>
          <w:sz w:val="24"/>
          <w:szCs w:val="24"/>
        </w:rPr>
      </w:pPr>
      <w:r>
        <w:rPr>
          <w:rFonts w:hint="eastAsia" w:ascii="宋体" w:hAnsi="宋体"/>
          <w:sz w:val="24"/>
          <w:szCs w:val="24"/>
        </w:rPr>
        <w:t>标人不足三家时，本项目转入竞争性谈判或重新招标。</w:t>
      </w:r>
    </w:p>
    <w:p>
      <w:pPr>
        <w:spacing w:line="460" w:lineRule="exact"/>
        <w:rPr>
          <w:rFonts w:hint="eastAsia" w:ascii="宋体" w:hAnsi="宋体"/>
          <w:b/>
          <w:sz w:val="24"/>
          <w:szCs w:val="24"/>
        </w:rPr>
      </w:pPr>
      <w:r>
        <w:rPr>
          <w:rFonts w:hint="eastAsia" w:ascii="宋体" w:hAnsi="宋体"/>
          <w:b/>
          <w:sz w:val="24"/>
          <w:szCs w:val="24"/>
        </w:rPr>
        <w:t>二、汇总</w:t>
      </w:r>
    </w:p>
    <w:p>
      <w:pPr>
        <w:spacing w:line="454" w:lineRule="exact"/>
        <w:ind w:firstLine="120" w:firstLineChars="50"/>
        <w:rPr>
          <w:rFonts w:hint="eastAsia" w:ascii="宋体" w:hAnsi="宋体"/>
          <w:sz w:val="24"/>
          <w:szCs w:val="24"/>
        </w:rPr>
      </w:pPr>
      <w:r>
        <w:rPr>
          <w:rFonts w:hint="eastAsia" w:ascii="宋体" w:hAnsi="宋体"/>
          <w:sz w:val="24"/>
          <w:szCs w:val="24"/>
        </w:rPr>
        <w:t>1、评审过程中，评委可能会要求有关投标人就其</w:t>
      </w:r>
      <w:r>
        <w:rPr>
          <w:rFonts w:ascii="宋体" w:hAnsi="宋体"/>
          <w:sz w:val="24"/>
          <w:szCs w:val="24"/>
        </w:rPr>
        <w:t>投标</w:t>
      </w:r>
      <w:r>
        <w:rPr>
          <w:rFonts w:hint="eastAsia" w:ascii="宋体" w:hAnsi="宋体"/>
          <w:sz w:val="24"/>
          <w:szCs w:val="24"/>
        </w:rPr>
        <w:t>书</w:t>
      </w:r>
      <w:r>
        <w:rPr>
          <w:rFonts w:ascii="宋体" w:hAnsi="宋体"/>
          <w:sz w:val="24"/>
          <w:szCs w:val="24"/>
        </w:rPr>
        <w:t>中含义不明确、同类问题表述不一致或者有明显文字错误的内容</w:t>
      </w:r>
      <w:r>
        <w:rPr>
          <w:rFonts w:hint="eastAsia" w:ascii="宋体" w:hAnsi="宋体"/>
          <w:sz w:val="24"/>
          <w:szCs w:val="24"/>
        </w:rPr>
        <w:t>进行澄清。</w:t>
      </w:r>
      <w:r>
        <w:rPr>
          <w:rFonts w:ascii="宋体" w:hAnsi="宋体"/>
          <w:sz w:val="24"/>
          <w:szCs w:val="24"/>
        </w:rPr>
        <w:t>投标人的澄清、说明或者补正应当采用书面形式，</w:t>
      </w:r>
      <w:r>
        <w:rPr>
          <w:rFonts w:hint="eastAsia" w:ascii="宋体" w:hAnsi="宋体"/>
          <w:sz w:val="24"/>
          <w:szCs w:val="24"/>
        </w:rPr>
        <w:t>但</w:t>
      </w:r>
      <w:r>
        <w:rPr>
          <w:rFonts w:ascii="宋体" w:hAnsi="宋体"/>
          <w:sz w:val="24"/>
          <w:szCs w:val="24"/>
        </w:rPr>
        <w:t>不得超出投标</w:t>
      </w:r>
      <w:r>
        <w:rPr>
          <w:rFonts w:hint="eastAsia" w:ascii="宋体" w:hAnsi="宋体"/>
          <w:sz w:val="24"/>
          <w:szCs w:val="24"/>
        </w:rPr>
        <w:t>书</w:t>
      </w:r>
      <w:r>
        <w:rPr>
          <w:rFonts w:ascii="宋体" w:hAnsi="宋体"/>
          <w:sz w:val="24"/>
          <w:szCs w:val="24"/>
        </w:rPr>
        <w:t>的范围或者改变投标</w:t>
      </w:r>
      <w:r>
        <w:rPr>
          <w:rFonts w:hint="eastAsia" w:ascii="宋体" w:hAnsi="宋体"/>
          <w:sz w:val="24"/>
          <w:szCs w:val="24"/>
        </w:rPr>
        <w:t>书</w:t>
      </w:r>
      <w:r>
        <w:rPr>
          <w:rFonts w:ascii="宋体" w:hAnsi="宋体"/>
          <w:sz w:val="24"/>
          <w:szCs w:val="24"/>
        </w:rPr>
        <w:t>的实质性内容</w:t>
      </w:r>
      <w:r>
        <w:rPr>
          <w:rFonts w:hint="eastAsia" w:ascii="宋体" w:hAnsi="宋体"/>
          <w:sz w:val="24"/>
          <w:szCs w:val="24"/>
        </w:rPr>
        <w:t>，并</w:t>
      </w:r>
      <w:r>
        <w:rPr>
          <w:rFonts w:ascii="宋体" w:hAnsi="宋体"/>
          <w:sz w:val="24"/>
          <w:szCs w:val="24"/>
        </w:rPr>
        <w:t>由其</w:t>
      </w:r>
      <w:r>
        <w:rPr>
          <w:rFonts w:hint="eastAsia" w:ascii="宋体" w:hAnsi="宋体"/>
          <w:sz w:val="24"/>
          <w:szCs w:val="24"/>
        </w:rPr>
        <w:t>法定代表人或其委托代理人</w:t>
      </w:r>
      <w:r>
        <w:rPr>
          <w:rFonts w:ascii="宋体" w:hAnsi="宋体"/>
          <w:sz w:val="24"/>
          <w:szCs w:val="24"/>
        </w:rPr>
        <w:t>签字。</w:t>
      </w:r>
    </w:p>
    <w:p>
      <w:pPr>
        <w:spacing w:line="454" w:lineRule="exact"/>
        <w:ind w:left="480" w:hanging="480" w:hangingChars="200"/>
        <w:rPr>
          <w:rFonts w:ascii="宋体" w:hAnsi="宋体"/>
          <w:sz w:val="24"/>
          <w:szCs w:val="24"/>
        </w:rPr>
      </w:pPr>
      <w:r>
        <w:rPr>
          <w:rFonts w:hint="eastAsia" w:ascii="宋体" w:hAnsi="宋体"/>
          <w:sz w:val="24"/>
          <w:szCs w:val="24"/>
        </w:rPr>
        <w:t>2、评委会判定投标文件的响应性只根据投标文件本身的内容，而不寻求外部的证据，但投标有不真实不正确的内容时除外。</w:t>
      </w:r>
    </w:p>
    <w:p>
      <w:pPr>
        <w:spacing w:line="454" w:lineRule="exact"/>
        <w:ind w:left="480" w:hanging="480" w:hangingChars="200"/>
        <w:rPr>
          <w:rFonts w:hint="eastAsia" w:ascii="宋体" w:hAnsi="宋体"/>
          <w:sz w:val="24"/>
          <w:szCs w:val="24"/>
        </w:rPr>
      </w:pPr>
      <w:r>
        <w:rPr>
          <w:rFonts w:hint="eastAsia" w:ascii="宋体" w:hAnsi="宋体"/>
          <w:sz w:val="24"/>
          <w:szCs w:val="24"/>
        </w:rPr>
        <w:t>3、如果投标文件实质上没有响应招标文件的要求，评委会将予以拒绝，投标人不得通过修正或撤销不符合要求的偏离或保留，而使其投标成为实质上响应的投标。</w:t>
      </w:r>
    </w:p>
    <w:p>
      <w:pPr>
        <w:spacing w:line="454" w:lineRule="exact"/>
        <w:ind w:left="482" w:hanging="482" w:hangingChars="200"/>
        <w:rPr>
          <w:rFonts w:hint="eastAsia" w:ascii="宋体" w:hAnsi="宋体"/>
          <w:b/>
          <w:sz w:val="24"/>
          <w:szCs w:val="24"/>
        </w:rPr>
      </w:pPr>
      <w:r>
        <w:rPr>
          <w:rFonts w:hint="eastAsia" w:ascii="宋体" w:hAnsi="宋体"/>
          <w:b/>
          <w:sz w:val="24"/>
          <w:szCs w:val="24"/>
        </w:rPr>
        <w:t>4、投标人简单地复印或照搬招标文件中的技术规格作为其投标文件的一部分，将有可能导致其投标无效。</w:t>
      </w:r>
    </w:p>
    <w:p>
      <w:pPr>
        <w:spacing w:line="454" w:lineRule="exact"/>
        <w:ind w:left="480" w:hanging="480" w:hangingChars="200"/>
        <w:rPr>
          <w:rFonts w:hint="eastAsia" w:ascii="宋体" w:hAnsi="宋体"/>
          <w:sz w:val="24"/>
          <w:szCs w:val="24"/>
        </w:rPr>
      </w:pPr>
      <w:r>
        <w:rPr>
          <w:rFonts w:hint="eastAsia" w:ascii="宋体" w:hAnsi="宋体"/>
          <w:sz w:val="24"/>
          <w:szCs w:val="24"/>
        </w:rPr>
        <w:t>5、评标结束时，评委会要按照规定的格式写出评标报告，说明评标过程中情况，按照优先次序，依次排列推荐中标候选人或确定</w:t>
      </w:r>
      <w:r>
        <w:rPr>
          <w:rFonts w:ascii="宋体" w:hAnsi="宋体"/>
          <w:sz w:val="24"/>
          <w:szCs w:val="24"/>
        </w:rPr>
        <w:t>中标候选</w:t>
      </w:r>
      <w:r>
        <w:rPr>
          <w:rFonts w:hint="eastAsia" w:ascii="宋体" w:hAnsi="宋体"/>
          <w:sz w:val="24"/>
          <w:szCs w:val="24"/>
        </w:rPr>
        <w:t>人的顺序</w:t>
      </w:r>
      <w:r>
        <w:rPr>
          <w:rFonts w:ascii="宋体" w:hAnsi="宋体"/>
          <w:sz w:val="24"/>
          <w:szCs w:val="24"/>
        </w:rPr>
        <w:t>。</w:t>
      </w:r>
    </w:p>
    <w:p>
      <w:pPr>
        <w:spacing w:line="454" w:lineRule="exact"/>
        <w:ind w:left="480" w:hanging="480" w:hangingChars="200"/>
        <w:rPr>
          <w:rFonts w:hint="eastAsia" w:ascii="宋体" w:hAnsi="宋体"/>
          <w:sz w:val="24"/>
          <w:szCs w:val="24"/>
        </w:rPr>
      </w:pPr>
      <w:r>
        <w:rPr>
          <w:rFonts w:hint="eastAsia" w:ascii="宋体" w:hAnsi="宋体"/>
          <w:sz w:val="24"/>
          <w:szCs w:val="24"/>
        </w:rPr>
        <w:t>6、评委会有权否决全部投标。</w:t>
      </w:r>
    </w:p>
    <w:p>
      <w:pPr>
        <w:spacing w:line="460" w:lineRule="exact"/>
        <w:ind w:left="480" w:hanging="480" w:hangingChars="200"/>
        <w:rPr>
          <w:rFonts w:hint="eastAsia" w:ascii="宋体" w:hAnsi="宋体"/>
          <w:color w:val="FF0000"/>
          <w:sz w:val="24"/>
          <w:szCs w:val="24"/>
        </w:rPr>
      </w:pPr>
      <w:r>
        <w:rPr>
          <w:rFonts w:hint="eastAsia" w:ascii="宋体" w:hAnsi="宋体"/>
          <w:sz w:val="24"/>
          <w:szCs w:val="24"/>
        </w:rPr>
        <w:t>3、</w:t>
      </w:r>
      <w:r>
        <w:rPr>
          <w:rFonts w:hint="eastAsia" w:ascii="宋体" w:hAnsi="宋体"/>
          <w:b/>
          <w:sz w:val="24"/>
          <w:szCs w:val="24"/>
        </w:rPr>
        <w:t>废标处理</w:t>
      </w:r>
    </w:p>
    <w:p>
      <w:pPr>
        <w:spacing w:line="460" w:lineRule="exact"/>
        <w:ind w:left="480" w:hanging="480" w:hangingChars="200"/>
        <w:rPr>
          <w:rFonts w:hint="eastAsia" w:ascii="宋体" w:hAnsi="宋体"/>
          <w:sz w:val="24"/>
          <w:szCs w:val="24"/>
        </w:rPr>
      </w:pPr>
      <w:r>
        <w:rPr>
          <w:rFonts w:hint="eastAsia" w:ascii="宋体" w:hAnsi="宋体"/>
          <w:sz w:val="24"/>
          <w:szCs w:val="24"/>
        </w:rPr>
        <w:t>3.1在招标采购中，出现下列情形之一的，本项目废标：</w:t>
      </w:r>
    </w:p>
    <w:p>
      <w:pPr>
        <w:spacing w:line="460" w:lineRule="exact"/>
        <w:ind w:left="480" w:hanging="480" w:hangingChars="200"/>
        <w:rPr>
          <w:rFonts w:hint="eastAsia" w:ascii="宋体" w:hAnsi="宋体"/>
          <w:sz w:val="24"/>
          <w:szCs w:val="24"/>
        </w:rPr>
      </w:pPr>
      <w:r>
        <w:rPr>
          <w:rFonts w:hint="eastAsia" w:ascii="宋体" w:hAnsi="宋体"/>
          <w:sz w:val="24"/>
          <w:szCs w:val="24"/>
        </w:rPr>
        <w:t>3.1.1符合专业条件的投标人或对招标文件作实质响应的投标人不足三家的；</w:t>
      </w:r>
    </w:p>
    <w:p>
      <w:pPr>
        <w:spacing w:line="460" w:lineRule="exact"/>
        <w:ind w:left="480" w:hanging="480" w:hangingChars="200"/>
        <w:rPr>
          <w:rFonts w:hint="eastAsia" w:ascii="宋体" w:hAnsi="宋体"/>
          <w:sz w:val="24"/>
          <w:szCs w:val="24"/>
        </w:rPr>
      </w:pPr>
      <w:r>
        <w:rPr>
          <w:rFonts w:hint="eastAsia" w:ascii="宋体" w:hAnsi="宋体"/>
          <w:sz w:val="24"/>
          <w:szCs w:val="24"/>
        </w:rPr>
        <w:t>3.1.2投标人的报价均超过采购预算，招标人不能支付的；</w:t>
      </w:r>
    </w:p>
    <w:p>
      <w:pPr>
        <w:spacing w:line="460" w:lineRule="exact"/>
        <w:ind w:left="480" w:hanging="480" w:hangingChars="200"/>
        <w:rPr>
          <w:rFonts w:hint="eastAsia" w:ascii="宋体" w:hAnsi="宋体"/>
          <w:sz w:val="24"/>
          <w:szCs w:val="24"/>
        </w:rPr>
      </w:pPr>
      <w:r>
        <w:rPr>
          <w:rFonts w:hint="eastAsia" w:ascii="宋体" w:hAnsi="宋体"/>
          <w:sz w:val="24"/>
          <w:szCs w:val="24"/>
        </w:rPr>
        <w:t>3.1.3出现影响采购公正的违法、违规行为的；</w:t>
      </w:r>
    </w:p>
    <w:p>
      <w:pPr>
        <w:spacing w:line="460" w:lineRule="exact"/>
        <w:ind w:left="480" w:hanging="480" w:hangingChars="200"/>
        <w:rPr>
          <w:rFonts w:hint="eastAsia" w:ascii="宋体" w:hAnsi="宋体"/>
          <w:sz w:val="24"/>
          <w:szCs w:val="24"/>
        </w:rPr>
      </w:pPr>
      <w:r>
        <w:rPr>
          <w:rFonts w:hint="eastAsia" w:ascii="宋体" w:hAnsi="宋体"/>
          <w:sz w:val="24"/>
          <w:szCs w:val="24"/>
        </w:rPr>
        <w:t>3.1.4因重大变故，采购任务取消的；</w:t>
      </w:r>
    </w:p>
    <w:p>
      <w:pPr>
        <w:spacing w:line="460" w:lineRule="exact"/>
        <w:ind w:left="480" w:hanging="480" w:hangingChars="200"/>
        <w:rPr>
          <w:rFonts w:hint="eastAsia" w:ascii="宋体" w:hAnsi="宋体"/>
          <w:sz w:val="24"/>
          <w:szCs w:val="24"/>
        </w:rPr>
      </w:pPr>
      <w:r>
        <w:rPr>
          <w:rFonts w:hint="eastAsia" w:ascii="宋体" w:hAnsi="宋体"/>
          <w:sz w:val="24"/>
          <w:szCs w:val="24"/>
        </w:rPr>
        <w:t>3.1.5招标文件规定的其他应当废标的情形。</w:t>
      </w:r>
    </w:p>
    <w:p>
      <w:pPr>
        <w:spacing w:line="460" w:lineRule="exact"/>
        <w:ind w:left="561" w:leftChars="267"/>
        <w:rPr>
          <w:rFonts w:hint="eastAsia" w:ascii="宋体" w:hAnsi="宋体"/>
          <w:sz w:val="24"/>
          <w:szCs w:val="24"/>
        </w:rPr>
      </w:pPr>
      <w:r>
        <w:rPr>
          <w:rFonts w:hint="eastAsia" w:ascii="宋体" w:hAnsi="宋体"/>
          <w:sz w:val="24"/>
          <w:szCs w:val="24"/>
        </w:rPr>
        <w:t>废标后，招标人（招标代理机构）会把废标理由通知所有投标人。</w:t>
      </w:r>
    </w:p>
    <w:p>
      <w:pPr>
        <w:spacing w:line="460" w:lineRule="exact"/>
        <w:ind w:left="561" w:leftChars="267"/>
        <w:rPr>
          <w:rFonts w:hint="eastAsia" w:ascii="宋体" w:hAnsi="宋体"/>
          <w:b/>
          <w:sz w:val="24"/>
          <w:szCs w:val="24"/>
        </w:rPr>
      </w:pPr>
      <w:r>
        <w:rPr>
          <w:rFonts w:hint="eastAsia" w:ascii="宋体" w:hAnsi="宋体"/>
          <w:b/>
          <w:sz w:val="24"/>
          <w:szCs w:val="24"/>
        </w:rPr>
        <w:t>项目废标后，评委会认为招标文件没有不合理条款的，可以采用竞争性谈判等其</w:t>
      </w:r>
    </w:p>
    <w:p>
      <w:pPr>
        <w:spacing w:line="460" w:lineRule="exact"/>
        <w:rPr>
          <w:rFonts w:hint="eastAsia" w:ascii="宋体" w:hAnsi="宋体"/>
          <w:b/>
          <w:sz w:val="24"/>
          <w:szCs w:val="24"/>
        </w:rPr>
      </w:pPr>
      <w:r>
        <w:rPr>
          <w:rFonts w:hint="eastAsia" w:ascii="宋体" w:hAnsi="宋体"/>
          <w:b/>
          <w:sz w:val="24"/>
          <w:szCs w:val="24"/>
        </w:rPr>
        <w:t>它采购方式继续进行采购。</w:t>
      </w:r>
    </w:p>
    <w:p>
      <w:pPr>
        <w:spacing w:line="460" w:lineRule="exact"/>
        <w:ind w:left="480" w:hanging="480" w:hangingChars="200"/>
        <w:rPr>
          <w:rFonts w:hint="eastAsia" w:ascii="宋体" w:hAnsi="宋体"/>
          <w:sz w:val="24"/>
          <w:szCs w:val="24"/>
        </w:rPr>
      </w:pPr>
      <w:r>
        <w:rPr>
          <w:rFonts w:hint="eastAsia" w:ascii="宋体" w:hAnsi="宋体"/>
          <w:sz w:val="24"/>
          <w:szCs w:val="24"/>
        </w:rPr>
        <w:t>4、评标过程的保密</w:t>
      </w:r>
    </w:p>
    <w:p>
      <w:pPr>
        <w:spacing w:line="460" w:lineRule="exact"/>
        <w:ind w:left="480" w:hanging="480" w:hangingChars="200"/>
        <w:rPr>
          <w:rFonts w:hint="eastAsia" w:ascii="宋体" w:hAnsi="宋体"/>
          <w:sz w:val="24"/>
          <w:szCs w:val="24"/>
        </w:rPr>
      </w:pPr>
      <w:r>
        <w:rPr>
          <w:rFonts w:hint="eastAsia" w:ascii="宋体" w:hAnsi="宋体"/>
          <w:sz w:val="24"/>
          <w:szCs w:val="24"/>
        </w:rPr>
        <w:t>4.1评委会成员或者参加评标的其他人员均不得向他人透露对投标文件的评审和比较以及与评标有关的其他情况。</w:t>
      </w:r>
    </w:p>
    <w:p>
      <w:pPr>
        <w:spacing w:line="460" w:lineRule="exact"/>
        <w:ind w:left="480" w:hanging="480" w:hangingChars="200"/>
        <w:rPr>
          <w:rFonts w:hint="eastAsia" w:ascii="宋体" w:hAnsi="宋体"/>
          <w:sz w:val="24"/>
          <w:szCs w:val="24"/>
        </w:rPr>
      </w:pPr>
      <w:r>
        <w:rPr>
          <w:rFonts w:hint="eastAsia" w:ascii="宋体" w:hAnsi="宋体"/>
          <w:sz w:val="24"/>
          <w:szCs w:val="24"/>
        </w:rPr>
        <w:t>4.2</w:t>
      </w:r>
      <w:r>
        <w:rPr>
          <w:rFonts w:ascii="宋体" w:hAnsi="宋体"/>
          <w:sz w:val="24"/>
          <w:szCs w:val="24"/>
        </w:rPr>
        <w:t>在评标过程中，投标人如向评委会成员施加任何影响，都将会导致其投标</w:t>
      </w:r>
      <w:r>
        <w:rPr>
          <w:rFonts w:hint="eastAsia" w:ascii="宋体" w:hAnsi="宋体"/>
          <w:sz w:val="24"/>
          <w:szCs w:val="24"/>
        </w:rPr>
        <w:t>书</w:t>
      </w:r>
      <w:r>
        <w:rPr>
          <w:rFonts w:ascii="宋体" w:hAnsi="宋体"/>
          <w:sz w:val="24"/>
          <w:szCs w:val="24"/>
        </w:rPr>
        <w:t>被拒绝。</w:t>
      </w:r>
    </w:p>
    <w:p>
      <w:pPr>
        <w:rPr>
          <w:rFonts w:hint="eastAsia"/>
        </w:rPr>
      </w:pPr>
    </w:p>
    <w:p>
      <w:pPr>
        <w:adjustRightInd w:val="0"/>
        <w:snapToGrid w:val="0"/>
        <w:spacing w:line="360" w:lineRule="auto"/>
        <w:ind w:right="-4" w:rightChars="-2"/>
        <w:rPr>
          <w:rFonts w:hint="eastAsia" w:ascii="宋体" w:hAnsi="宋体" w:cs="宋体"/>
          <w:b/>
          <w:color w:val="000000"/>
          <w:sz w:val="24"/>
          <w:szCs w:val="24"/>
          <w:highlight w:val="none"/>
        </w:rPr>
      </w:pPr>
    </w:p>
    <w:p>
      <w:pPr>
        <w:adjustRightInd w:val="0"/>
        <w:snapToGrid w:val="0"/>
        <w:spacing w:line="360" w:lineRule="auto"/>
        <w:ind w:right="-4" w:rightChars="-2"/>
        <w:rPr>
          <w:rFonts w:hint="eastAsia" w:ascii="宋体" w:hAnsi="宋体" w:cs="宋体"/>
          <w:b/>
          <w:color w:val="000000"/>
          <w:sz w:val="24"/>
          <w:szCs w:val="24"/>
          <w:highlight w:val="none"/>
        </w:rPr>
      </w:pPr>
    </w:p>
    <w:p>
      <w:pPr>
        <w:adjustRightInd w:val="0"/>
        <w:snapToGrid w:val="0"/>
        <w:spacing w:line="360" w:lineRule="auto"/>
        <w:ind w:right="-4" w:rightChars="-2"/>
        <w:rPr>
          <w:rFonts w:hint="eastAsia" w:ascii="宋体" w:hAnsi="宋体" w:cs="宋体"/>
          <w:color w:val="000000"/>
          <w:sz w:val="24"/>
          <w:szCs w:val="24"/>
          <w:highlight w:val="none"/>
        </w:rPr>
      </w:pPr>
      <w:r>
        <w:rPr>
          <w:rFonts w:hint="eastAsia" w:ascii="宋体" w:hAnsi="宋体" w:cs="宋体"/>
          <w:b/>
          <w:color w:val="000000"/>
          <w:sz w:val="24"/>
          <w:szCs w:val="24"/>
          <w:highlight w:val="none"/>
        </w:rPr>
        <w:t>二、详细评价表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2"/>
        <w:gridCol w:w="1134"/>
        <w:gridCol w:w="6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262" w:type="dxa"/>
            <w:shd w:val="clear" w:color="auto" w:fill="F3F3F3"/>
            <w:vAlign w:val="center"/>
          </w:tcPr>
          <w:p>
            <w:pPr>
              <w:spacing w:line="400" w:lineRule="exact"/>
              <w:ind w:right="-4" w:rightChars="-2"/>
              <w:jc w:val="center"/>
              <w:rPr>
                <w:rFonts w:ascii="宋体"/>
                <w:szCs w:val="21"/>
                <w:highlight w:val="none"/>
              </w:rPr>
            </w:pPr>
            <w:r>
              <w:rPr>
                <w:rFonts w:hint="eastAsia" w:ascii="宋体" w:hAnsi="宋体" w:cs="宋体"/>
                <w:szCs w:val="21"/>
                <w:highlight w:val="none"/>
              </w:rPr>
              <w:t>评分项目</w:t>
            </w:r>
          </w:p>
        </w:tc>
        <w:tc>
          <w:tcPr>
            <w:tcW w:w="1134" w:type="dxa"/>
            <w:shd w:val="clear" w:color="auto" w:fill="F3F3F3"/>
            <w:vAlign w:val="center"/>
          </w:tcPr>
          <w:p>
            <w:pPr>
              <w:spacing w:line="400" w:lineRule="exact"/>
              <w:ind w:right="-4" w:rightChars="-2"/>
              <w:jc w:val="center"/>
              <w:rPr>
                <w:rFonts w:ascii="宋体"/>
                <w:szCs w:val="21"/>
                <w:highlight w:val="none"/>
              </w:rPr>
            </w:pPr>
            <w:r>
              <w:rPr>
                <w:rFonts w:hint="eastAsia" w:ascii="宋体" w:hAnsi="宋体" w:cs="宋体"/>
                <w:szCs w:val="21"/>
                <w:highlight w:val="none"/>
              </w:rPr>
              <w:t>分项</w:t>
            </w:r>
          </w:p>
        </w:tc>
        <w:tc>
          <w:tcPr>
            <w:tcW w:w="6732" w:type="dxa"/>
            <w:shd w:val="clear" w:color="auto" w:fill="F3F3F3"/>
            <w:vAlign w:val="center"/>
          </w:tcPr>
          <w:p>
            <w:pPr>
              <w:spacing w:line="400" w:lineRule="exact"/>
              <w:ind w:right="-4" w:rightChars="-2"/>
              <w:jc w:val="center"/>
              <w:rPr>
                <w:rFonts w:ascii="宋体"/>
                <w:szCs w:val="21"/>
                <w:highlight w:val="none"/>
              </w:rPr>
            </w:pPr>
            <w:r>
              <w:rPr>
                <w:rFonts w:hint="eastAsia" w:ascii="宋体" w:hAnsi="宋体" w:cs="宋体"/>
                <w:szCs w:val="21"/>
                <w:highlight w:val="none"/>
              </w:rPr>
              <w:t>评标要点及说明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62" w:type="dxa"/>
            <w:vAlign w:val="center"/>
          </w:tcPr>
          <w:p>
            <w:pPr>
              <w:spacing w:line="400" w:lineRule="exact"/>
              <w:ind w:right="-4" w:rightChars="-2"/>
              <w:rPr>
                <w:rFonts w:ascii="宋体"/>
                <w:szCs w:val="21"/>
                <w:highlight w:val="none"/>
              </w:rPr>
            </w:pPr>
            <w:r>
              <w:rPr>
                <w:rFonts w:hint="eastAsia" w:ascii="宋体" w:hAnsi="宋体" w:cs="宋体"/>
                <w:szCs w:val="21"/>
                <w:highlight w:val="none"/>
              </w:rPr>
              <w:t>投标报价</w:t>
            </w:r>
          </w:p>
          <w:p>
            <w:pPr>
              <w:spacing w:line="400" w:lineRule="exact"/>
              <w:ind w:right="-4" w:rightChars="-2"/>
              <w:rPr>
                <w:rFonts w:ascii="宋体"/>
                <w:szCs w:val="21"/>
                <w:highlight w:val="none"/>
              </w:rPr>
            </w:pPr>
            <w:r>
              <w:rPr>
                <w:rFonts w:hint="eastAsia" w:ascii="宋体" w:hAnsi="宋体" w:cs="宋体"/>
                <w:szCs w:val="21"/>
                <w:highlight w:val="none"/>
              </w:rPr>
              <w:t xml:space="preserve"> </w:t>
            </w:r>
          </w:p>
        </w:tc>
        <w:tc>
          <w:tcPr>
            <w:tcW w:w="1134" w:type="dxa"/>
            <w:vAlign w:val="center"/>
          </w:tcPr>
          <w:p>
            <w:pPr>
              <w:spacing w:line="400" w:lineRule="exact"/>
              <w:ind w:right="-4" w:rightChars="-2"/>
              <w:rPr>
                <w:rFonts w:hint="eastAsia" w:ascii="宋体"/>
                <w:color w:val="000000"/>
                <w:szCs w:val="21"/>
                <w:highlight w:val="none"/>
              </w:rPr>
            </w:pPr>
            <w:r>
              <w:rPr>
                <w:rFonts w:hint="eastAsia" w:ascii="宋体" w:hAnsi="宋体" w:cs="宋体"/>
                <w:color w:val="000000"/>
                <w:szCs w:val="21"/>
                <w:highlight w:val="none"/>
              </w:rPr>
              <w:t>报价（</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0分）</w:t>
            </w:r>
          </w:p>
        </w:tc>
        <w:tc>
          <w:tcPr>
            <w:tcW w:w="6732" w:type="dxa"/>
            <w:vAlign w:val="center"/>
          </w:tcPr>
          <w:p>
            <w:pPr>
              <w:spacing w:line="400" w:lineRule="exact"/>
              <w:ind w:right="-4" w:rightChars="-2" w:firstLine="420" w:firstLineChars="200"/>
              <w:rPr>
                <w:highlight w:val="none"/>
              </w:rPr>
            </w:pPr>
            <w:r>
              <w:rPr>
                <w:rFonts w:hint="eastAsia"/>
                <w:highlight w:val="none"/>
              </w:rPr>
              <w:t>采用低价优先法计算，即满足招标文件要求且投标价格最低的投标报价为评标基准价，其价格分为满分。其他投标人的价格分按照下列公式计算（小数点保留两位）。</w:t>
            </w:r>
          </w:p>
          <w:p>
            <w:pPr>
              <w:spacing w:line="400" w:lineRule="exact"/>
              <w:ind w:right="-4" w:rightChars="-2" w:firstLine="420" w:firstLineChars="200"/>
              <w:rPr>
                <w:highlight w:val="none"/>
              </w:rPr>
            </w:pPr>
            <w:r>
              <w:rPr>
                <w:rFonts w:hint="eastAsia"/>
                <w:highlight w:val="none"/>
              </w:rPr>
              <w:t>投标报价得分</w:t>
            </w:r>
            <w:r>
              <w:rPr>
                <w:highlight w:val="none"/>
              </w:rPr>
              <w:t>=(</w:t>
            </w:r>
            <w:r>
              <w:rPr>
                <w:rFonts w:hint="eastAsia"/>
                <w:highlight w:val="none"/>
              </w:rPr>
              <w:t>评标基准价／投标报价</w:t>
            </w:r>
            <w:r>
              <w:rPr>
                <w:highlight w:val="none"/>
              </w:rPr>
              <w:t>)</w:t>
            </w:r>
            <w:r>
              <w:rPr>
                <w:rFonts w:hint="eastAsia"/>
                <w:highlight w:val="none"/>
              </w:rPr>
              <w:t>×</w:t>
            </w:r>
            <w:r>
              <w:rPr>
                <w:rFonts w:hint="eastAsia"/>
                <w:highlight w:val="none"/>
                <w:lang w:val="en-US" w:eastAsia="zh-CN"/>
              </w:rPr>
              <w:t>5</w:t>
            </w:r>
            <w:r>
              <w:rPr>
                <w:rFonts w:hint="eastAsia"/>
                <w:highlight w:val="none"/>
              </w:rPr>
              <w:t>0</w:t>
            </w:r>
          </w:p>
          <w:p>
            <w:pPr>
              <w:pStyle w:val="48"/>
              <w:ind w:left="0" w:leftChars="0" w:firstLine="0" w:firstLineChars="0"/>
              <w:rPr>
                <w:highlight w:val="none"/>
              </w:rPr>
            </w:pPr>
            <w:r>
              <w:rPr>
                <w:highlight w:val="none"/>
              </w:rPr>
              <w:t>注：投标人报价高于最高限价的，则视为无效投标。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4" w:hRule="atLeast"/>
          <w:jc w:val="center"/>
        </w:trPr>
        <w:tc>
          <w:tcPr>
            <w:tcW w:w="1262" w:type="dxa"/>
            <w:vMerge w:val="restart"/>
            <w:vAlign w:val="center"/>
          </w:tcPr>
          <w:p>
            <w:pPr>
              <w:spacing w:line="400" w:lineRule="exact"/>
              <w:ind w:right="-4" w:rightChars="-2"/>
              <w:rPr>
                <w:rFonts w:ascii="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w:t>
            </w:r>
            <w:r>
              <w:rPr>
                <w:rFonts w:hint="eastAsia" w:ascii="宋体" w:hAnsi="宋体" w:cs="宋体"/>
                <w:color w:val="000000"/>
                <w:szCs w:val="21"/>
                <w:highlight w:val="none"/>
                <w:u w:val="none"/>
              </w:rPr>
              <w:t>0</w:t>
            </w:r>
            <w:r>
              <w:rPr>
                <w:rFonts w:hint="eastAsia" w:ascii="宋体" w:hAnsi="宋体" w:cs="宋体"/>
                <w:color w:val="000000"/>
                <w:szCs w:val="21"/>
                <w:highlight w:val="none"/>
              </w:rPr>
              <w:t>分</w:t>
            </w:r>
            <w:r>
              <w:rPr>
                <w:rFonts w:hint="eastAsia" w:ascii="宋体" w:hAnsi="宋体" w:cs="宋体"/>
                <w:szCs w:val="21"/>
                <w:highlight w:val="none"/>
              </w:rPr>
              <w:t>）</w:t>
            </w:r>
          </w:p>
        </w:tc>
        <w:tc>
          <w:tcPr>
            <w:tcW w:w="1134" w:type="dxa"/>
            <w:vAlign w:val="center"/>
          </w:tcPr>
          <w:p>
            <w:pPr>
              <w:spacing w:line="400" w:lineRule="exact"/>
              <w:ind w:right="-4" w:rightChars="-2"/>
              <w:rPr>
                <w:rFonts w:hint="eastAsia" w:ascii="宋体"/>
                <w:color w:val="000000"/>
                <w:szCs w:val="21"/>
                <w:highlight w:val="none"/>
              </w:rPr>
            </w:pPr>
            <w:r>
              <w:rPr>
                <w:rFonts w:hint="eastAsia" w:ascii="宋体" w:hAnsi="宋体" w:cs="宋体"/>
                <w:color w:val="000000"/>
                <w:szCs w:val="21"/>
                <w:highlight w:val="none"/>
              </w:rPr>
              <w:t>业绩（</w:t>
            </w:r>
            <w:r>
              <w:rPr>
                <w:rFonts w:hint="eastAsia" w:ascii="宋体" w:hAnsi="宋体" w:cs="宋体"/>
                <w:color w:val="000000"/>
                <w:szCs w:val="21"/>
                <w:highlight w:val="none"/>
                <w:lang w:val="en-US" w:eastAsia="zh-CN"/>
              </w:rPr>
              <w:t>16</w:t>
            </w:r>
            <w:r>
              <w:rPr>
                <w:rFonts w:hint="eastAsia" w:ascii="宋体" w:hAnsi="宋体" w:cs="宋体"/>
                <w:color w:val="000000"/>
                <w:szCs w:val="21"/>
                <w:highlight w:val="none"/>
              </w:rPr>
              <w:t>分）</w:t>
            </w:r>
          </w:p>
        </w:tc>
        <w:tc>
          <w:tcPr>
            <w:tcW w:w="6732" w:type="dxa"/>
            <w:vAlign w:val="center"/>
          </w:tcPr>
          <w:p>
            <w:pPr>
              <w:spacing w:line="400" w:lineRule="exact"/>
              <w:ind w:right="-4" w:rightChars="-2"/>
              <w:rPr>
                <w:rFonts w:hint="eastAsia"/>
                <w:highlight w:val="none"/>
              </w:rPr>
            </w:pPr>
            <w:r>
              <w:rPr>
                <w:rFonts w:hint="eastAsia"/>
                <w:highlight w:val="none"/>
              </w:rPr>
              <w:t>投标人或投标人所投产品制造商（自201</w:t>
            </w:r>
            <w:r>
              <w:rPr>
                <w:rFonts w:hint="eastAsia"/>
                <w:highlight w:val="none"/>
                <w:lang w:val="en-US" w:eastAsia="zh-CN"/>
              </w:rPr>
              <w:t>9</w:t>
            </w:r>
            <w:r>
              <w:rPr>
                <w:rFonts w:hint="eastAsia"/>
                <w:highlight w:val="none"/>
              </w:rPr>
              <w:t>年10月1日至开标截止时间）每提供一份类似项目业绩的得</w:t>
            </w:r>
            <w:r>
              <w:rPr>
                <w:rFonts w:hint="eastAsia"/>
                <w:highlight w:val="none"/>
                <w:lang w:val="en-US" w:eastAsia="zh-CN"/>
              </w:rPr>
              <w:t>4</w:t>
            </w:r>
            <w:r>
              <w:rPr>
                <w:rFonts w:hint="eastAsia"/>
                <w:highlight w:val="none"/>
              </w:rPr>
              <w:t>分，最高得</w:t>
            </w:r>
            <w:r>
              <w:rPr>
                <w:rFonts w:hint="eastAsia"/>
                <w:highlight w:val="none"/>
                <w:lang w:val="en-US" w:eastAsia="zh-CN"/>
              </w:rPr>
              <w:t>16</w:t>
            </w:r>
            <w:r>
              <w:rPr>
                <w:rFonts w:hint="eastAsia"/>
                <w:highlight w:val="none"/>
              </w:rPr>
              <w:t>分。（须提供合同复印件）。</w:t>
            </w:r>
          </w:p>
          <w:p>
            <w:pPr>
              <w:pStyle w:val="48"/>
              <w:ind w:left="0" w:leftChars="0" w:firstLine="0" w:firstLineChars="0"/>
              <w:rPr>
                <w:rFonts w:hint="eastAsia"/>
                <w:highlight w:val="none"/>
              </w:rPr>
            </w:pPr>
            <w:r>
              <w:rPr>
                <w:rFonts w:hint="eastAsia"/>
                <w:highlight w:val="none"/>
              </w:rPr>
              <w:t>注：时间以合同签订时间为准。合同应能辨识双方公章、签订时间、服务内容等（若合同协议书不能反映上述相关内容的，须提供采购单位盖章的证明材料）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62" w:type="dxa"/>
            <w:vMerge w:val="continue"/>
            <w:vAlign w:val="center"/>
          </w:tcPr>
          <w:p>
            <w:pPr>
              <w:spacing w:line="400" w:lineRule="exact"/>
              <w:ind w:right="-4" w:rightChars="-2"/>
              <w:rPr>
                <w:rFonts w:hint="eastAsia" w:ascii="宋体" w:hAnsi="宋体" w:cs="宋体"/>
                <w:szCs w:val="21"/>
                <w:highlight w:val="none"/>
              </w:rPr>
            </w:pPr>
          </w:p>
        </w:tc>
        <w:tc>
          <w:tcPr>
            <w:tcW w:w="1134" w:type="dxa"/>
            <w:vAlign w:val="center"/>
          </w:tcPr>
          <w:p>
            <w:pPr>
              <w:spacing w:line="400" w:lineRule="exact"/>
              <w:ind w:right="-4" w:rightChars="-2"/>
              <w:rPr>
                <w:rFonts w:ascii="宋体" w:hAnsi="宋体" w:cs="宋体"/>
                <w:color w:val="000000"/>
                <w:szCs w:val="21"/>
                <w:highlight w:val="none"/>
              </w:rPr>
            </w:pPr>
            <w:r>
              <w:rPr>
                <w:rFonts w:hint="eastAsia" w:ascii="宋体" w:hAnsi="宋体" w:cs="宋体"/>
                <w:szCs w:val="21"/>
                <w:highlight w:val="none"/>
              </w:rPr>
              <w:t>制造商资质（</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32" w:type="dxa"/>
            <w:vAlign w:val="center"/>
          </w:tcPr>
          <w:p>
            <w:pPr>
              <w:spacing w:line="400" w:lineRule="exact"/>
              <w:ind w:right="-4" w:rightChars="-2"/>
              <w:rPr>
                <w:rFonts w:hint="eastAsia"/>
                <w:highlight w:val="none"/>
              </w:rPr>
            </w:pPr>
            <w:r>
              <w:rPr>
                <w:rFonts w:hint="eastAsia"/>
                <w:highlight w:val="none"/>
              </w:rPr>
              <w:t>1、投标人或所投产品制造商具有IS09001质量管理体系认证证书、IS014001环境管理体系认证证书、IS045001职业健康安全管理体系认证证书的，每提供1个证书得</w:t>
            </w:r>
            <w:r>
              <w:rPr>
                <w:rFonts w:hint="eastAsia"/>
                <w:highlight w:val="none"/>
                <w:lang w:val="en-US" w:eastAsia="zh-CN"/>
              </w:rPr>
              <w:t>2</w:t>
            </w:r>
            <w:r>
              <w:rPr>
                <w:rFonts w:hint="eastAsia"/>
                <w:highlight w:val="none"/>
              </w:rPr>
              <w:t>分，最高得</w:t>
            </w:r>
            <w:r>
              <w:rPr>
                <w:rFonts w:hint="eastAsia"/>
                <w:highlight w:val="none"/>
                <w:lang w:val="en-US" w:eastAsia="zh-CN"/>
              </w:rPr>
              <w:t>6</w:t>
            </w:r>
            <w:r>
              <w:rPr>
                <w:rFonts w:hint="eastAsia"/>
                <w:highlight w:val="none"/>
              </w:rPr>
              <w:t>分；</w:t>
            </w:r>
          </w:p>
          <w:p>
            <w:pPr>
              <w:pStyle w:val="48"/>
              <w:ind w:left="0" w:leftChars="0" w:firstLine="0" w:firstLineChars="0"/>
              <w:rPr>
                <w:rFonts w:hint="eastAsia"/>
                <w:highlight w:val="none"/>
              </w:rPr>
            </w:pPr>
            <w:r>
              <w:rPr>
                <w:rFonts w:hint="eastAsia" w:ascii="宋体" w:hAnsi="宋体" w:cs="宋体"/>
                <w:szCs w:val="21"/>
                <w:highlight w:val="none"/>
              </w:rPr>
              <w:t>标</w:t>
            </w:r>
            <w:r>
              <w:rPr>
                <w:rFonts w:hint="eastAsia"/>
                <w:b/>
                <w:bCs/>
                <w:highlight w:val="none"/>
              </w:rPr>
              <w:t>注：须提供以上复印件放入投标文件中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 w:hRule="atLeast"/>
          <w:jc w:val="center"/>
        </w:trPr>
        <w:tc>
          <w:tcPr>
            <w:tcW w:w="1262" w:type="dxa"/>
            <w:vMerge w:val="continue"/>
            <w:vAlign w:val="center"/>
          </w:tcPr>
          <w:p>
            <w:pPr>
              <w:spacing w:line="400" w:lineRule="exact"/>
              <w:ind w:right="-4" w:rightChars="-2"/>
              <w:rPr>
                <w:rFonts w:hint="eastAsia" w:ascii="宋体" w:hAnsi="宋体" w:cs="宋体"/>
                <w:szCs w:val="21"/>
                <w:highlight w:val="none"/>
              </w:rPr>
            </w:pPr>
          </w:p>
        </w:tc>
        <w:tc>
          <w:tcPr>
            <w:tcW w:w="1134" w:type="dxa"/>
            <w:vAlign w:val="center"/>
          </w:tcPr>
          <w:p>
            <w:pPr>
              <w:spacing w:line="400" w:lineRule="exact"/>
              <w:ind w:right="-4" w:rightChars="-2"/>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投标人投标产品质量资质（6分）</w:t>
            </w:r>
          </w:p>
        </w:tc>
        <w:tc>
          <w:tcPr>
            <w:tcW w:w="6732" w:type="dxa"/>
            <w:vAlign w:val="center"/>
          </w:tcPr>
          <w:p>
            <w:pPr>
              <w:pStyle w:val="48"/>
              <w:numPr>
                <w:ilvl w:val="0"/>
                <w:numId w:val="8"/>
              </w:numPr>
              <w:ind w:left="0" w:leftChars="0" w:firstLine="0" w:firstLineChars="0"/>
              <w:rPr>
                <w:rFonts w:hint="eastAsia" w:hAnsi="宋体"/>
                <w:kern w:val="2"/>
                <w:sz w:val="21"/>
                <w:szCs w:val="21"/>
                <w:highlight w:val="none"/>
                <w:lang w:eastAsia="zh-CN"/>
              </w:rPr>
            </w:pPr>
            <w:r>
              <w:rPr>
                <w:rFonts w:hint="eastAsia" w:ascii="宋体" w:hAnsi="宋体" w:cs="宋体"/>
                <w:sz w:val="21"/>
                <w:szCs w:val="21"/>
                <w:highlight w:val="none"/>
                <w:lang w:eastAsia="zh-CN"/>
              </w:rPr>
              <w:t>针对</w:t>
            </w:r>
            <w:r>
              <w:rPr>
                <w:rFonts w:hint="eastAsia" w:ascii="宋体" w:hAnsi="宋体" w:cs="宋体"/>
                <w:sz w:val="21"/>
                <w:szCs w:val="21"/>
                <w:highlight w:val="none"/>
                <w:lang w:val="en-US" w:eastAsia="zh-CN"/>
              </w:rPr>
              <w:t>投标人</w:t>
            </w:r>
            <w:r>
              <w:rPr>
                <w:rFonts w:hint="eastAsia" w:ascii="宋体" w:hAnsi="宋体"/>
                <w:sz w:val="21"/>
                <w:szCs w:val="21"/>
                <w:highlight w:val="none"/>
                <w:lang w:eastAsia="zh-CN"/>
              </w:rPr>
              <w:t>所拥有的</w:t>
            </w:r>
            <w:r>
              <w:rPr>
                <w:rFonts w:hint="eastAsia" w:ascii="宋体" w:hAnsi="宋体"/>
                <w:sz w:val="21"/>
                <w:szCs w:val="21"/>
                <w:highlight w:val="none"/>
                <w:lang w:val="en-US" w:eastAsia="zh-CN"/>
              </w:rPr>
              <w:t>生产</w:t>
            </w:r>
            <w:r>
              <w:rPr>
                <w:rFonts w:hint="eastAsia" w:ascii="宋体" w:hAnsi="宋体"/>
                <w:sz w:val="21"/>
                <w:szCs w:val="21"/>
                <w:highlight w:val="none"/>
                <w:lang w:eastAsia="zh-CN"/>
              </w:rPr>
              <w:t>工艺流程的先进水平、合理性，试验能力等，</w:t>
            </w:r>
            <w:r>
              <w:rPr>
                <w:rFonts w:hint="eastAsia" w:ascii="宋体" w:hAnsi="宋体"/>
                <w:sz w:val="21"/>
                <w:szCs w:val="21"/>
                <w:highlight w:val="none"/>
                <w:lang w:val="en-US" w:eastAsia="zh-CN"/>
              </w:rPr>
              <w:t>能力</w:t>
            </w:r>
            <w:r>
              <w:rPr>
                <w:rFonts w:hint="eastAsia" w:hAnsi="宋体"/>
                <w:kern w:val="2"/>
                <w:sz w:val="21"/>
                <w:szCs w:val="21"/>
                <w:highlight w:val="none"/>
              </w:rPr>
              <w:t>优秀的得</w:t>
            </w:r>
            <w:r>
              <w:rPr>
                <w:rFonts w:hint="eastAsia" w:hAnsi="宋体"/>
                <w:kern w:val="2"/>
                <w:sz w:val="21"/>
                <w:szCs w:val="21"/>
                <w:highlight w:val="none"/>
                <w:lang w:val="en-US" w:eastAsia="zh-CN"/>
              </w:rPr>
              <w:t>3</w:t>
            </w:r>
            <w:r>
              <w:rPr>
                <w:rFonts w:hint="eastAsia" w:hAnsi="宋体"/>
                <w:kern w:val="2"/>
                <w:sz w:val="21"/>
                <w:szCs w:val="21"/>
                <w:highlight w:val="none"/>
              </w:rPr>
              <w:t>分；良好的得</w:t>
            </w:r>
            <w:r>
              <w:rPr>
                <w:rFonts w:hint="eastAsia" w:hAnsi="宋体"/>
                <w:kern w:val="2"/>
                <w:sz w:val="21"/>
                <w:szCs w:val="21"/>
                <w:highlight w:val="none"/>
                <w:lang w:val="en-US" w:eastAsia="zh-CN"/>
              </w:rPr>
              <w:t>2</w:t>
            </w:r>
            <w:r>
              <w:rPr>
                <w:rFonts w:hint="eastAsia" w:hAnsi="宋体"/>
                <w:kern w:val="2"/>
                <w:sz w:val="21"/>
                <w:szCs w:val="21"/>
                <w:highlight w:val="none"/>
              </w:rPr>
              <w:t>分；一般的得1分；差的或未提供的不得分</w:t>
            </w:r>
            <w:r>
              <w:rPr>
                <w:rFonts w:hint="eastAsia" w:hAnsi="宋体"/>
                <w:kern w:val="2"/>
                <w:sz w:val="21"/>
                <w:szCs w:val="21"/>
                <w:highlight w:val="none"/>
                <w:lang w:eastAsia="zh-CN"/>
              </w:rPr>
              <w:t>。</w:t>
            </w:r>
          </w:p>
          <w:p>
            <w:pPr>
              <w:pStyle w:val="48"/>
              <w:numPr>
                <w:ilvl w:val="0"/>
                <w:numId w:val="8"/>
              </w:numPr>
              <w:rPr>
                <w:rFonts w:hint="eastAsia" w:hAnsi="宋体"/>
                <w:kern w:val="2"/>
                <w:sz w:val="21"/>
                <w:szCs w:val="21"/>
                <w:highlight w:val="none"/>
                <w:lang w:eastAsia="zh-CN"/>
              </w:rPr>
            </w:pPr>
            <w:r>
              <w:rPr>
                <w:rFonts w:hint="eastAsia" w:ascii="宋体" w:hAnsi="宋体" w:cs="宋体"/>
                <w:sz w:val="21"/>
                <w:szCs w:val="21"/>
                <w:highlight w:val="none"/>
                <w:lang w:eastAsia="zh-CN"/>
              </w:rPr>
              <w:t>综合比较投标人针对本项目质量保证措施的可行性、合理性 、安全性进行排名，</w:t>
            </w:r>
            <w:r>
              <w:rPr>
                <w:rFonts w:hint="eastAsia" w:ascii="宋体" w:hAnsi="宋体"/>
                <w:sz w:val="21"/>
                <w:szCs w:val="21"/>
                <w:highlight w:val="none"/>
                <w:lang w:val="en-US" w:eastAsia="zh-CN"/>
              </w:rPr>
              <w:t>能力</w:t>
            </w:r>
            <w:r>
              <w:rPr>
                <w:rFonts w:hint="eastAsia" w:hAnsi="宋体"/>
                <w:kern w:val="2"/>
                <w:sz w:val="21"/>
                <w:szCs w:val="21"/>
                <w:highlight w:val="none"/>
              </w:rPr>
              <w:t>优秀的得</w:t>
            </w:r>
            <w:r>
              <w:rPr>
                <w:rFonts w:hint="eastAsia" w:hAnsi="宋体"/>
                <w:kern w:val="2"/>
                <w:sz w:val="21"/>
                <w:szCs w:val="21"/>
                <w:highlight w:val="none"/>
                <w:lang w:val="en-US" w:eastAsia="zh-CN"/>
              </w:rPr>
              <w:t>3</w:t>
            </w:r>
            <w:r>
              <w:rPr>
                <w:rFonts w:hint="eastAsia" w:hAnsi="宋体"/>
                <w:kern w:val="2"/>
                <w:sz w:val="21"/>
                <w:szCs w:val="21"/>
                <w:highlight w:val="none"/>
              </w:rPr>
              <w:t>分；良好的得</w:t>
            </w:r>
            <w:r>
              <w:rPr>
                <w:rFonts w:hint="eastAsia" w:hAnsi="宋体"/>
                <w:kern w:val="2"/>
                <w:sz w:val="21"/>
                <w:szCs w:val="21"/>
                <w:highlight w:val="none"/>
                <w:lang w:val="en-US" w:eastAsia="zh-CN"/>
              </w:rPr>
              <w:t>2</w:t>
            </w:r>
            <w:r>
              <w:rPr>
                <w:rFonts w:hint="eastAsia" w:hAnsi="宋体"/>
                <w:kern w:val="2"/>
                <w:sz w:val="21"/>
                <w:szCs w:val="21"/>
                <w:highlight w:val="none"/>
              </w:rPr>
              <w:t>分；一般的得1分；差的或未提供的不得分</w:t>
            </w:r>
            <w:r>
              <w:rPr>
                <w:rFonts w:hint="eastAsia" w:hAnsi="宋体"/>
                <w:kern w:val="2"/>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6" w:hRule="atLeast"/>
          <w:jc w:val="center"/>
        </w:trPr>
        <w:tc>
          <w:tcPr>
            <w:tcW w:w="1262" w:type="dxa"/>
            <w:vMerge w:val="continue"/>
            <w:vAlign w:val="center"/>
          </w:tcPr>
          <w:p>
            <w:pPr>
              <w:spacing w:line="400" w:lineRule="exact"/>
              <w:ind w:right="-4" w:rightChars="-2"/>
              <w:rPr>
                <w:rFonts w:ascii="宋体" w:cs="宋体"/>
                <w:szCs w:val="21"/>
                <w:highlight w:val="none"/>
              </w:rPr>
            </w:pPr>
          </w:p>
        </w:tc>
        <w:tc>
          <w:tcPr>
            <w:tcW w:w="1134" w:type="dxa"/>
            <w:vAlign w:val="center"/>
          </w:tcPr>
          <w:p>
            <w:pPr>
              <w:spacing w:line="400" w:lineRule="exact"/>
              <w:ind w:right="-4" w:rightChars="-2"/>
              <w:rPr>
                <w:rFonts w:hint="eastAsia" w:ascii="宋体" w:hAnsi="宋体" w:cs="宋体"/>
                <w:szCs w:val="21"/>
                <w:highlight w:val="none"/>
              </w:rPr>
            </w:pPr>
            <w:r>
              <w:rPr>
                <w:rFonts w:hint="eastAsia" w:ascii="宋体" w:hAnsi="宋体" w:cs="宋体"/>
                <w:szCs w:val="21"/>
                <w:highlight w:val="none"/>
              </w:rPr>
              <w:t>投标人资质资信（</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6732" w:type="dxa"/>
            <w:vAlign w:val="center"/>
          </w:tcPr>
          <w:p>
            <w:pPr>
              <w:spacing w:line="400" w:lineRule="exact"/>
              <w:ind w:right="-4" w:rightChars="-2"/>
              <w:rPr>
                <w:rFonts w:hint="eastAsia"/>
                <w:highlight w:val="none"/>
              </w:rPr>
            </w:pPr>
            <w:r>
              <w:rPr>
                <w:rFonts w:hint="eastAsia"/>
                <w:highlight w:val="none"/>
              </w:rPr>
              <w:t>1、投标人参与</w:t>
            </w:r>
            <w:r>
              <w:rPr>
                <w:rFonts w:hint="eastAsia"/>
                <w:highlight w:val="none"/>
                <w:lang w:val="en-US" w:eastAsia="zh-CN"/>
              </w:rPr>
              <w:t>起草</w:t>
            </w:r>
            <w:r>
              <w:rPr>
                <w:rFonts w:hint="eastAsia"/>
                <w:highlight w:val="none"/>
              </w:rPr>
              <w:t>编制</w:t>
            </w:r>
            <w:r>
              <w:rPr>
                <w:rFonts w:hint="eastAsia"/>
                <w:highlight w:val="none"/>
                <w:lang w:val="en-US" w:eastAsia="zh-CN"/>
              </w:rPr>
              <w:t>PE给水管或PPR管最新国家标准，获得相关证书的得2分。</w:t>
            </w:r>
          </w:p>
          <w:p>
            <w:pPr>
              <w:pStyle w:val="394"/>
              <w:numPr>
                <w:ilvl w:val="0"/>
                <w:numId w:val="0"/>
              </w:numPr>
              <w:rPr>
                <w:rFonts w:hint="eastAsia" w:ascii="Times New Roman" w:hAnsi="Times New Roman" w:eastAsia="宋体" w:cs="Times New Roman"/>
                <w:kern w:val="2"/>
                <w:sz w:val="21"/>
                <w:szCs w:val="20"/>
                <w:highlight w:val="none"/>
                <w:lang w:val="en-US" w:eastAsia="zh-CN" w:bidi="ar-SA"/>
              </w:rPr>
            </w:pPr>
            <w:r>
              <w:rPr>
                <w:rFonts w:hint="eastAsia"/>
                <w:highlight w:val="none"/>
              </w:rPr>
              <w:t>2</w:t>
            </w:r>
            <w:r>
              <w:rPr>
                <w:rFonts w:hint="eastAsia" w:ascii="Times New Roman" w:hAnsi="Times New Roman" w:eastAsia="宋体" w:cs="Times New Roman"/>
                <w:kern w:val="2"/>
                <w:sz w:val="21"/>
                <w:szCs w:val="20"/>
                <w:highlight w:val="none"/>
                <w:lang w:val="en-US" w:eastAsia="zh-CN" w:bidi="ar-SA"/>
              </w:rPr>
              <w:t>、投标人（或制造商）具有国家知识产权示范企业证书的得2分；</w:t>
            </w:r>
          </w:p>
          <w:p>
            <w:pPr>
              <w:pStyle w:val="394"/>
              <w:numPr>
                <w:ilvl w:val="0"/>
                <w:numId w:val="0"/>
              </w:numPr>
              <w:rPr>
                <w:rFonts w:hint="eastAsia" w:ascii="Times New Roman" w:hAnsi="Times New Roman" w:eastAsia="宋体" w:cs="Times New Roman"/>
                <w:b/>
                <w:bCs/>
                <w:kern w:val="2"/>
                <w:sz w:val="21"/>
                <w:szCs w:val="20"/>
                <w:highlight w:val="none"/>
                <w:lang w:val="en-US" w:eastAsia="zh-CN" w:bidi="ar-SA"/>
              </w:rPr>
            </w:pPr>
            <w:r>
              <w:rPr>
                <w:rFonts w:hint="eastAsia" w:ascii="Times New Roman" w:hAnsi="Times New Roman" w:eastAsia="宋体" w:cs="Times New Roman"/>
                <w:b/>
                <w:bCs/>
                <w:kern w:val="2"/>
                <w:sz w:val="21"/>
                <w:szCs w:val="20"/>
                <w:highlight w:val="none"/>
                <w:lang w:val="en-US" w:eastAsia="zh-CN" w:bidi="ar-SA"/>
              </w:rPr>
              <w:t>注：投标时提供政府部门文件复印件或扫描件及政府官网截图，须在有效期内。</w:t>
            </w:r>
          </w:p>
          <w:p>
            <w:pPr>
              <w:spacing w:line="400" w:lineRule="exact"/>
              <w:ind w:right="-4" w:rightChars="-2"/>
              <w:rPr>
                <w:rFonts w:hint="eastAsia"/>
                <w:highlight w:val="none"/>
              </w:rPr>
            </w:pPr>
            <w:r>
              <w:rPr>
                <w:rFonts w:hint="eastAsia"/>
                <w:highlight w:val="none"/>
                <w:lang w:val="en-US" w:eastAsia="zh-CN"/>
              </w:rPr>
              <w:t>3、</w:t>
            </w:r>
            <w:r>
              <w:rPr>
                <w:rFonts w:hint="eastAsia"/>
                <w:highlight w:val="none"/>
              </w:rPr>
              <w:t>投标人属于</w:t>
            </w:r>
            <w:r>
              <w:rPr>
                <w:rFonts w:hint="eastAsia"/>
                <w:highlight w:val="none"/>
                <w:lang w:val="en-US" w:eastAsia="zh-CN"/>
              </w:rPr>
              <w:t>国家部委颁发认定的</w:t>
            </w:r>
            <w:r>
              <w:rPr>
                <w:rFonts w:hint="eastAsia"/>
                <w:highlight w:val="none"/>
              </w:rPr>
              <w:t xml:space="preserve">国家级企业技术中心的得 </w:t>
            </w:r>
            <w:r>
              <w:rPr>
                <w:rFonts w:hint="eastAsia"/>
                <w:highlight w:val="none"/>
                <w:lang w:val="en-US" w:eastAsia="zh-CN"/>
              </w:rPr>
              <w:t>3</w:t>
            </w:r>
            <w:r>
              <w:rPr>
                <w:rFonts w:hint="eastAsia"/>
                <w:highlight w:val="none"/>
              </w:rPr>
              <w:t>分，没有不得分。</w:t>
            </w:r>
          </w:p>
          <w:p>
            <w:pPr>
              <w:spacing w:line="400" w:lineRule="exact"/>
              <w:ind w:right="-4" w:rightChars="-2"/>
              <w:rPr>
                <w:rFonts w:hint="eastAsia"/>
                <w:highlight w:val="none"/>
                <w:lang w:val="en-US" w:eastAsia="zh-CN"/>
              </w:rPr>
            </w:pPr>
            <w:r>
              <w:rPr>
                <w:rFonts w:hint="eastAsia"/>
                <w:highlight w:val="none"/>
                <w:lang w:val="en-US" w:eastAsia="zh-CN"/>
              </w:rPr>
              <w:t>4、2018年以来</w:t>
            </w:r>
            <w:r>
              <w:rPr>
                <w:rFonts w:hint="eastAsia"/>
                <w:highlight w:val="none"/>
              </w:rPr>
              <w:t>投标企业获得过省级政府颁发的政府质量奖</w:t>
            </w:r>
            <w:r>
              <w:rPr>
                <w:rFonts w:hint="eastAsia"/>
                <w:highlight w:val="none"/>
                <w:lang w:val="en-US" w:eastAsia="zh-CN"/>
              </w:rPr>
              <w:t>(或省长质量奖，不含政府质量奖提名奖)</w:t>
            </w:r>
            <w:r>
              <w:rPr>
                <w:rFonts w:hint="eastAsia"/>
                <w:highlight w:val="none"/>
              </w:rPr>
              <w:t>的得</w:t>
            </w:r>
            <w:r>
              <w:rPr>
                <w:rFonts w:hint="eastAsia"/>
                <w:highlight w:val="none"/>
                <w:lang w:val="en-US" w:eastAsia="zh-CN"/>
              </w:rPr>
              <w:t>2</w:t>
            </w:r>
            <w:r>
              <w:rPr>
                <w:rFonts w:hint="eastAsia"/>
                <w:highlight w:val="none"/>
              </w:rPr>
              <w:t>分。</w:t>
            </w:r>
          </w:p>
          <w:p>
            <w:pPr>
              <w:pStyle w:val="48"/>
              <w:ind w:left="0" w:leftChars="0" w:firstLine="0" w:firstLineChars="0"/>
              <w:rPr>
                <w:rFonts w:hint="eastAsia"/>
                <w:highlight w:val="none"/>
              </w:rPr>
            </w:pPr>
            <w:r>
              <w:rPr>
                <w:rFonts w:hint="eastAsia"/>
                <w:b/>
                <w:bCs/>
                <w:highlight w:val="none"/>
              </w:rPr>
              <w:t>注：须提供以上复印件放入投标文件中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6" w:hRule="atLeast"/>
          <w:jc w:val="center"/>
        </w:trPr>
        <w:tc>
          <w:tcPr>
            <w:tcW w:w="1262" w:type="dxa"/>
            <w:vMerge w:val="continue"/>
            <w:vAlign w:val="center"/>
          </w:tcPr>
          <w:p>
            <w:pPr>
              <w:spacing w:line="400" w:lineRule="exact"/>
              <w:ind w:right="-4" w:rightChars="-2"/>
              <w:rPr>
                <w:rFonts w:ascii="宋体" w:cs="宋体"/>
                <w:szCs w:val="21"/>
                <w:highlight w:val="none"/>
              </w:rPr>
            </w:pPr>
          </w:p>
        </w:tc>
        <w:tc>
          <w:tcPr>
            <w:tcW w:w="1134" w:type="dxa"/>
            <w:vAlign w:val="center"/>
          </w:tcPr>
          <w:p>
            <w:pPr>
              <w:spacing w:line="400" w:lineRule="exact"/>
              <w:ind w:right="-4" w:rightChars="-2"/>
              <w:rPr>
                <w:rFonts w:ascii="宋体" w:hAnsi="宋体" w:cs="宋体"/>
                <w:szCs w:val="21"/>
                <w:highlight w:val="none"/>
              </w:rPr>
            </w:pPr>
            <w:r>
              <w:rPr>
                <w:rFonts w:hint="eastAsia" w:ascii="宋体" w:hAnsi="宋体" w:cs="宋体"/>
                <w:szCs w:val="21"/>
                <w:highlight w:val="none"/>
              </w:rPr>
              <w:t>售后服务承诺（</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32" w:type="dxa"/>
            <w:vAlign w:val="center"/>
          </w:tcPr>
          <w:p>
            <w:pPr>
              <w:pStyle w:val="391"/>
              <w:adjustRightInd w:val="0"/>
              <w:snapToGrid w:val="0"/>
              <w:spacing w:line="400" w:lineRule="exact"/>
              <w:ind w:right="-4" w:rightChars="-2"/>
              <w:rPr>
                <w:rFonts w:hint="eastAsia" w:hAnsi="宋体"/>
                <w:kern w:val="2"/>
                <w:sz w:val="21"/>
                <w:szCs w:val="21"/>
                <w:highlight w:val="none"/>
              </w:rPr>
            </w:pPr>
            <w:r>
              <w:rPr>
                <w:rFonts w:hint="eastAsia" w:hAnsi="宋体"/>
                <w:kern w:val="2"/>
                <w:sz w:val="21"/>
                <w:szCs w:val="21"/>
                <w:highlight w:val="none"/>
              </w:rPr>
              <w:t>1.质保期内运营维护保养方案的完整性、合理性等分档次计分，最优的计2分，良好的计1分，未提供或方案不合理的不计分；</w:t>
            </w:r>
          </w:p>
          <w:p>
            <w:pPr>
              <w:pStyle w:val="391"/>
              <w:adjustRightInd w:val="0"/>
              <w:snapToGrid w:val="0"/>
              <w:spacing w:line="400" w:lineRule="exact"/>
              <w:ind w:right="-4" w:rightChars="-2"/>
              <w:rPr>
                <w:rFonts w:hint="eastAsia" w:hAnsi="宋体"/>
                <w:kern w:val="2"/>
                <w:sz w:val="21"/>
                <w:szCs w:val="21"/>
                <w:highlight w:val="none"/>
              </w:rPr>
            </w:pPr>
            <w:r>
              <w:rPr>
                <w:rFonts w:hint="eastAsia" w:hAnsi="宋体"/>
                <w:kern w:val="2"/>
                <w:sz w:val="21"/>
                <w:szCs w:val="21"/>
                <w:highlight w:val="none"/>
                <w:lang w:val="en-US" w:eastAsia="zh-CN"/>
              </w:rPr>
              <w:t>2</w:t>
            </w:r>
            <w:r>
              <w:rPr>
                <w:rFonts w:hint="eastAsia" w:hAnsi="宋体"/>
                <w:kern w:val="2"/>
                <w:sz w:val="21"/>
                <w:szCs w:val="21"/>
                <w:highlight w:val="none"/>
              </w:rPr>
              <w:t>.质保期及质保期满后的质保内容及售后服务内容，操作培训内容及承诺等分档次计分，最优的计2分，良好的计1分，未提供或方案不合理的不计分；</w:t>
            </w:r>
          </w:p>
          <w:p>
            <w:pPr>
              <w:pStyle w:val="391"/>
              <w:adjustRightInd w:val="0"/>
              <w:snapToGrid w:val="0"/>
              <w:spacing w:line="400" w:lineRule="exact"/>
              <w:ind w:right="-4" w:rightChars="-2"/>
              <w:rPr>
                <w:rFonts w:hint="default" w:hAnsi="宋体" w:eastAsia="宋体"/>
                <w:kern w:val="2"/>
                <w:sz w:val="21"/>
                <w:szCs w:val="21"/>
                <w:highlight w:val="none"/>
                <w:lang w:val="en-US" w:eastAsia="zh-CN"/>
              </w:rPr>
            </w:pPr>
            <w:r>
              <w:rPr>
                <w:rFonts w:hint="eastAsia" w:hAnsi="宋体"/>
                <w:kern w:val="2"/>
                <w:sz w:val="21"/>
                <w:szCs w:val="21"/>
                <w:highlight w:val="none"/>
                <w:lang w:val="en-US" w:eastAsia="zh-CN"/>
              </w:rPr>
              <w:t>3.投标人</w:t>
            </w:r>
            <w:commentRangeStart w:id="4"/>
            <w:r>
              <w:rPr>
                <w:rFonts w:hint="eastAsia" w:hAnsi="宋体"/>
                <w:color w:val="FF0000"/>
                <w:kern w:val="2"/>
                <w:sz w:val="21"/>
                <w:szCs w:val="21"/>
                <w:highlight w:val="none"/>
                <w:lang w:val="en-US" w:eastAsia="zh-CN"/>
              </w:rPr>
              <w:t>（含全资子公司、分公司）</w:t>
            </w:r>
            <w:commentRangeEnd w:id="4"/>
            <w:r>
              <w:commentReference w:id="4"/>
            </w:r>
            <w:r>
              <w:rPr>
                <w:rFonts w:hint="eastAsia" w:hAnsi="宋体"/>
                <w:kern w:val="2"/>
                <w:sz w:val="21"/>
                <w:szCs w:val="21"/>
                <w:highlight w:val="none"/>
                <w:lang w:val="en-US" w:eastAsia="zh-CN"/>
              </w:rPr>
              <w:t>获得国家标准GB/T27922-2011售后服务认证体系并获得5星级认证证书的得1分，提供售后服务体系认证得证明文件。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12" w:hRule="atLeast"/>
          <w:jc w:val="center"/>
        </w:trPr>
        <w:tc>
          <w:tcPr>
            <w:tcW w:w="1262" w:type="dxa"/>
            <w:vMerge w:val="continue"/>
            <w:vAlign w:val="center"/>
          </w:tcPr>
          <w:p>
            <w:pPr>
              <w:spacing w:line="400" w:lineRule="exact"/>
              <w:ind w:right="-4" w:rightChars="-2"/>
              <w:rPr>
                <w:rFonts w:ascii="宋体" w:cs="宋体"/>
                <w:szCs w:val="21"/>
                <w:highlight w:val="none"/>
              </w:rPr>
            </w:pPr>
          </w:p>
        </w:tc>
        <w:tc>
          <w:tcPr>
            <w:tcW w:w="1134" w:type="dxa"/>
            <w:vAlign w:val="center"/>
          </w:tcPr>
          <w:p>
            <w:pPr>
              <w:spacing w:line="400" w:lineRule="exact"/>
              <w:ind w:right="-4" w:rightChars="-2"/>
              <w:rPr>
                <w:rFonts w:hint="eastAsia" w:ascii="宋体" w:hAnsi="宋体" w:cs="宋体"/>
                <w:szCs w:val="21"/>
                <w:highlight w:val="none"/>
              </w:rPr>
            </w:pPr>
            <w:r>
              <w:rPr>
                <w:rFonts w:hint="eastAsia" w:ascii="宋体" w:hAnsi="宋体" w:cs="宋体"/>
                <w:szCs w:val="21"/>
                <w:highlight w:val="none"/>
              </w:rPr>
              <w:t>应急预案（</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6732" w:type="dxa"/>
            <w:vAlign w:val="center"/>
          </w:tcPr>
          <w:p>
            <w:pPr>
              <w:pStyle w:val="392"/>
              <w:spacing w:before="0" w:after="0" w:line="336" w:lineRule="auto"/>
              <w:ind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投标人针对本项目提供的应急预案，如重要设备故障，人员受伤等各种特殊情况，投标人如何保证服务质量不受影响，完成采购人要求的每日工作量。由评委综合比较：</w:t>
            </w:r>
          </w:p>
          <w:p>
            <w:pPr>
              <w:spacing w:line="360" w:lineRule="auto"/>
              <w:ind w:right="-4" w:rightChars="-2"/>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考虑全面优秀的得</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分；良好的得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分；一般的得</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分；差的或未提供的不得分。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atLeast"/>
          <w:jc w:val="center"/>
        </w:trPr>
        <w:tc>
          <w:tcPr>
            <w:tcW w:w="1262" w:type="dxa"/>
            <w:vMerge w:val="continue"/>
            <w:vAlign w:val="center"/>
          </w:tcPr>
          <w:p>
            <w:pPr>
              <w:spacing w:line="400" w:lineRule="exact"/>
              <w:ind w:right="-4" w:rightChars="-2"/>
              <w:rPr>
                <w:rFonts w:ascii="宋体" w:cs="宋体"/>
                <w:szCs w:val="21"/>
                <w:highlight w:val="none"/>
              </w:rPr>
            </w:pPr>
          </w:p>
        </w:tc>
        <w:tc>
          <w:tcPr>
            <w:tcW w:w="1134" w:type="dxa"/>
            <w:vAlign w:val="center"/>
          </w:tcPr>
          <w:p>
            <w:pPr>
              <w:spacing w:line="400" w:lineRule="exact"/>
              <w:ind w:right="-4" w:rightChars="-2"/>
              <w:rPr>
                <w:rFonts w:hint="eastAsia" w:ascii="宋体" w:hAnsi="宋体" w:cs="宋体"/>
                <w:szCs w:val="21"/>
                <w:highlight w:val="none"/>
              </w:rPr>
            </w:pPr>
            <w:r>
              <w:rPr>
                <w:rFonts w:hint="eastAsia" w:ascii="宋体" w:hAnsi="宋体" w:cs="宋体"/>
                <w:szCs w:val="21"/>
                <w:highlight w:val="none"/>
              </w:rPr>
              <w:t>供货运输方案（</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32" w:type="dxa"/>
            <w:vAlign w:val="center"/>
          </w:tcPr>
          <w:p>
            <w:pPr>
              <w:pStyle w:val="391"/>
              <w:adjustRightInd w:val="0"/>
              <w:snapToGrid w:val="0"/>
              <w:spacing w:line="400" w:lineRule="exact"/>
              <w:ind w:right="-4" w:rightChars="-2"/>
              <w:rPr>
                <w:rFonts w:hint="eastAsia" w:hAnsi="宋体"/>
                <w:kern w:val="2"/>
                <w:sz w:val="21"/>
                <w:szCs w:val="21"/>
                <w:highlight w:val="none"/>
              </w:rPr>
            </w:pPr>
            <w:r>
              <w:rPr>
                <w:rFonts w:hint="eastAsia" w:hAnsi="宋体"/>
                <w:kern w:val="2"/>
                <w:sz w:val="21"/>
                <w:szCs w:val="21"/>
                <w:highlight w:val="none"/>
              </w:rPr>
              <w:t>供货运输方案符合项目实际情况、有针对性、科学性、环保性、可行性进行综合比较评审，</w:t>
            </w:r>
          </w:p>
          <w:p>
            <w:pPr>
              <w:pStyle w:val="391"/>
              <w:adjustRightInd w:val="0"/>
              <w:snapToGrid w:val="0"/>
              <w:spacing w:line="400" w:lineRule="exact"/>
              <w:ind w:right="-4" w:rightChars="-2"/>
              <w:rPr>
                <w:rFonts w:hint="eastAsia"/>
                <w:highlight w:val="none"/>
              </w:rPr>
            </w:pPr>
            <w:r>
              <w:rPr>
                <w:rFonts w:hint="eastAsia" w:hAnsi="宋体"/>
                <w:kern w:val="2"/>
                <w:sz w:val="21"/>
                <w:szCs w:val="21"/>
                <w:highlight w:val="none"/>
              </w:rPr>
              <w:t>考虑全面优秀的得</w:t>
            </w:r>
            <w:r>
              <w:rPr>
                <w:rFonts w:hint="eastAsia" w:hAnsi="宋体"/>
                <w:kern w:val="2"/>
                <w:sz w:val="21"/>
                <w:szCs w:val="21"/>
                <w:highlight w:val="none"/>
                <w:lang w:val="en-US" w:eastAsia="zh-CN"/>
              </w:rPr>
              <w:t>5</w:t>
            </w:r>
            <w:r>
              <w:rPr>
                <w:rFonts w:hint="eastAsia" w:hAnsi="宋体"/>
                <w:kern w:val="2"/>
                <w:sz w:val="21"/>
                <w:szCs w:val="21"/>
                <w:highlight w:val="none"/>
              </w:rPr>
              <w:t>-</w:t>
            </w:r>
            <w:r>
              <w:rPr>
                <w:rFonts w:hint="eastAsia" w:hAnsi="宋体"/>
                <w:kern w:val="2"/>
                <w:sz w:val="21"/>
                <w:szCs w:val="21"/>
                <w:highlight w:val="none"/>
                <w:lang w:val="en-US" w:eastAsia="zh-CN"/>
              </w:rPr>
              <w:t>4</w:t>
            </w:r>
            <w:r>
              <w:rPr>
                <w:rFonts w:hint="eastAsia" w:hAnsi="宋体"/>
                <w:kern w:val="2"/>
                <w:sz w:val="21"/>
                <w:szCs w:val="21"/>
                <w:highlight w:val="none"/>
              </w:rPr>
              <w:t>分；良好的得</w:t>
            </w:r>
            <w:r>
              <w:rPr>
                <w:rFonts w:hint="eastAsia" w:hAnsi="宋体"/>
                <w:kern w:val="2"/>
                <w:sz w:val="21"/>
                <w:szCs w:val="21"/>
                <w:highlight w:val="none"/>
                <w:lang w:val="en-US" w:eastAsia="zh-CN"/>
              </w:rPr>
              <w:t>3</w:t>
            </w:r>
            <w:r>
              <w:rPr>
                <w:rFonts w:hint="eastAsia" w:hAnsi="宋体"/>
                <w:kern w:val="2"/>
                <w:sz w:val="21"/>
                <w:szCs w:val="21"/>
                <w:highlight w:val="none"/>
              </w:rPr>
              <w:t>-</w:t>
            </w:r>
            <w:r>
              <w:rPr>
                <w:rFonts w:hint="eastAsia" w:hAnsi="宋体"/>
                <w:kern w:val="2"/>
                <w:sz w:val="21"/>
                <w:szCs w:val="21"/>
                <w:highlight w:val="none"/>
                <w:lang w:val="en-US" w:eastAsia="zh-CN"/>
              </w:rPr>
              <w:t>2</w:t>
            </w:r>
            <w:r>
              <w:rPr>
                <w:rFonts w:hint="eastAsia" w:hAnsi="宋体"/>
                <w:kern w:val="2"/>
                <w:sz w:val="21"/>
                <w:szCs w:val="21"/>
                <w:highlight w:val="none"/>
              </w:rPr>
              <w:t>分；一般的得2-1分；差的或未提供的不得分</w:t>
            </w:r>
          </w:p>
        </w:tc>
      </w:tr>
    </w:tbl>
    <w:p>
      <w:pPr>
        <w:pStyle w:val="2"/>
        <w:widowControl/>
        <w:numPr>
          <w:ilvl w:val="0"/>
          <w:numId w:val="0"/>
        </w:numPr>
        <w:tabs>
          <w:tab w:val="left" w:pos="0"/>
        </w:tabs>
        <w:rPr>
          <w:rFonts w:hint="eastAsia" w:ascii="宋体" w:hAnsi="宋体" w:eastAsia="宋体"/>
          <w:b/>
          <w:sz w:val="32"/>
          <w:szCs w:val="32"/>
          <w:highlight w:val="none"/>
        </w:rPr>
      </w:pPr>
      <w:bookmarkStart w:id="41" w:name="_Toc476643918"/>
    </w:p>
    <w:p>
      <w:pPr>
        <w:pStyle w:val="2"/>
        <w:widowControl/>
        <w:numPr>
          <w:ilvl w:val="0"/>
          <w:numId w:val="0"/>
        </w:numPr>
        <w:tabs>
          <w:tab w:val="left" w:pos="0"/>
        </w:tabs>
        <w:jc w:val="center"/>
        <w:rPr>
          <w:rFonts w:hint="eastAsia" w:ascii="宋体" w:hAnsi="宋体" w:eastAsia="宋体"/>
          <w:b/>
          <w:sz w:val="32"/>
          <w:szCs w:val="32"/>
        </w:rPr>
      </w:pPr>
    </w:p>
    <w:p>
      <w:pPr>
        <w:pStyle w:val="2"/>
        <w:widowControl/>
        <w:numPr>
          <w:ilvl w:val="0"/>
          <w:numId w:val="0"/>
        </w:numPr>
        <w:tabs>
          <w:tab w:val="left" w:pos="0"/>
        </w:tabs>
        <w:jc w:val="center"/>
        <w:rPr>
          <w:rFonts w:hint="eastAsia" w:ascii="宋体" w:hAnsi="宋体" w:eastAsia="宋体"/>
          <w:b/>
          <w:sz w:val="32"/>
          <w:szCs w:val="32"/>
        </w:rPr>
      </w:pPr>
    </w:p>
    <w:p>
      <w:pPr>
        <w:pStyle w:val="2"/>
        <w:widowControl/>
        <w:numPr>
          <w:ilvl w:val="0"/>
          <w:numId w:val="0"/>
        </w:numPr>
        <w:tabs>
          <w:tab w:val="left" w:pos="0"/>
        </w:tabs>
        <w:jc w:val="center"/>
        <w:rPr>
          <w:rFonts w:hint="eastAsia" w:ascii="宋体" w:hAnsi="宋体" w:eastAsia="宋体"/>
          <w:b/>
          <w:sz w:val="32"/>
          <w:szCs w:val="32"/>
        </w:rPr>
      </w:pPr>
    </w:p>
    <w:p>
      <w:pPr>
        <w:rPr>
          <w:rFonts w:hint="eastAsia" w:ascii="宋体" w:hAnsi="宋体" w:eastAsia="宋体"/>
          <w:b/>
          <w:sz w:val="32"/>
          <w:szCs w:val="32"/>
        </w:rPr>
      </w:pPr>
    </w:p>
    <w:p>
      <w:pPr>
        <w:pStyle w:val="2"/>
        <w:widowControl/>
        <w:numPr>
          <w:ilvl w:val="0"/>
          <w:numId w:val="0"/>
        </w:numPr>
        <w:tabs>
          <w:tab w:val="left" w:pos="0"/>
        </w:tabs>
        <w:ind w:firstLine="0" w:firstLineChars="0"/>
        <w:jc w:val="both"/>
        <w:rPr>
          <w:rFonts w:hint="eastAsia" w:ascii="宋体" w:hAnsi="宋体" w:eastAsia="宋体"/>
          <w:b/>
          <w:sz w:val="32"/>
          <w:szCs w:val="32"/>
        </w:rPr>
      </w:pPr>
      <w:r>
        <w:rPr>
          <w:rFonts w:hint="eastAsia" w:ascii="宋体" w:hAnsi="宋体" w:eastAsia="宋体"/>
          <w:b/>
          <w:sz w:val="32"/>
          <w:szCs w:val="32"/>
        </w:rPr>
        <w:t xml:space="preserve">第五章  </w:t>
      </w:r>
      <w:bookmarkEnd w:id="39"/>
      <w:r>
        <w:rPr>
          <w:rFonts w:hint="eastAsia" w:ascii="宋体" w:hAnsi="宋体" w:eastAsia="宋体"/>
          <w:b/>
          <w:sz w:val="32"/>
          <w:szCs w:val="32"/>
        </w:rPr>
        <w:t>货物采购合同</w:t>
      </w:r>
      <w:bookmarkEnd w:id="40"/>
      <w:bookmarkEnd w:id="41"/>
      <w:r>
        <w:rPr>
          <w:rFonts w:hint="eastAsia" w:ascii="宋体" w:hAnsi="宋体" w:eastAsia="宋体"/>
          <w:b/>
          <w:sz w:val="32"/>
          <w:szCs w:val="32"/>
        </w:rPr>
        <w:t>（供参考，以实际签订合同为准）</w:t>
      </w:r>
    </w:p>
    <w:p>
      <w:pPr>
        <w:rPr>
          <w:rFonts w:hint="eastAsia"/>
          <w:lang w:bidi="he-IL"/>
        </w:rPr>
      </w:pPr>
      <w:r>
        <w:rPr>
          <w:rFonts w:hint="eastAsia"/>
          <w:lang w:bidi="he-IL"/>
        </w:rPr>
        <w:t xml:space="preserve">                       </w:t>
      </w:r>
    </w:p>
    <w:p>
      <w:pPr>
        <w:autoSpaceDE w:val="0"/>
        <w:autoSpaceDN w:val="0"/>
        <w:ind w:left="200"/>
        <w:rPr>
          <w:rFonts w:hint="eastAsia" w:ascii="宋体" w:hAnsi="宋体" w:cs="宋体"/>
          <w:sz w:val="24"/>
        </w:rPr>
      </w:pPr>
      <w:r>
        <w:rPr>
          <w:rFonts w:hint="eastAsia" w:ascii="宋体" w:hAnsi="宋体" w:cs="宋体"/>
          <w:sz w:val="24"/>
        </w:rPr>
        <w:t>买受人：</w:t>
      </w:r>
      <w:r>
        <w:rPr>
          <w:rFonts w:hint="eastAsia" w:ascii="宋体" w:hAnsi="宋体" w:cs="宋体"/>
          <w:sz w:val="24"/>
          <w:u w:val="single"/>
        </w:rPr>
        <w:t xml:space="preserve"> 宁国水务有限公司          </w:t>
      </w:r>
      <w:r>
        <w:rPr>
          <w:rFonts w:hint="eastAsia" w:ascii="宋体" w:hAnsi="宋体" w:cs="宋体"/>
          <w:sz w:val="24"/>
        </w:rPr>
        <w:t xml:space="preserve">                </w:t>
      </w:r>
    </w:p>
    <w:p>
      <w:pPr>
        <w:spacing w:line="360" w:lineRule="exact"/>
        <w:jc w:val="left"/>
        <w:rPr>
          <w:rFonts w:hint="eastAsia" w:ascii="宋体" w:hAnsi="宋体" w:cs="宋体"/>
          <w:sz w:val="24"/>
        </w:rPr>
      </w:pPr>
      <w:r>
        <w:rPr>
          <w:rFonts w:hint="eastAsia" w:ascii="宋体" w:hAnsi="宋体" w:cs="宋体"/>
          <w:sz w:val="24"/>
        </w:rPr>
        <w:t xml:space="preserve">  出卖人</w:t>
      </w:r>
      <w:r>
        <w:rPr>
          <w:rFonts w:hint="eastAsia" w:ascii="宋体" w:hAnsi="宋体" w:cs="宋体"/>
          <w:sz w:val="24"/>
          <w:u w:val="single"/>
        </w:rPr>
        <w:t xml:space="preserve">：                             </w:t>
      </w:r>
      <w:r>
        <w:rPr>
          <w:rFonts w:hint="eastAsia" w:ascii="宋体" w:hAnsi="宋体" w:cs="宋体"/>
          <w:sz w:val="24"/>
        </w:rPr>
        <w:t xml:space="preserve"> </w:t>
      </w:r>
    </w:p>
    <w:p>
      <w:pPr>
        <w:spacing w:line="360" w:lineRule="exact"/>
        <w:jc w:val="left"/>
        <w:rPr>
          <w:rFonts w:hint="eastAsia" w:ascii="宋体" w:hAnsi="宋体" w:cs="宋体"/>
          <w:sz w:val="24"/>
        </w:rPr>
      </w:pPr>
      <w:r>
        <w:rPr>
          <w:rFonts w:hint="eastAsia" w:ascii="宋体" w:hAnsi="宋体" w:cs="宋体"/>
          <w:sz w:val="24"/>
        </w:rPr>
        <w:t xml:space="preserve">                                                      </w:t>
      </w:r>
    </w:p>
    <w:p>
      <w:pPr>
        <w:spacing w:line="360" w:lineRule="exact"/>
        <w:rPr>
          <w:rFonts w:hint="eastAsia" w:ascii="宋体" w:hAnsi="宋体" w:cs="宋体"/>
          <w:sz w:val="24"/>
        </w:rPr>
      </w:pPr>
      <w:r>
        <w:rPr>
          <w:rFonts w:hint="eastAsia" w:ascii="宋体" w:hAnsi="宋体"/>
          <w:sz w:val="24"/>
        </w:rPr>
        <w:t xml:space="preserve">    出卖人和买受人双方根据《中华人民共和国合同法》等法律法规的有关规定，本着平等、自愿、公平、诚信信用的原则，经双方充分友好协商，达成下列一致条款：</w:t>
      </w:r>
    </w:p>
    <w:p>
      <w:pPr>
        <w:rPr>
          <w:rFonts w:hint="eastAsia" w:ascii="宋体" w:hAnsi="宋体" w:cs="宋体"/>
          <w:sz w:val="24"/>
        </w:rPr>
      </w:pPr>
      <w:r>
        <w:rPr>
          <w:rFonts w:hint="eastAsia" w:ascii="宋体" w:hAnsi="宋体" w:cs="宋体"/>
          <w:sz w:val="24"/>
        </w:rPr>
        <w:t>一、产品名称、品牌、数量、价款</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45"/>
        <w:gridCol w:w="1200"/>
        <w:gridCol w:w="1028"/>
        <w:gridCol w:w="1425"/>
        <w:gridCol w:w="975"/>
        <w:gridCol w:w="144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03"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序号</w:t>
            </w:r>
          </w:p>
        </w:tc>
        <w:tc>
          <w:tcPr>
            <w:tcW w:w="1545"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产品名称</w:t>
            </w:r>
          </w:p>
        </w:tc>
        <w:tc>
          <w:tcPr>
            <w:tcW w:w="1200"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生产厂家</w:t>
            </w:r>
          </w:p>
        </w:tc>
        <w:tc>
          <w:tcPr>
            <w:tcW w:w="1028"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品牌</w:t>
            </w:r>
          </w:p>
        </w:tc>
        <w:tc>
          <w:tcPr>
            <w:tcW w:w="1425"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规格型号</w:t>
            </w:r>
          </w:p>
        </w:tc>
        <w:tc>
          <w:tcPr>
            <w:tcW w:w="975"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数量</w:t>
            </w:r>
          </w:p>
        </w:tc>
        <w:tc>
          <w:tcPr>
            <w:tcW w:w="1440"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单价（元）</w:t>
            </w:r>
          </w:p>
        </w:tc>
        <w:tc>
          <w:tcPr>
            <w:tcW w:w="1282" w:type="dxa"/>
            <w:vAlign w:val="center"/>
          </w:tcPr>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3" w:type="dxa"/>
            <w:vAlign w:val="center"/>
          </w:tcPr>
          <w:p>
            <w:pPr>
              <w:jc w:val="center"/>
              <w:rPr>
                <w:rFonts w:hint="eastAsia" w:ascii="宋体" w:hAnsi="宋体" w:cs="宋体"/>
                <w:sz w:val="24"/>
              </w:rPr>
            </w:pPr>
            <w:r>
              <w:rPr>
                <w:rFonts w:hint="eastAsia" w:ascii="宋体" w:hAnsi="宋体" w:cs="宋体"/>
                <w:sz w:val="24"/>
              </w:rPr>
              <w:t>1</w:t>
            </w:r>
          </w:p>
        </w:tc>
        <w:tc>
          <w:tcPr>
            <w:tcW w:w="1545" w:type="dxa"/>
            <w:vAlign w:val="center"/>
          </w:tcPr>
          <w:p>
            <w:pPr>
              <w:jc w:val="center"/>
              <w:rPr>
                <w:rFonts w:hint="eastAsia" w:ascii="宋体" w:hAnsi="宋体" w:cs="宋体"/>
                <w:sz w:val="24"/>
              </w:rPr>
            </w:pPr>
          </w:p>
        </w:tc>
        <w:tc>
          <w:tcPr>
            <w:tcW w:w="1200" w:type="dxa"/>
            <w:vAlign w:val="center"/>
          </w:tcPr>
          <w:p>
            <w:pPr>
              <w:jc w:val="center"/>
              <w:rPr>
                <w:rFonts w:hint="eastAsia" w:ascii="宋体" w:hAnsi="宋体" w:cs="宋体"/>
                <w:sz w:val="24"/>
              </w:rPr>
            </w:pPr>
          </w:p>
        </w:tc>
        <w:tc>
          <w:tcPr>
            <w:tcW w:w="1028" w:type="dxa"/>
            <w:vAlign w:val="center"/>
          </w:tcPr>
          <w:p>
            <w:pPr>
              <w:jc w:val="center"/>
              <w:rPr>
                <w:rFonts w:hint="eastAsia" w:ascii="宋体" w:hAnsi="宋体" w:cs="宋体"/>
                <w:sz w:val="24"/>
              </w:rPr>
            </w:pPr>
          </w:p>
        </w:tc>
        <w:tc>
          <w:tcPr>
            <w:tcW w:w="1425" w:type="dxa"/>
            <w:vAlign w:val="center"/>
          </w:tcPr>
          <w:p>
            <w:pPr>
              <w:rPr>
                <w:rFonts w:hint="eastAsia" w:ascii="宋体" w:hAnsi="宋体" w:cs="宋体"/>
                <w:sz w:val="24"/>
              </w:rPr>
            </w:pPr>
          </w:p>
        </w:tc>
        <w:tc>
          <w:tcPr>
            <w:tcW w:w="975" w:type="dxa"/>
            <w:vAlign w:val="center"/>
          </w:tcPr>
          <w:p>
            <w:pPr>
              <w:jc w:val="center"/>
              <w:rPr>
                <w:rFonts w:hint="eastAsia" w:ascii="宋体" w:hAnsi="宋体" w:cs="宋体"/>
                <w:sz w:val="24"/>
              </w:rPr>
            </w:pPr>
          </w:p>
        </w:tc>
        <w:tc>
          <w:tcPr>
            <w:tcW w:w="1440" w:type="dxa"/>
            <w:vAlign w:val="center"/>
          </w:tcPr>
          <w:p>
            <w:pPr>
              <w:jc w:val="center"/>
              <w:rPr>
                <w:rFonts w:hint="eastAsia" w:ascii="宋体" w:hAnsi="宋体" w:cs="宋体"/>
                <w:sz w:val="24"/>
              </w:rPr>
            </w:pPr>
          </w:p>
        </w:tc>
        <w:tc>
          <w:tcPr>
            <w:tcW w:w="1282"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03" w:type="dxa"/>
            <w:vAlign w:val="center"/>
          </w:tcPr>
          <w:p>
            <w:pPr>
              <w:jc w:val="center"/>
              <w:rPr>
                <w:rFonts w:hint="eastAsia" w:ascii="宋体" w:hAnsi="宋体" w:cs="宋体"/>
                <w:sz w:val="24"/>
              </w:rPr>
            </w:pPr>
            <w:r>
              <w:rPr>
                <w:rFonts w:hint="eastAsia" w:ascii="宋体" w:hAnsi="宋体" w:cs="宋体"/>
                <w:sz w:val="24"/>
              </w:rPr>
              <w:t>2</w:t>
            </w:r>
          </w:p>
        </w:tc>
        <w:tc>
          <w:tcPr>
            <w:tcW w:w="1545" w:type="dxa"/>
            <w:vAlign w:val="center"/>
          </w:tcPr>
          <w:p>
            <w:pPr>
              <w:jc w:val="center"/>
              <w:rPr>
                <w:rFonts w:hint="eastAsia" w:ascii="宋体" w:hAnsi="宋体" w:cs="宋体"/>
                <w:sz w:val="24"/>
              </w:rPr>
            </w:pPr>
          </w:p>
        </w:tc>
        <w:tc>
          <w:tcPr>
            <w:tcW w:w="1200" w:type="dxa"/>
            <w:vAlign w:val="center"/>
          </w:tcPr>
          <w:p>
            <w:pPr>
              <w:jc w:val="center"/>
              <w:rPr>
                <w:rFonts w:hint="eastAsia" w:ascii="宋体" w:hAnsi="宋体" w:cs="宋体"/>
                <w:sz w:val="24"/>
              </w:rPr>
            </w:pPr>
          </w:p>
        </w:tc>
        <w:tc>
          <w:tcPr>
            <w:tcW w:w="1028" w:type="dxa"/>
            <w:vAlign w:val="center"/>
          </w:tcPr>
          <w:p>
            <w:pPr>
              <w:jc w:val="center"/>
              <w:rPr>
                <w:rFonts w:hint="eastAsia" w:ascii="宋体" w:hAnsi="宋体" w:cs="宋体"/>
                <w:sz w:val="24"/>
              </w:rPr>
            </w:pPr>
          </w:p>
        </w:tc>
        <w:tc>
          <w:tcPr>
            <w:tcW w:w="1425" w:type="dxa"/>
            <w:vAlign w:val="center"/>
          </w:tcPr>
          <w:p>
            <w:pPr>
              <w:rPr>
                <w:rFonts w:hint="eastAsia" w:ascii="宋体" w:hAnsi="宋体" w:cs="宋体"/>
                <w:sz w:val="24"/>
              </w:rPr>
            </w:pPr>
          </w:p>
        </w:tc>
        <w:tc>
          <w:tcPr>
            <w:tcW w:w="975" w:type="dxa"/>
            <w:vAlign w:val="center"/>
          </w:tcPr>
          <w:p>
            <w:pPr>
              <w:jc w:val="center"/>
              <w:rPr>
                <w:rFonts w:hint="eastAsia" w:ascii="宋体" w:hAnsi="宋体" w:cs="宋体"/>
                <w:sz w:val="24"/>
              </w:rPr>
            </w:pPr>
          </w:p>
        </w:tc>
        <w:tc>
          <w:tcPr>
            <w:tcW w:w="1440" w:type="dxa"/>
            <w:vAlign w:val="center"/>
          </w:tcPr>
          <w:p>
            <w:pPr>
              <w:jc w:val="center"/>
              <w:rPr>
                <w:rFonts w:hint="eastAsia" w:ascii="宋体" w:hAnsi="宋体" w:cs="宋体"/>
                <w:sz w:val="24"/>
              </w:rPr>
            </w:pPr>
          </w:p>
        </w:tc>
        <w:tc>
          <w:tcPr>
            <w:tcW w:w="1282"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598" w:type="dxa"/>
            <w:gridSpan w:val="8"/>
          </w:tcPr>
          <w:p>
            <w:pPr>
              <w:rPr>
                <w:rFonts w:hint="eastAsia" w:ascii="宋体" w:hAnsi="宋体" w:cs="宋体"/>
                <w:kern w:val="0"/>
                <w:sz w:val="24"/>
              </w:rPr>
            </w:pPr>
          </w:p>
          <w:p>
            <w:pPr>
              <w:rPr>
                <w:rFonts w:hint="eastAsia" w:ascii="宋体" w:hAnsi="宋体" w:cs="宋体"/>
                <w:b/>
                <w:bCs/>
                <w:kern w:val="0"/>
                <w:sz w:val="24"/>
              </w:rPr>
            </w:pPr>
            <w:r>
              <w:rPr>
                <w:rFonts w:hint="eastAsia" w:ascii="宋体" w:hAnsi="宋体" w:cs="宋体"/>
                <w:b/>
                <w:bCs/>
                <w:kern w:val="0"/>
                <w:sz w:val="24"/>
              </w:rPr>
              <w:t>合计人民币（大写）：</w:t>
            </w:r>
            <w:r>
              <w:rPr>
                <w:rFonts w:hint="eastAsia" w:ascii="宋体" w:hAnsi="宋体" w:cs="宋体"/>
                <w:b/>
                <w:bCs/>
                <w:kern w:val="0"/>
                <w:sz w:val="24"/>
                <w:u w:val="single"/>
              </w:rPr>
              <w:t xml:space="preserve">                                 （￥：       元）</w:t>
            </w:r>
          </w:p>
          <w:p>
            <w:pPr>
              <w:rPr>
                <w:rFonts w:hint="eastAsia" w:ascii="宋体" w:hAnsi="宋体" w:cs="宋体"/>
                <w:b/>
                <w:bCs/>
                <w:kern w:val="0"/>
                <w:sz w:val="24"/>
              </w:rPr>
            </w:pPr>
            <w:r>
              <w:rPr>
                <w:rFonts w:hint="eastAsia" w:ascii="宋体" w:hAnsi="宋体" w:cs="宋体"/>
                <w:b/>
                <w:bCs/>
                <w:kern w:val="0"/>
                <w:sz w:val="24"/>
              </w:rPr>
              <w:t>备注： 1、以上价格包含产品运输、包装、13%增值税等一切费用，买方无须为此再支付其他任何费用。</w:t>
            </w:r>
          </w:p>
          <w:p>
            <w:pP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b/>
                <w:bCs/>
                <w:kern w:val="0"/>
                <w:sz w:val="24"/>
              </w:rPr>
              <w:t xml:space="preserve">  2、以上货物按需结算。</w:t>
            </w:r>
          </w:p>
          <w:p>
            <w:pPr>
              <w:rPr>
                <w:rFonts w:hint="eastAsia" w:ascii="宋体" w:hAnsi="宋体" w:cs="宋体"/>
                <w:sz w:val="24"/>
              </w:rPr>
            </w:pPr>
          </w:p>
        </w:tc>
      </w:tr>
    </w:tbl>
    <w:p>
      <w:pPr>
        <w:rPr>
          <w:rFonts w:hint="eastAsia" w:ascii="宋体" w:hAnsi="宋体" w:cs="宋体"/>
          <w:sz w:val="24"/>
        </w:rPr>
      </w:pPr>
    </w:p>
    <w:p>
      <w:pPr>
        <w:numPr>
          <w:ilvl w:val="0"/>
          <w:numId w:val="9"/>
        </w:numPr>
        <w:spacing w:line="360" w:lineRule="auto"/>
        <w:rPr>
          <w:rFonts w:hint="eastAsia" w:ascii="宋体" w:hAnsi="宋体" w:cs="宋体"/>
          <w:sz w:val="24"/>
          <w:u w:val="single"/>
        </w:rPr>
      </w:pPr>
      <w:r>
        <w:rPr>
          <w:rFonts w:hint="eastAsia" w:ascii="宋体" w:hAnsi="宋体" w:cs="宋体"/>
          <w:sz w:val="24"/>
        </w:rPr>
        <w:t>质量要求和技术标准：</w:t>
      </w:r>
      <w:r>
        <w:rPr>
          <w:rFonts w:hint="eastAsia" w:ascii="宋体" w:hAnsi="宋体" w:cs="宋体"/>
          <w:sz w:val="24"/>
          <w:u w:val="single"/>
        </w:rPr>
        <w:t>符合国家相关技术标准和生产厂家相关技术指标。</w:t>
      </w:r>
    </w:p>
    <w:p>
      <w:pPr>
        <w:numPr>
          <w:ilvl w:val="0"/>
          <w:numId w:val="9"/>
        </w:numPr>
        <w:tabs>
          <w:tab w:val="left" w:pos="9540"/>
          <w:tab w:val="left" w:pos="10440"/>
          <w:tab w:val="left" w:pos="10620"/>
          <w:tab w:val="left" w:pos="10800"/>
        </w:tabs>
        <w:spacing w:line="360" w:lineRule="auto"/>
        <w:ind w:right="323" w:rightChars="154"/>
        <w:rPr>
          <w:rFonts w:hint="eastAsia" w:ascii="宋体" w:hAnsi="宋体" w:cs="宋体"/>
          <w:sz w:val="24"/>
          <w:u w:val="single"/>
        </w:rPr>
      </w:pPr>
      <w:r>
        <w:rPr>
          <w:rFonts w:hint="eastAsia" w:ascii="宋体" w:hAnsi="宋体" w:cs="宋体"/>
          <w:sz w:val="24"/>
        </w:rPr>
        <w:t>出卖人对质量负责的条件和期限：</w:t>
      </w:r>
      <w:r>
        <w:rPr>
          <w:rFonts w:hint="eastAsia" w:ascii="宋体" w:hAnsi="宋体" w:cs="宋体"/>
          <w:sz w:val="24"/>
          <w:u w:val="single"/>
        </w:rPr>
        <w:t>产品须为经国家检测检验机构鉴定的合格产品，质量应符合本行业质量标准要求。出卖人对产品提供</w:t>
      </w:r>
      <w:r>
        <w:rPr>
          <w:rFonts w:hint="eastAsia" w:ascii="宋体" w:hAnsi="宋体"/>
          <w:b/>
          <w:sz w:val="24"/>
          <w:u w:val="thick"/>
          <w:lang w:eastAsia="zh-CN"/>
        </w:rPr>
        <w:t>两</w:t>
      </w:r>
      <w:r>
        <w:rPr>
          <w:rFonts w:hint="eastAsia" w:ascii="宋体" w:hAnsi="宋体"/>
          <w:b/>
          <w:sz w:val="24"/>
          <w:u w:val="thick"/>
        </w:rPr>
        <w:t>年</w:t>
      </w:r>
      <w:r>
        <w:rPr>
          <w:rFonts w:hint="eastAsia" w:ascii="宋体" w:hAnsi="宋体" w:cs="宋体"/>
          <w:sz w:val="24"/>
          <w:u w:val="single"/>
        </w:rPr>
        <w:t>的质保期，自产品验收合格之日起计算。在质保期内，产品出现非买受人人为原因造成的质量问题，卖方负责免费维修，如维修不好或无法维修，出卖人负责更换或退货，并承担由此给买受人造成的损失。</w:t>
      </w:r>
    </w:p>
    <w:p>
      <w:pPr>
        <w:numPr>
          <w:ilvl w:val="0"/>
          <w:numId w:val="9"/>
        </w:numPr>
        <w:tabs>
          <w:tab w:val="left" w:pos="9540"/>
          <w:tab w:val="left" w:pos="10440"/>
          <w:tab w:val="left" w:pos="10620"/>
          <w:tab w:val="left" w:pos="10800"/>
        </w:tabs>
        <w:spacing w:line="360" w:lineRule="auto"/>
        <w:ind w:right="323" w:rightChars="154"/>
        <w:rPr>
          <w:rFonts w:hint="eastAsia" w:ascii="宋体" w:hAnsi="宋体"/>
          <w:sz w:val="24"/>
        </w:rPr>
      </w:pPr>
      <w:r>
        <w:rPr>
          <w:rFonts w:hint="eastAsia" w:ascii="宋体" w:hAnsi="宋体"/>
          <w:sz w:val="24"/>
        </w:rPr>
        <w:t>包装标准、包装物的供应与回收：</w:t>
      </w:r>
      <w:r>
        <w:rPr>
          <w:rFonts w:hint="eastAsia" w:ascii="宋体" w:hAnsi="宋体"/>
          <w:sz w:val="24"/>
          <w:u w:val="single"/>
        </w:rPr>
        <w:t>符合该产品的行业包装标准，由于包装不善引起的产品锈蚀、损坏和损毁等，由出卖人负责。包装物由出卖人提供，且包装物不回收。</w:t>
      </w:r>
    </w:p>
    <w:p>
      <w:pPr>
        <w:tabs>
          <w:tab w:val="left" w:pos="9540"/>
          <w:tab w:val="left" w:pos="10440"/>
          <w:tab w:val="left" w:pos="10620"/>
          <w:tab w:val="left" w:pos="10800"/>
        </w:tabs>
        <w:spacing w:line="360" w:lineRule="auto"/>
        <w:ind w:right="323" w:rightChars="154"/>
        <w:rPr>
          <w:rFonts w:hint="eastAsia" w:ascii="宋体" w:hAnsi="宋体"/>
          <w:sz w:val="24"/>
          <w:u w:val="single"/>
        </w:rPr>
      </w:pPr>
      <w:r>
        <w:rPr>
          <w:rFonts w:hint="eastAsia" w:ascii="宋体" w:hAnsi="宋体"/>
          <w:sz w:val="24"/>
        </w:rPr>
        <w:t>五、随机的必备品、配件、工具数量及供应办法：</w:t>
      </w:r>
      <w:r>
        <w:rPr>
          <w:rFonts w:hint="eastAsia" w:ascii="宋体" w:hAnsi="宋体"/>
          <w:sz w:val="24"/>
          <w:u w:val="single"/>
        </w:rPr>
        <w:t xml:space="preserve">应附产品质量合格证                </w:t>
      </w:r>
    </w:p>
    <w:p>
      <w:pPr>
        <w:tabs>
          <w:tab w:val="left" w:pos="9540"/>
          <w:tab w:val="left" w:pos="10440"/>
          <w:tab w:val="left" w:pos="10620"/>
          <w:tab w:val="left" w:pos="10800"/>
        </w:tabs>
        <w:spacing w:line="360" w:lineRule="auto"/>
        <w:ind w:right="323" w:rightChars="154"/>
        <w:rPr>
          <w:rFonts w:ascii="宋体" w:hAnsi="宋体"/>
          <w:sz w:val="24"/>
          <w:u w:val="single"/>
        </w:rPr>
      </w:pPr>
      <w:r>
        <w:rPr>
          <w:rFonts w:hint="eastAsia" w:ascii="宋体" w:hAnsi="宋体"/>
          <w:sz w:val="24"/>
        </w:rPr>
        <w:t>六、合理损耗标准及计算方法：</w:t>
      </w:r>
      <w:r>
        <w:rPr>
          <w:rFonts w:hint="eastAsia" w:ascii="宋体" w:hAnsi="宋体"/>
          <w:sz w:val="24"/>
          <w:u w:val="single"/>
        </w:rPr>
        <w:t xml:space="preserve">按行业标准。出卖人承担产品交付前的一切损耗。       </w:t>
      </w:r>
    </w:p>
    <w:p>
      <w:pPr>
        <w:tabs>
          <w:tab w:val="left" w:pos="9540"/>
          <w:tab w:val="left" w:pos="10440"/>
          <w:tab w:val="left" w:pos="10620"/>
          <w:tab w:val="left" w:pos="10800"/>
        </w:tabs>
        <w:spacing w:line="360" w:lineRule="auto"/>
        <w:ind w:right="323" w:rightChars="154"/>
        <w:rPr>
          <w:rFonts w:ascii="宋体" w:hAnsi="宋体"/>
          <w:sz w:val="24"/>
        </w:rPr>
      </w:pPr>
      <w:r>
        <w:rPr>
          <w:rFonts w:hint="eastAsia" w:ascii="宋体" w:hAnsi="宋体"/>
          <w:sz w:val="24"/>
        </w:rPr>
        <w:t>七、标的物所有权自</w:t>
      </w:r>
      <w:r>
        <w:rPr>
          <w:rFonts w:hint="eastAsia" w:ascii="宋体" w:hAnsi="宋体"/>
          <w:sz w:val="24"/>
          <w:u w:val="single"/>
        </w:rPr>
        <w:t xml:space="preserve"> 交付买受人 </w:t>
      </w:r>
      <w:r>
        <w:rPr>
          <w:rFonts w:hint="eastAsia" w:ascii="宋体" w:hAnsi="宋体"/>
          <w:sz w:val="24"/>
        </w:rPr>
        <w:t>时起转移，但买受人未履行支付价款义务的，标的物属于</w:t>
      </w:r>
      <w:r>
        <w:rPr>
          <w:rFonts w:hint="eastAsia" w:ascii="宋体" w:hAnsi="宋体"/>
          <w:sz w:val="24"/>
          <w:u w:val="single"/>
        </w:rPr>
        <w:t xml:space="preserve"> 出卖人   </w:t>
      </w:r>
      <w:r>
        <w:rPr>
          <w:rFonts w:hint="eastAsia" w:ascii="宋体" w:hAnsi="宋体"/>
          <w:sz w:val="24"/>
        </w:rPr>
        <w:t>所有。</w:t>
      </w:r>
    </w:p>
    <w:p>
      <w:pPr>
        <w:tabs>
          <w:tab w:val="left" w:pos="9540"/>
          <w:tab w:val="left" w:pos="10440"/>
          <w:tab w:val="left" w:pos="10620"/>
          <w:tab w:val="left" w:pos="10800"/>
        </w:tabs>
        <w:spacing w:line="360" w:lineRule="auto"/>
        <w:ind w:right="323" w:rightChars="154"/>
        <w:rPr>
          <w:rFonts w:hint="eastAsia" w:ascii="宋体" w:hAnsi="宋体"/>
          <w:sz w:val="24"/>
          <w:u w:val="single"/>
        </w:rPr>
      </w:pPr>
      <w:r>
        <w:rPr>
          <w:rFonts w:hint="eastAsia" w:ascii="宋体" w:hAnsi="宋体"/>
          <w:sz w:val="24"/>
        </w:rPr>
        <w:t>八、交（提）货方式、地点和时间：</w:t>
      </w:r>
      <w:r>
        <w:rPr>
          <w:rFonts w:hint="eastAsia" w:ascii="宋体" w:hAnsi="宋体"/>
          <w:sz w:val="24"/>
          <w:u w:val="single"/>
        </w:rPr>
        <w:t xml:space="preserve">合同签订生效后，出卖人按买受人实际需求量将货物运送到买受人指定的交货地点。            </w:t>
      </w:r>
    </w:p>
    <w:p>
      <w:pPr>
        <w:tabs>
          <w:tab w:val="left" w:pos="9540"/>
          <w:tab w:val="left" w:pos="10440"/>
          <w:tab w:val="left" w:pos="10620"/>
          <w:tab w:val="left" w:pos="10800"/>
        </w:tabs>
        <w:spacing w:line="360" w:lineRule="auto"/>
        <w:ind w:right="323" w:rightChars="154"/>
        <w:rPr>
          <w:rFonts w:ascii="宋体" w:hAnsi="宋体"/>
          <w:sz w:val="24"/>
          <w:u w:val="single"/>
        </w:rPr>
      </w:pPr>
      <w:r>
        <w:rPr>
          <w:rFonts w:hint="eastAsia" w:ascii="宋体" w:hAnsi="宋体"/>
          <w:sz w:val="24"/>
        </w:rPr>
        <w:t>九、运输方式及到达站（港）和费用负担：</w:t>
      </w:r>
      <w:r>
        <w:rPr>
          <w:rFonts w:hint="eastAsia" w:ascii="宋体" w:hAnsi="宋体"/>
          <w:sz w:val="24"/>
          <w:u w:val="single"/>
        </w:rPr>
        <w:t xml:space="preserve"> 汽运，运费由出卖人承担。                     </w:t>
      </w:r>
    </w:p>
    <w:p>
      <w:pPr>
        <w:tabs>
          <w:tab w:val="left" w:pos="9540"/>
          <w:tab w:val="left" w:pos="10440"/>
          <w:tab w:val="left" w:pos="10620"/>
          <w:tab w:val="left" w:pos="10800"/>
        </w:tabs>
        <w:spacing w:line="360" w:lineRule="auto"/>
        <w:ind w:right="323" w:rightChars="154"/>
        <w:rPr>
          <w:rFonts w:hint="eastAsia" w:ascii="宋体" w:hAnsi="宋体"/>
          <w:sz w:val="24"/>
          <w:u w:val="single"/>
        </w:rPr>
      </w:pPr>
      <w:r>
        <w:rPr>
          <w:rFonts w:hint="eastAsia" w:ascii="宋体" w:hAnsi="宋体"/>
          <w:sz w:val="24"/>
        </w:rPr>
        <w:t>十、检验标准、方法、地点及异议期限：</w:t>
      </w:r>
      <w:r>
        <w:rPr>
          <w:rFonts w:hint="eastAsia" w:ascii="宋体" w:hAnsi="宋体"/>
          <w:sz w:val="24"/>
          <w:u w:val="single"/>
        </w:rPr>
        <w:t xml:space="preserve"> 按国标检验。产品到达买受人指定的交货地点后，除出卖人提供材料检验报告（费用自理）外，买受人同时组织现场随机抽检，如有异议应在检验之日起3日内提出，否则视为合格产品。出卖人应在接到买受人异议通知后2日内给予解决，否则将追究出卖人的违约责任。                                                                   </w:t>
      </w:r>
    </w:p>
    <w:p>
      <w:pPr>
        <w:spacing w:line="360" w:lineRule="auto"/>
        <w:rPr>
          <w:rFonts w:hint="eastAsia" w:ascii="宋体" w:hAnsi="宋体" w:cs="宋体"/>
          <w:sz w:val="24"/>
          <w:u w:val="single"/>
        </w:rPr>
      </w:pPr>
      <w:r>
        <w:rPr>
          <w:rFonts w:hint="eastAsia" w:ascii="宋体" w:hAnsi="宋体" w:cs="宋体"/>
          <w:sz w:val="24"/>
        </w:rPr>
        <w:t>十一、结算方式及期限：</w:t>
      </w:r>
      <w:r>
        <w:rPr>
          <w:rFonts w:hint="eastAsia" w:ascii="宋体" w:hAnsi="宋体"/>
          <w:b/>
          <w:sz w:val="24"/>
          <w:u w:val="thick"/>
        </w:rPr>
        <w:t>卖方每批次货、票到且双方无异议，在二个月内付清。付款采用银行转账方式.</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十二、违约责任：</w:t>
      </w:r>
      <w:r>
        <w:rPr>
          <w:rFonts w:hint="eastAsia" w:ascii="宋体" w:hAnsi="宋体" w:cs="宋体"/>
          <w:sz w:val="24"/>
          <w:u w:val="single"/>
        </w:rPr>
        <w:t>1、出卖人不能交货的，应向买受人偿付不能交货部分货款百分之三的违约金。2、出卖人逾期交货的，应按照逾期交货金额每日万分之五计算，向买受人支付逾期交货的违约金，并赔偿买方因此所遭受的损失。如逾期超过30日，买受人有权终止合同并可就遭受的损失向出卖人索赔。3、出卖人所交付的货物规格型号、数量、质量等不符合合同约定的，出卖人负责无偿更换，并承担由此给买方造成的损失。4、买受人逾期付款的，应按逾期货款金额每日万分之五计算，向出卖人支付逾期付款的违约金。5、买受人违反合同规定拒绝接受货物的，应承担因此给出卖人造成的损失。</w:t>
      </w:r>
    </w:p>
    <w:p>
      <w:pPr>
        <w:spacing w:line="360" w:lineRule="auto"/>
        <w:rPr>
          <w:rFonts w:hint="eastAsia" w:ascii="宋体" w:hAnsi="宋体" w:cs="宋体"/>
          <w:sz w:val="24"/>
          <w:u w:val="single"/>
        </w:rPr>
      </w:pPr>
      <w:r>
        <w:rPr>
          <w:rFonts w:hint="eastAsia" w:ascii="宋体" w:hAnsi="宋体" w:cs="宋体"/>
          <w:sz w:val="24"/>
          <w:u w:val="single"/>
        </w:rPr>
        <w:t>十三、合同争议的解决方式：本合同在履行过程中发生的争议，由双方当事人协商解决，也可由当地工商行政管理部门调解；协商或调解不成的，按下列第（一）中方式解决：</w:t>
      </w:r>
    </w:p>
    <w:p>
      <w:pPr>
        <w:spacing w:line="360" w:lineRule="auto"/>
        <w:rPr>
          <w:rFonts w:hint="eastAsia" w:ascii="宋体" w:hAnsi="宋体" w:cs="宋体"/>
          <w:sz w:val="24"/>
          <w:u w:val="single"/>
        </w:rPr>
      </w:pPr>
      <w:r>
        <w:rPr>
          <w:rFonts w:hint="eastAsia" w:ascii="宋体" w:hAnsi="宋体" w:cs="宋体"/>
          <w:sz w:val="24"/>
          <w:u w:val="single"/>
        </w:rPr>
        <w:t>（一）提交宁国市仲裁委员会仲裁；</w:t>
      </w:r>
    </w:p>
    <w:p>
      <w:pPr>
        <w:spacing w:line="360" w:lineRule="auto"/>
        <w:rPr>
          <w:rFonts w:hint="eastAsia" w:ascii="宋体" w:hAnsi="宋体" w:cs="宋体"/>
          <w:sz w:val="24"/>
          <w:u w:val="single"/>
        </w:rPr>
      </w:pPr>
      <w:r>
        <w:rPr>
          <w:rFonts w:hint="eastAsia" w:ascii="宋体" w:hAnsi="宋体" w:cs="宋体"/>
          <w:sz w:val="24"/>
          <w:u w:val="single"/>
        </w:rPr>
        <w:t>（二）依法向</w:t>
      </w:r>
      <w:r>
        <w:rPr>
          <w:rFonts w:hint="eastAsia" w:ascii="宋体" w:hAnsi="宋体" w:cs="宋体"/>
          <w:sz w:val="24"/>
          <w:u w:val="single"/>
          <w:lang w:eastAsia="zh-CN"/>
        </w:rPr>
        <w:t>宁国市</w:t>
      </w:r>
      <w:r>
        <w:rPr>
          <w:rFonts w:hint="eastAsia" w:ascii="宋体" w:hAnsi="宋体" w:cs="宋体"/>
          <w:sz w:val="24"/>
          <w:u w:val="single"/>
        </w:rPr>
        <w:t>人民法院起诉。</w:t>
      </w:r>
    </w:p>
    <w:p>
      <w:pPr>
        <w:spacing w:line="360" w:lineRule="auto"/>
        <w:rPr>
          <w:rFonts w:hint="eastAsia" w:ascii="宋体" w:hAnsi="宋体" w:cs="宋体"/>
          <w:sz w:val="24"/>
        </w:rPr>
      </w:pPr>
      <w:r>
        <w:rPr>
          <w:rFonts w:hint="eastAsia" w:ascii="宋体" w:hAnsi="宋体" w:cs="宋体"/>
          <w:sz w:val="24"/>
        </w:rPr>
        <w:t>十四、本合同一式四份，买受人执三份，出卖人执一份，均具有同等法律效力。</w:t>
      </w:r>
    </w:p>
    <w:p>
      <w:pPr>
        <w:spacing w:line="360" w:lineRule="auto"/>
        <w:rPr>
          <w:rFonts w:hint="eastAsia" w:ascii="宋体" w:hAnsi="宋体" w:cs="宋体"/>
          <w:sz w:val="24"/>
        </w:rPr>
      </w:pPr>
      <w:r>
        <w:rPr>
          <w:rFonts w:hint="eastAsia" w:ascii="宋体" w:hAnsi="宋体" w:cs="宋体"/>
          <w:sz w:val="24"/>
        </w:rPr>
        <w:t>十五、本合同自买卖双方法定代表人或委托代理人签字并加盖合同专用章后正式生效。合同有效期限自合同签字生效之日起算。如果在合同有效期限内公司采购该货物必须由公司总部集中采购的，合同自动终止。</w:t>
      </w:r>
    </w:p>
    <w:tbl>
      <w:tblPr>
        <w:tblStyle w:val="49"/>
        <w:tblpPr w:leftFromText="182" w:rightFromText="182" w:vertAnchor="text" w:horzAnchor="margin" w:tblpX="108"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4939" w:type="dxa"/>
          </w:tcPr>
          <w:p>
            <w:pPr>
              <w:jc w:val="center"/>
              <w:rPr>
                <w:rFonts w:hint="eastAsia" w:ascii="宋体" w:hAnsi="宋体" w:cs="宋体"/>
                <w:sz w:val="24"/>
              </w:rPr>
            </w:pPr>
            <w:r>
              <w:rPr>
                <w:rFonts w:hint="eastAsia" w:ascii="宋体" w:hAnsi="宋体" w:cs="宋体"/>
                <w:sz w:val="24"/>
              </w:rPr>
              <w:t>买受人</w:t>
            </w:r>
          </w:p>
          <w:p>
            <w:pPr>
              <w:jc w:val="center"/>
              <w:rPr>
                <w:rFonts w:hint="eastAsia" w:ascii="宋体" w:hAnsi="宋体" w:cs="宋体"/>
                <w:sz w:val="24"/>
              </w:rPr>
            </w:pPr>
          </w:p>
          <w:p>
            <w:pPr>
              <w:rPr>
                <w:rFonts w:hint="eastAsia" w:ascii="宋体" w:hAnsi="宋体" w:cs="宋体"/>
                <w:sz w:val="24"/>
              </w:rPr>
            </w:pPr>
            <w:r>
              <w:rPr>
                <w:rFonts w:hint="eastAsia" w:ascii="宋体" w:hAnsi="宋体" w:cs="宋体"/>
                <w:sz w:val="24"/>
              </w:rPr>
              <w:t>买受人（章）：宁国水务有限公司</w:t>
            </w:r>
          </w:p>
          <w:p>
            <w:pPr>
              <w:rPr>
                <w:rFonts w:hint="eastAsia" w:ascii="宋体" w:hAnsi="宋体" w:cs="宋体"/>
                <w:sz w:val="24"/>
              </w:rPr>
            </w:pPr>
            <w:r>
              <w:rPr>
                <w:rFonts w:hint="eastAsia" w:ascii="宋体" w:hAnsi="宋体" w:cs="宋体"/>
                <w:sz w:val="24"/>
              </w:rPr>
              <w:t>住所：</w:t>
            </w:r>
          </w:p>
          <w:p>
            <w:pPr>
              <w:rPr>
                <w:rFonts w:hint="eastAsia" w:ascii="宋体" w:hAnsi="宋体" w:cs="宋体"/>
                <w:sz w:val="24"/>
              </w:rPr>
            </w:pPr>
            <w:r>
              <w:rPr>
                <w:rFonts w:hint="eastAsia" w:ascii="宋体" w:hAnsi="宋体" w:cs="宋体"/>
                <w:sz w:val="24"/>
              </w:rPr>
              <w:t>法定代表人：</w:t>
            </w:r>
          </w:p>
          <w:p>
            <w:pPr>
              <w:rPr>
                <w:rFonts w:hint="eastAsia" w:ascii="宋体" w:hAnsi="宋体" w:cs="宋体"/>
                <w:sz w:val="24"/>
              </w:rPr>
            </w:pPr>
            <w:r>
              <w:rPr>
                <w:rFonts w:hint="eastAsia" w:ascii="宋体" w:hAnsi="宋体" w:cs="宋体"/>
                <w:sz w:val="24"/>
              </w:rPr>
              <w:t xml:space="preserve">委托代理人： </w:t>
            </w:r>
          </w:p>
          <w:p>
            <w:pPr>
              <w:rPr>
                <w:rFonts w:hint="eastAsia" w:ascii="宋体" w:hAnsi="宋体" w:cs="宋体"/>
                <w:sz w:val="24"/>
              </w:rPr>
            </w:pPr>
            <w:r>
              <w:rPr>
                <w:rFonts w:hint="eastAsia" w:ascii="宋体" w:hAnsi="宋体" w:cs="宋体"/>
                <w:sz w:val="24"/>
              </w:rPr>
              <w:t>日期：</w:t>
            </w:r>
          </w:p>
          <w:p>
            <w:pPr>
              <w:rPr>
                <w:rFonts w:hint="eastAsia" w:ascii="宋体" w:hAnsi="宋体" w:cs="宋体"/>
                <w:sz w:val="24"/>
              </w:rPr>
            </w:pPr>
            <w:r>
              <w:rPr>
                <w:rFonts w:hint="eastAsia" w:ascii="宋体" w:hAnsi="宋体" w:cs="宋体"/>
                <w:sz w:val="24"/>
              </w:rPr>
              <w:t>电话/传真：</w:t>
            </w:r>
          </w:p>
          <w:p>
            <w:pPr>
              <w:rPr>
                <w:rFonts w:hint="eastAsia" w:ascii="宋体" w:hAnsi="宋体" w:cs="宋体"/>
                <w:sz w:val="24"/>
              </w:rPr>
            </w:pPr>
            <w:r>
              <w:rPr>
                <w:rFonts w:hint="eastAsia" w:ascii="宋体" w:hAnsi="宋体" w:cs="宋体"/>
                <w:sz w:val="24"/>
              </w:rPr>
              <w:t xml:space="preserve">开户银行： </w:t>
            </w:r>
          </w:p>
          <w:p>
            <w:pPr>
              <w:rPr>
                <w:rFonts w:hint="eastAsia" w:ascii="宋体" w:hAnsi="宋体" w:cs="宋体"/>
                <w:sz w:val="24"/>
              </w:rPr>
            </w:pPr>
            <w:r>
              <w:rPr>
                <w:rFonts w:hint="eastAsia" w:ascii="宋体" w:hAnsi="宋体" w:cs="宋体"/>
                <w:sz w:val="24"/>
              </w:rPr>
              <w:t>账号：</w:t>
            </w:r>
          </w:p>
          <w:p>
            <w:pPr>
              <w:rPr>
                <w:rFonts w:hint="eastAsia" w:ascii="宋体" w:hAnsi="宋体" w:cs="宋体"/>
                <w:sz w:val="24"/>
              </w:rPr>
            </w:pPr>
            <w:r>
              <w:rPr>
                <w:rFonts w:hint="eastAsia" w:ascii="宋体" w:hAnsi="宋体" w:cs="宋体"/>
                <w:sz w:val="24"/>
              </w:rPr>
              <w:t>税号：</w:t>
            </w:r>
          </w:p>
        </w:tc>
        <w:tc>
          <w:tcPr>
            <w:tcW w:w="4681" w:type="dxa"/>
          </w:tcPr>
          <w:p>
            <w:pPr>
              <w:jc w:val="center"/>
              <w:rPr>
                <w:rFonts w:hint="eastAsia" w:ascii="宋体" w:hAnsi="宋体" w:cs="宋体"/>
                <w:sz w:val="24"/>
              </w:rPr>
            </w:pPr>
            <w:r>
              <w:rPr>
                <w:rFonts w:hint="eastAsia" w:ascii="宋体" w:hAnsi="宋体" w:cs="宋体"/>
                <w:sz w:val="24"/>
              </w:rPr>
              <w:t>出卖人</w:t>
            </w:r>
          </w:p>
          <w:p>
            <w:pPr>
              <w:jc w:val="center"/>
              <w:rPr>
                <w:rFonts w:hint="eastAsia" w:ascii="宋体" w:hAnsi="宋体" w:cs="宋体"/>
                <w:sz w:val="24"/>
              </w:rPr>
            </w:pPr>
          </w:p>
          <w:p>
            <w:pPr>
              <w:rPr>
                <w:rFonts w:hint="eastAsia" w:ascii="宋体" w:hAnsi="宋体" w:cs="宋体"/>
                <w:sz w:val="24"/>
              </w:rPr>
            </w:pPr>
            <w:r>
              <w:rPr>
                <w:rFonts w:hint="eastAsia" w:ascii="宋体" w:hAnsi="宋体" w:cs="宋体"/>
                <w:sz w:val="24"/>
              </w:rPr>
              <w:t>出卖人（章）：</w:t>
            </w:r>
          </w:p>
          <w:p>
            <w:pPr>
              <w:rPr>
                <w:rFonts w:hint="eastAsia" w:ascii="宋体" w:hAnsi="宋体" w:cs="宋体"/>
                <w:sz w:val="24"/>
              </w:rPr>
            </w:pPr>
            <w:r>
              <w:rPr>
                <w:rFonts w:hint="eastAsia" w:ascii="宋体" w:hAnsi="宋体" w:cs="宋体"/>
                <w:sz w:val="24"/>
              </w:rPr>
              <w:t>住所：</w:t>
            </w:r>
          </w:p>
          <w:p>
            <w:pPr>
              <w:rPr>
                <w:rFonts w:hint="eastAsia" w:ascii="宋体" w:hAnsi="宋体" w:cs="宋体"/>
                <w:sz w:val="24"/>
              </w:rPr>
            </w:pPr>
            <w:r>
              <w:rPr>
                <w:rFonts w:hint="eastAsia" w:ascii="宋体" w:hAnsi="宋体" w:cs="宋体"/>
                <w:sz w:val="24"/>
              </w:rPr>
              <w:t>法定代表人：</w:t>
            </w:r>
          </w:p>
          <w:p>
            <w:pPr>
              <w:rPr>
                <w:rFonts w:hint="eastAsia" w:ascii="宋体" w:hAnsi="宋体" w:cs="宋体"/>
                <w:sz w:val="24"/>
              </w:rPr>
            </w:pPr>
            <w:r>
              <w:rPr>
                <w:rFonts w:hint="eastAsia" w:ascii="宋体" w:hAnsi="宋体" w:cs="宋体"/>
                <w:sz w:val="24"/>
              </w:rPr>
              <w:t>委托代理人：</w:t>
            </w:r>
          </w:p>
          <w:p>
            <w:pPr>
              <w:rPr>
                <w:rFonts w:hint="eastAsia" w:ascii="宋体" w:hAnsi="宋体" w:cs="宋体"/>
                <w:sz w:val="24"/>
              </w:rPr>
            </w:pPr>
            <w:r>
              <w:rPr>
                <w:rFonts w:hint="eastAsia" w:ascii="宋体" w:hAnsi="宋体" w:cs="宋体"/>
                <w:sz w:val="24"/>
              </w:rPr>
              <w:t>日期：</w:t>
            </w:r>
          </w:p>
          <w:p>
            <w:pPr>
              <w:rPr>
                <w:rFonts w:hint="eastAsia" w:ascii="宋体" w:hAnsi="宋体" w:cs="宋体"/>
                <w:sz w:val="24"/>
              </w:rPr>
            </w:pPr>
            <w:r>
              <w:rPr>
                <w:rFonts w:hint="eastAsia" w:ascii="宋体" w:hAnsi="宋体" w:cs="宋体"/>
                <w:sz w:val="24"/>
              </w:rPr>
              <w:t>电话/传真：</w:t>
            </w:r>
          </w:p>
          <w:p>
            <w:pPr>
              <w:rPr>
                <w:rFonts w:hint="eastAsia" w:ascii="宋体" w:hAnsi="宋体" w:cs="宋体"/>
                <w:sz w:val="24"/>
              </w:rPr>
            </w:pPr>
            <w:r>
              <w:rPr>
                <w:rFonts w:hint="eastAsia" w:ascii="宋体" w:hAnsi="宋体" w:cs="宋体"/>
                <w:sz w:val="24"/>
              </w:rPr>
              <w:t xml:space="preserve">开户银行： </w:t>
            </w:r>
          </w:p>
          <w:p>
            <w:pPr>
              <w:rPr>
                <w:rFonts w:hint="eastAsia" w:ascii="宋体" w:hAnsi="宋体" w:cs="宋体"/>
                <w:sz w:val="24"/>
              </w:rPr>
            </w:pPr>
            <w:r>
              <w:rPr>
                <w:rFonts w:hint="eastAsia" w:ascii="宋体" w:hAnsi="宋体" w:cs="宋体"/>
                <w:sz w:val="24"/>
              </w:rPr>
              <w:t>账号：</w:t>
            </w:r>
          </w:p>
          <w:p>
            <w:pPr>
              <w:rPr>
                <w:rFonts w:hint="eastAsia" w:ascii="宋体" w:hAnsi="宋体" w:cs="宋体"/>
                <w:sz w:val="24"/>
              </w:rPr>
            </w:pPr>
            <w:r>
              <w:rPr>
                <w:rFonts w:hint="eastAsia" w:ascii="宋体" w:hAnsi="宋体" w:cs="宋体"/>
                <w:sz w:val="24"/>
              </w:rPr>
              <w:t>税号：</w:t>
            </w:r>
          </w:p>
        </w:tc>
      </w:tr>
    </w:tbl>
    <w:p>
      <w:pPr>
        <w:tabs>
          <w:tab w:val="left" w:pos="9540"/>
          <w:tab w:val="left" w:pos="10440"/>
          <w:tab w:val="left" w:pos="10620"/>
          <w:tab w:val="left" w:pos="10800"/>
        </w:tabs>
        <w:ind w:right="323" w:rightChars="154"/>
        <w:rPr>
          <w:rFonts w:hint="eastAsia"/>
          <w:b/>
          <w:bCs/>
        </w:rPr>
      </w:pPr>
      <w:r>
        <w:rPr>
          <w:rFonts w:hint="eastAsia"/>
          <w:b/>
          <w:bCs/>
        </w:rPr>
        <w:t>监制部门：安徽省工商行政管理局               印制单位；安徽省工商行政管理局印刷厂</w:t>
      </w: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p>
      <w:pPr>
        <w:tabs>
          <w:tab w:val="left" w:pos="9540"/>
          <w:tab w:val="left" w:pos="10440"/>
          <w:tab w:val="left" w:pos="10620"/>
          <w:tab w:val="left" w:pos="10800"/>
        </w:tabs>
        <w:ind w:right="323" w:rightChars="154"/>
        <w:rPr>
          <w:rFonts w:hint="eastAsia"/>
          <w:b/>
          <w:bCs/>
        </w:rPr>
      </w:pPr>
    </w:p>
    <w:bookmarkEnd w:id="9"/>
    <w:bookmarkEnd w:id="10"/>
    <w:bookmarkEnd w:id="13"/>
    <w:bookmarkEnd w:id="14"/>
    <w:p>
      <w:pPr>
        <w:pStyle w:val="2"/>
        <w:widowControl/>
        <w:numPr>
          <w:ilvl w:val="0"/>
          <w:numId w:val="0"/>
        </w:numPr>
        <w:tabs>
          <w:tab w:val="left" w:pos="0"/>
        </w:tabs>
        <w:jc w:val="both"/>
        <w:rPr>
          <w:rFonts w:hint="eastAsia" w:ascii="宋体" w:hAnsi="宋体" w:eastAsia="宋体"/>
          <w:b/>
          <w:sz w:val="32"/>
          <w:szCs w:val="32"/>
        </w:rPr>
      </w:pPr>
      <w:bookmarkStart w:id="42" w:name="_Toc474919103"/>
      <w:bookmarkStart w:id="43" w:name="_Toc476643919"/>
    </w:p>
    <w:p>
      <w:pPr>
        <w:rPr>
          <w:rFonts w:hint="eastAsia" w:ascii="宋体" w:hAnsi="宋体" w:eastAsia="宋体"/>
          <w:b/>
          <w:sz w:val="32"/>
          <w:szCs w:val="32"/>
        </w:rPr>
      </w:pPr>
    </w:p>
    <w:p>
      <w:pPr>
        <w:pStyle w:val="19"/>
        <w:rPr>
          <w:rFonts w:hint="eastAsia"/>
        </w:rPr>
      </w:pPr>
    </w:p>
    <w:p>
      <w:pPr>
        <w:pStyle w:val="2"/>
        <w:widowControl/>
        <w:numPr>
          <w:ilvl w:val="0"/>
          <w:numId w:val="0"/>
        </w:numPr>
        <w:tabs>
          <w:tab w:val="left" w:pos="0"/>
        </w:tabs>
        <w:jc w:val="center"/>
        <w:rPr>
          <w:rFonts w:hint="eastAsia" w:ascii="宋体" w:hAnsi="宋体" w:eastAsia="宋体"/>
          <w:b/>
          <w:sz w:val="32"/>
          <w:szCs w:val="32"/>
        </w:rPr>
      </w:pPr>
    </w:p>
    <w:p>
      <w:pPr>
        <w:pStyle w:val="2"/>
        <w:widowControl/>
        <w:numPr>
          <w:ilvl w:val="0"/>
          <w:numId w:val="0"/>
        </w:numPr>
        <w:tabs>
          <w:tab w:val="left" w:pos="0"/>
        </w:tabs>
        <w:jc w:val="center"/>
        <w:rPr>
          <w:rFonts w:ascii="宋体" w:hAnsi="宋体" w:eastAsia="宋体"/>
          <w:b/>
          <w:sz w:val="32"/>
          <w:szCs w:val="32"/>
        </w:rPr>
      </w:pPr>
      <w:r>
        <w:rPr>
          <w:rFonts w:hint="eastAsia" w:ascii="宋体" w:hAnsi="宋体" w:eastAsia="宋体"/>
          <w:b/>
          <w:sz w:val="32"/>
          <w:szCs w:val="32"/>
        </w:rPr>
        <w:t>第五章  投标文件格式</w:t>
      </w:r>
      <w:bookmarkEnd w:id="42"/>
      <w:bookmarkEnd w:id="43"/>
      <w:r>
        <w:rPr>
          <w:rFonts w:ascii="宋体" w:hAnsi="宋体" w:eastAsia="宋体"/>
          <w:b/>
          <w:sz w:val="32"/>
          <w:szCs w:val="32"/>
        </w:rPr>
        <w:tab/>
      </w:r>
    </w:p>
    <w:p>
      <w:pPr>
        <w:ind w:firstLine="6300" w:firstLineChars="2250"/>
        <w:rPr>
          <w:rFonts w:ascii="宋体" w:hAnsi="宋体"/>
          <w:color w:val="000000"/>
          <w:sz w:val="28"/>
          <w:szCs w:val="28"/>
          <w:bdr w:val="single" w:color="auto" w:sz="4" w:space="0"/>
        </w:rPr>
      </w:pPr>
      <w:r>
        <w:rPr>
          <w:rFonts w:hint="eastAsia" w:ascii="宋体" w:hAnsi="宋体"/>
          <w:color w:val="000000"/>
          <w:sz w:val="28"/>
          <w:szCs w:val="28"/>
          <w:bdr w:val="single" w:color="auto" w:sz="4" w:space="0"/>
        </w:rPr>
        <w:t>注明正本或副本</w:t>
      </w:r>
    </w:p>
    <w:p>
      <w:pPr>
        <w:spacing w:before="332" w:beforeLines="100" w:after="332" w:afterLines="100"/>
        <w:ind w:firstLine="1108" w:firstLineChars="345"/>
        <w:jc w:val="left"/>
        <w:rPr>
          <w:rFonts w:ascii="宋体" w:hAnsi="宋体"/>
          <w:color w:val="000000"/>
          <w:sz w:val="32"/>
          <w:szCs w:val="32"/>
          <w:u w:val="single"/>
        </w:rPr>
      </w:pPr>
      <w:r>
        <w:rPr>
          <w:rFonts w:hint="eastAsia" w:ascii="宋体" w:hAnsi="宋体"/>
          <w:b/>
          <w:color w:val="000000"/>
          <w:sz w:val="32"/>
          <w:szCs w:val="32"/>
        </w:rPr>
        <w:t>项目名称：</w:t>
      </w:r>
      <w:r>
        <w:rPr>
          <w:rFonts w:hint="eastAsia" w:ascii="宋体" w:hAnsi="宋体"/>
          <w:b/>
          <w:color w:val="000000"/>
          <w:sz w:val="32"/>
          <w:szCs w:val="32"/>
          <w:u w:val="single"/>
        </w:rPr>
        <w:t xml:space="preserve">                            </w:t>
      </w:r>
    </w:p>
    <w:p>
      <w:pPr>
        <w:wordWrap w:val="0"/>
        <w:spacing w:line="800" w:lineRule="exact"/>
        <w:ind w:right="560" w:firstLine="2072" w:firstLineChars="645"/>
        <w:rPr>
          <w:rFonts w:hint="eastAsia" w:ascii="宋体" w:hAnsi="宋体"/>
          <w:b/>
          <w:color w:val="000000"/>
          <w:sz w:val="32"/>
          <w:szCs w:val="32"/>
          <w:u w:val="single"/>
        </w:rPr>
      </w:pPr>
      <w:r>
        <w:rPr>
          <w:rFonts w:hint="eastAsia" w:ascii="宋体" w:hAnsi="宋体"/>
          <w:b/>
          <w:color w:val="000000"/>
          <w:sz w:val="32"/>
          <w:szCs w:val="32"/>
        </w:rPr>
        <w:t>项目编号：</w:t>
      </w:r>
      <w:r>
        <w:rPr>
          <w:rFonts w:hint="eastAsia" w:ascii="宋体" w:hAnsi="宋体"/>
          <w:b/>
          <w:color w:val="000000"/>
          <w:sz w:val="32"/>
          <w:szCs w:val="32"/>
          <w:u w:val="single"/>
        </w:rPr>
        <w:t xml:space="preserve">                 </w:t>
      </w:r>
    </w:p>
    <w:p>
      <w:pPr>
        <w:wordWrap w:val="0"/>
        <w:spacing w:line="800" w:lineRule="exact"/>
        <w:ind w:right="560" w:firstLine="2072" w:firstLineChars="645"/>
        <w:rPr>
          <w:rFonts w:hint="eastAsia" w:ascii="宋体" w:hAnsi="宋体"/>
          <w:b/>
          <w:color w:val="000000"/>
          <w:sz w:val="32"/>
          <w:szCs w:val="32"/>
          <w:u w:val="single"/>
        </w:rPr>
      </w:pPr>
    </w:p>
    <w:p>
      <w:pPr>
        <w:spacing w:before="332" w:beforeLines="100" w:after="332" w:afterLines="100"/>
        <w:jc w:val="center"/>
        <w:rPr>
          <w:rFonts w:ascii="宋体" w:hAnsi="宋体"/>
          <w:b/>
          <w:color w:val="000000"/>
          <w:sz w:val="72"/>
          <w:szCs w:val="72"/>
        </w:rPr>
      </w:pPr>
      <w:r>
        <w:rPr>
          <w:rFonts w:hint="eastAsia" w:ascii="宋体" w:hAnsi="宋体"/>
          <w:b/>
          <w:color w:val="000000"/>
          <w:sz w:val="72"/>
          <w:szCs w:val="72"/>
        </w:rPr>
        <w:t>投</w:t>
      </w:r>
    </w:p>
    <w:p>
      <w:pPr>
        <w:spacing w:before="332" w:beforeLines="100" w:after="332" w:afterLines="100"/>
        <w:jc w:val="center"/>
        <w:rPr>
          <w:rFonts w:ascii="宋体" w:hAnsi="宋体"/>
          <w:b/>
          <w:color w:val="000000"/>
          <w:sz w:val="72"/>
          <w:szCs w:val="72"/>
        </w:rPr>
      </w:pPr>
      <w:r>
        <w:rPr>
          <w:rFonts w:hint="eastAsia" w:ascii="宋体" w:hAnsi="宋体"/>
          <w:b/>
          <w:color w:val="000000"/>
          <w:sz w:val="72"/>
          <w:szCs w:val="72"/>
        </w:rPr>
        <w:t>标</w:t>
      </w:r>
    </w:p>
    <w:p>
      <w:pPr>
        <w:tabs>
          <w:tab w:val="center" w:pos="4589"/>
          <w:tab w:val="left" w:pos="7800"/>
        </w:tabs>
        <w:spacing w:before="332" w:beforeLines="100" w:after="332" w:afterLines="100"/>
        <w:jc w:val="center"/>
        <w:rPr>
          <w:rFonts w:ascii="宋体" w:hAnsi="宋体"/>
          <w:b/>
          <w:color w:val="000000"/>
          <w:sz w:val="72"/>
          <w:szCs w:val="72"/>
        </w:rPr>
      </w:pPr>
      <w:r>
        <w:rPr>
          <w:rFonts w:hint="eastAsia" w:ascii="宋体" w:hAnsi="宋体"/>
          <w:b/>
          <w:color w:val="000000"/>
          <w:sz w:val="72"/>
          <w:szCs w:val="72"/>
        </w:rPr>
        <w:t>文</w:t>
      </w:r>
    </w:p>
    <w:p>
      <w:pPr>
        <w:spacing w:before="332" w:beforeLines="100" w:after="332" w:afterLines="100"/>
        <w:jc w:val="center"/>
        <w:rPr>
          <w:rFonts w:ascii="宋体" w:hAnsi="宋体"/>
          <w:b/>
          <w:color w:val="000000"/>
          <w:sz w:val="72"/>
          <w:szCs w:val="72"/>
        </w:rPr>
      </w:pPr>
      <w:r>
        <w:rPr>
          <w:rFonts w:hint="eastAsia" w:ascii="宋体" w:hAnsi="宋体"/>
          <w:b/>
          <w:color w:val="000000"/>
          <w:sz w:val="72"/>
          <w:szCs w:val="72"/>
        </w:rPr>
        <w:t>件</w:t>
      </w:r>
    </w:p>
    <w:p>
      <w:pPr>
        <w:spacing w:before="332" w:beforeLines="100" w:after="332" w:afterLines="100"/>
        <w:jc w:val="center"/>
        <w:rPr>
          <w:rFonts w:hint="eastAsia" w:ascii="宋体" w:hAnsi="宋体" w:cs="Arial"/>
          <w:b/>
          <w:color w:val="000000"/>
          <w:sz w:val="36"/>
          <w:szCs w:val="36"/>
        </w:rPr>
      </w:pPr>
    </w:p>
    <w:p>
      <w:pPr>
        <w:jc w:val="center"/>
        <w:rPr>
          <w:rFonts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（盖单位公章）</w:t>
      </w:r>
    </w:p>
    <w:p>
      <w:pPr>
        <w:rPr>
          <w:rFonts w:ascii="宋体" w:hAnsi="宋体"/>
          <w:sz w:val="15"/>
          <w:szCs w:val="15"/>
        </w:rPr>
      </w:pPr>
    </w:p>
    <w:p>
      <w:pPr>
        <w:spacing w:line="400" w:lineRule="exact"/>
        <w:jc w:val="center"/>
        <w:rPr>
          <w:rFonts w:ascii="宋体" w:hAnsi="宋体"/>
          <w:b/>
          <w:color w:val="000000"/>
          <w:sz w:val="28"/>
          <w:szCs w:val="28"/>
        </w:rPr>
      </w:pPr>
    </w:p>
    <w:p>
      <w:pPr>
        <w:spacing w:line="400" w:lineRule="exact"/>
        <w:jc w:val="center"/>
        <w:rPr>
          <w:rFonts w:hint="eastAsia" w:ascii="宋体" w:hAnsi="宋体"/>
          <w:b/>
          <w:color w:val="000000"/>
          <w:sz w:val="44"/>
          <w:szCs w:val="44"/>
        </w:rPr>
      </w:pPr>
      <w:r>
        <w:rPr>
          <w:rFonts w:ascii="宋体" w:hAnsi="宋体"/>
          <w:color w:val="000000"/>
          <w:sz w:val="28"/>
          <w:szCs w:val="28"/>
        </w:rPr>
        <w:t>日期：</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line="720" w:lineRule="auto"/>
        <w:jc w:val="center"/>
        <w:rPr>
          <w:rFonts w:ascii="宋体" w:hAnsi="宋体"/>
          <w:b/>
          <w:color w:val="000000"/>
          <w:sz w:val="44"/>
          <w:szCs w:val="44"/>
        </w:rPr>
      </w:pPr>
      <w:r>
        <w:rPr>
          <w:rFonts w:hint="eastAsia" w:ascii="宋体" w:hAnsi="宋体"/>
          <w:b/>
          <w:color w:val="000000"/>
          <w:sz w:val="44"/>
          <w:szCs w:val="44"/>
        </w:rPr>
        <w:t>目  录</w:t>
      </w:r>
    </w:p>
    <w:p>
      <w:pPr>
        <w:spacing w:line="560" w:lineRule="exact"/>
        <w:rPr>
          <w:rFonts w:ascii="宋体" w:hAnsi="宋体"/>
          <w:b/>
          <w:color w:val="000000"/>
          <w:sz w:val="44"/>
          <w:szCs w:val="44"/>
        </w:rPr>
      </w:pPr>
    </w:p>
    <w:p>
      <w:pPr>
        <w:spacing w:line="640" w:lineRule="exact"/>
        <w:ind w:left="720"/>
        <w:rPr>
          <w:rFonts w:ascii="宋体" w:hAnsi="宋体"/>
          <w:color w:val="000000"/>
          <w:sz w:val="30"/>
          <w:szCs w:val="30"/>
        </w:rPr>
      </w:pPr>
      <w:r>
        <w:rPr>
          <w:rFonts w:hint="eastAsia" w:ascii="宋体" w:hAnsi="宋体"/>
          <w:color w:val="000000"/>
          <w:sz w:val="30"/>
          <w:szCs w:val="30"/>
        </w:rPr>
        <w:t>一、开标一览表</w:t>
      </w:r>
    </w:p>
    <w:p>
      <w:pPr>
        <w:spacing w:line="640" w:lineRule="exact"/>
        <w:ind w:left="720"/>
        <w:rPr>
          <w:rFonts w:ascii="宋体" w:hAnsi="宋体"/>
          <w:color w:val="000000"/>
          <w:sz w:val="30"/>
          <w:szCs w:val="30"/>
        </w:rPr>
      </w:pPr>
      <w:r>
        <w:rPr>
          <w:rFonts w:hint="eastAsia" w:ascii="宋体" w:hAnsi="宋体"/>
          <w:color w:val="000000"/>
          <w:sz w:val="30"/>
          <w:szCs w:val="30"/>
        </w:rPr>
        <w:t>二、投标函</w:t>
      </w:r>
    </w:p>
    <w:p>
      <w:pPr>
        <w:spacing w:line="640" w:lineRule="exact"/>
        <w:ind w:left="720"/>
        <w:rPr>
          <w:rFonts w:ascii="宋体" w:hAnsi="宋体"/>
          <w:color w:val="000000"/>
          <w:sz w:val="30"/>
          <w:szCs w:val="30"/>
        </w:rPr>
      </w:pPr>
      <w:r>
        <w:rPr>
          <w:rFonts w:hint="eastAsia" w:ascii="宋体" w:hAnsi="宋体"/>
          <w:color w:val="000000"/>
          <w:sz w:val="30"/>
          <w:szCs w:val="30"/>
        </w:rPr>
        <w:t>三、货物服务投标清单一览表</w:t>
      </w:r>
    </w:p>
    <w:p>
      <w:pPr>
        <w:spacing w:line="640" w:lineRule="exact"/>
        <w:ind w:left="720"/>
        <w:rPr>
          <w:rFonts w:ascii="宋体" w:hAnsi="宋体"/>
          <w:color w:val="000000"/>
          <w:sz w:val="30"/>
          <w:szCs w:val="30"/>
        </w:rPr>
      </w:pPr>
      <w:r>
        <w:rPr>
          <w:rFonts w:hint="eastAsia" w:ascii="宋体" w:hAnsi="宋体"/>
          <w:color w:val="000000"/>
          <w:sz w:val="30"/>
          <w:szCs w:val="30"/>
        </w:rPr>
        <w:t>四、对商务要求的响应</w:t>
      </w:r>
    </w:p>
    <w:p>
      <w:pPr>
        <w:spacing w:line="640" w:lineRule="exact"/>
        <w:ind w:left="720"/>
        <w:rPr>
          <w:rFonts w:ascii="宋体" w:hAnsi="宋体"/>
          <w:color w:val="000000"/>
          <w:sz w:val="30"/>
          <w:szCs w:val="30"/>
        </w:rPr>
      </w:pPr>
      <w:r>
        <w:rPr>
          <w:rFonts w:hint="eastAsia" w:ascii="宋体" w:hAnsi="宋体"/>
          <w:bCs/>
          <w:color w:val="000000"/>
          <w:sz w:val="30"/>
          <w:szCs w:val="30"/>
        </w:rPr>
        <w:t>五、对技术要求的响应</w:t>
      </w:r>
    </w:p>
    <w:p>
      <w:pPr>
        <w:spacing w:line="640" w:lineRule="exact"/>
        <w:ind w:left="720"/>
        <w:rPr>
          <w:rFonts w:ascii="宋体" w:hAnsi="宋体"/>
          <w:color w:val="000000"/>
          <w:sz w:val="30"/>
          <w:szCs w:val="30"/>
        </w:rPr>
      </w:pPr>
      <w:r>
        <w:rPr>
          <w:rFonts w:hint="eastAsia" w:ascii="宋体" w:hAnsi="宋体"/>
          <w:color w:val="000000"/>
          <w:sz w:val="30"/>
          <w:szCs w:val="30"/>
        </w:rPr>
        <w:t>六、货物服务技术方案</w:t>
      </w:r>
    </w:p>
    <w:p>
      <w:pPr>
        <w:spacing w:line="640" w:lineRule="exact"/>
        <w:ind w:left="720"/>
        <w:rPr>
          <w:rFonts w:ascii="宋体" w:hAnsi="宋体"/>
          <w:color w:val="000000"/>
          <w:sz w:val="30"/>
          <w:szCs w:val="30"/>
        </w:rPr>
      </w:pPr>
      <w:r>
        <w:rPr>
          <w:rFonts w:hint="eastAsia" w:ascii="宋体" w:hAnsi="宋体"/>
          <w:color w:val="000000"/>
          <w:sz w:val="30"/>
          <w:szCs w:val="30"/>
        </w:rPr>
        <w:t>七、资格证明文件及其他重要资料</w:t>
      </w:r>
    </w:p>
    <w:p>
      <w:pPr>
        <w:spacing w:line="640" w:lineRule="exact"/>
        <w:ind w:left="720"/>
        <w:rPr>
          <w:rFonts w:hint="eastAsia" w:ascii="宋体" w:hAnsi="宋体"/>
          <w:color w:val="000000"/>
          <w:sz w:val="30"/>
          <w:szCs w:val="30"/>
        </w:rPr>
      </w:pPr>
      <w:r>
        <w:rPr>
          <w:rFonts w:hint="eastAsia" w:ascii="宋体" w:hAnsi="宋体"/>
          <w:color w:val="000000"/>
          <w:sz w:val="30"/>
          <w:szCs w:val="30"/>
        </w:rPr>
        <w:t>八、货物服务报价一览表</w:t>
      </w:r>
    </w:p>
    <w:p>
      <w:pPr>
        <w:spacing w:line="560" w:lineRule="exact"/>
        <w:ind w:left="720"/>
        <w:rPr>
          <w:rFonts w:hint="eastAsia" w:ascii="宋体" w:hAnsi="宋体"/>
          <w:color w:val="000000"/>
          <w:sz w:val="28"/>
          <w:szCs w:val="28"/>
        </w:rPr>
      </w:pPr>
    </w:p>
    <w:p>
      <w:pPr>
        <w:spacing w:line="560" w:lineRule="exact"/>
        <w:ind w:left="720"/>
        <w:rPr>
          <w:rFonts w:ascii="宋体" w:hAnsi="宋体"/>
          <w:color w:val="000000"/>
          <w:sz w:val="28"/>
          <w:szCs w:val="28"/>
        </w:rPr>
      </w:pPr>
    </w:p>
    <w:p>
      <w:pPr>
        <w:spacing w:line="600" w:lineRule="exact"/>
        <w:ind w:firstLine="560" w:firstLineChars="200"/>
        <w:rPr>
          <w:rFonts w:ascii="宋体" w:hAnsi="宋体"/>
          <w:color w:val="000000"/>
          <w:sz w:val="28"/>
          <w:szCs w:val="28"/>
        </w:rPr>
      </w:pPr>
    </w:p>
    <w:p>
      <w:pPr>
        <w:spacing w:line="600" w:lineRule="exact"/>
        <w:ind w:firstLine="560" w:firstLineChars="200"/>
        <w:rPr>
          <w:rFonts w:ascii="宋体" w:hAnsi="宋体"/>
          <w:color w:val="000000"/>
          <w:sz w:val="28"/>
          <w:szCs w:val="28"/>
        </w:rPr>
      </w:pPr>
    </w:p>
    <w:p>
      <w:pPr>
        <w:spacing w:line="600" w:lineRule="exact"/>
        <w:ind w:firstLine="482" w:firstLineChars="200"/>
        <w:rPr>
          <w:rFonts w:ascii="宋体" w:hAnsi="宋体"/>
          <w:b/>
          <w:color w:val="000000"/>
          <w:sz w:val="24"/>
          <w:szCs w:val="24"/>
        </w:rPr>
      </w:pPr>
    </w:p>
    <w:p>
      <w:pPr>
        <w:jc w:val="center"/>
        <w:rPr>
          <w:rFonts w:ascii="宋体" w:hAnsi="宋体"/>
          <w:b/>
          <w:color w:val="000000"/>
          <w:sz w:val="28"/>
          <w:szCs w:val="28"/>
        </w:rPr>
      </w:pPr>
    </w:p>
    <w:p>
      <w:pPr>
        <w:spacing w:line="360" w:lineRule="exact"/>
        <w:ind w:firstLine="472" w:firstLineChars="147"/>
        <w:jc w:val="center"/>
        <w:rPr>
          <w:rFonts w:ascii="宋体" w:hAnsi="宋体"/>
          <w:b/>
          <w:color w:val="000000"/>
          <w:sz w:val="32"/>
          <w:szCs w:val="32"/>
        </w:rPr>
      </w:pPr>
    </w:p>
    <w:p>
      <w:pPr>
        <w:spacing w:line="360" w:lineRule="exact"/>
        <w:ind w:firstLine="472" w:firstLineChars="147"/>
        <w:jc w:val="center"/>
        <w:rPr>
          <w:rFonts w:ascii="宋体" w:hAnsi="宋体"/>
          <w:b/>
          <w:color w:val="000000"/>
          <w:sz w:val="32"/>
          <w:szCs w:val="32"/>
        </w:rPr>
      </w:pPr>
    </w:p>
    <w:p>
      <w:pPr>
        <w:spacing w:line="360" w:lineRule="exact"/>
        <w:ind w:firstLine="472" w:firstLineChars="147"/>
        <w:jc w:val="center"/>
        <w:rPr>
          <w:rFonts w:ascii="宋体" w:hAnsi="宋体"/>
          <w:b/>
          <w:color w:val="000000"/>
          <w:sz w:val="32"/>
          <w:szCs w:val="32"/>
        </w:rPr>
      </w:pPr>
    </w:p>
    <w:p>
      <w:pPr>
        <w:spacing w:line="360" w:lineRule="exact"/>
        <w:ind w:firstLine="472" w:firstLineChars="147"/>
        <w:jc w:val="center"/>
        <w:rPr>
          <w:rFonts w:ascii="宋体" w:hAnsi="宋体"/>
          <w:b/>
          <w:color w:val="000000"/>
          <w:sz w:val="32"/>
          <w:szCs w:val="32"/>
        </w:rPr>
      </w:pPr>
    </w:p>
    <w:p>
      <w:pPr>
        <w:spacing w:line="360" w:lineRule="exact"/>
        <w:ind w:firstLine="472" w:firstLineChars="147"/>
        <w:jc w:val="center"/>
        <w:rPr>
          <w:rFonts w:hint="eastAsia" w:ascii="宋体" w:hAnsi="宋体"/>
          <w:b/>
          <w:color w:val="000000"/>
          <w:sz w:val="32"/>
          <w:szCs w:val="32"/>
        </w:rPr>
      </w:pPr>
    </w:p>
    <w:p>
      <w:pPr>
        <w:spacing w:line="360" w:lineRule="exact"/>
        <w:ind w:firstLine="472" w:firstLineChars="147"/>
        <w:jc w:val="center"/>
        <w:rPr>
          <w:rFonts w:hint="eastAsia" w:ascii="宋体" w:hAnsi="宋体"/>
          <w:b/>
          <w:color w:val="000000"/>
          <w:sz w:val="32"/>
          <w:szCs w:val="32"/>
        </w:rPr>
      </w:pPr>
    </w:p>
    <w:p>
      <w:pPr>
        <w:spacing w:line="360" w:lineRule="exact"/>
        <w:ind w:firstLine="472" w:firstLineChars="147"/>
        <w:jc w:val="center"/>
        <w:rPr>
          <w:rFonts w:hint="eastAsia" w:ascii="宋体" w:hAnsi="宋体"/>
          <w:b/>
          <w:color w:val="000000"/>
          <w:sz w:val="32"/>
          <w:szCs w:val="32"/>
        </w:rPr>
      </w:pPr>
    </w:p>
    <w:p>
      <w:pPr>
        <w:pStyle w:val="19"/>
        <w:rPr>
          <w:rFonts w:hint="eastAsia" w:ascii="宋体" w:hAnsi="宋体"/>
          <w:b/>
          <w:color w:val="000000"/>
          <w:sz w:val="32"/>
          <w:szCs w:val="32"/>
        </w:rPr>
      </w:pPr>
    </w:p>
    <w:p>
      <w:pPr>
        <w:pStyle w:val="19"/>
        <w:rPr>
          <w:rFonts w:hint="eastAsia" w:ascii="宋体" w:hAnsi="宋体"/>
          <w:b/>
          <w:color w:val="000000"/>
          <w:sz w:val="32"/>
          <w:szCs w:val="32"/>
        </w:rPr>
      </w:pPr>
    </w:p>
    <w:p>
      <w:pPr>
        <w:spacing w:line="720" w:lineRule="auto"/>
        <w:jc w:val="center"/>
        <w:rPr>
          <w:rFonts w:hint="eastAsia" w:ascii="宋体" w:hAnsi="宋体"/>
          <w:b/>
          <w:color w:val="000000"/>
          <w:sz w:val="32"/>
          <w:szCs w:val="32"/>
        </w:rPr>
      </w:pPr>
      <w:bookmarkStart w:id="44" w:name="_Toc435773297"/>
      <w:bookmarkStart w:id="45" w:name="_Toc433274949"/>
      <w:bookmarkStart w:id="46" w:name="_Toc433183048"/>
    </w:p>
    <w:p>
      <w:pPr>
        <w:spacing w:line="720" w:lineRule="auto"/>
        <w:jc w:val="center"/>
        <w:rPr>
          <w:rFonts w:hint="eastAsia" w:ascii="宋体" w:hAnsi="宋体"/>
          <w:b/>
          <w:color w:val="000000"/>
          <w:sz w:val="32"/>
          <w:szCs w:val="32"/>
        </w:rPr>
      </w:pPr>
      <w:r>
        <w:rPr>
          <w:rFonts w:hint="eastAsia" w:ascii="宋体" w:hAnsi="宋体"/>
          <w:b/>
          <w:color w:val="000000"/>
          <w:sz w:val="32"/>
          <w:szCs w:val="32"/>
        </w:rPr>
        <w:t>一、开标一览表</w:t>
      </w:r>
      <w:bookmarkEnd w:id="44"/>
      <w:bookmarkEnd w:id="45"/>
      <w:bookmarkEnd w:id="46"/>
    </w:p>
    <w:tbl>
      <w:tblPr>
        <w:tblStyle w:val="4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exact"/>
          <w:jc w:val="center"/>
        </w:trPr>
        <w:tc>
          <w:tcPr>
            <w:tcW w:w="1954" w:type="dxa"/>
            <w:vAlign w:val="center"/>
          </w:tcPr>
          <w:p>
            <w:pPr>
              <w:jc w:val="center"/>
              <w:rPr>
                <w:rFonts w:ascii="宋体" w:hAnsi="宋体"/>
                <w:sz w:val="28"/>
                <w:szCs w:val="28"/>
              </w:rPr>
            </w:pPr>
            <w:r>
              <w:rPr>
                <w:rFonts w:hint="eastAsia" w:ascii="宋体" w:hAnsi="宋体"/>
                <w:sz w:val="28"/>
                <w:szCs w:val="28"/>
              </w:rPr>
              <w:t>项目名称</w:t>
            </w:r>
          </w:p>
        </w:tc>
        <w:tc>
          <w:tcPr>
            <w:tcW w:w="7765" w:type="dxa"/>
            <w:vAlign w:val="center"/>
          </w:tcPr>
          <w:p>
            <w:pPr>
              <w:spacing w:line="540" w:lineRule="exact"/>
              <w:rPr>
                <w:rFonts w:hint="eastAsia" w:ascii="宋体" w:hAnsi="宋体" w:eastAsia="宋体"/>
                <w:sz w:val="28"/>
                <w:szCs w:val="28"/>
                <w:lang w:eastAsia="zh-CN"/>
              </w:rPr>
            </w:pPr>
            <w:r>
              <w:rPr>
                <w:rFonts w:hint="eastAsia" w:ascii="仿宋_GB2312" w:hAnsi="宋体" w:eastAsia="仿宋_GB2312"/>
                <w:sz w:val="28"/>
                <w:u w:val="single"/>
                <w:lang w:eastAsia="zh-CN"/>
              </w:rPr>
              <w:t>宁国水务有限公司2024年度PE、PPR管材、管件采购项目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954" w:type="dxa"/>
            <w:vAlign w:val="center"/>
          </w:tcPr>
          <w:p>
            <w:pPr>
              <w:jc w:val="center"/>
              <w:rPr>
                <w:rFonts w:ascii="宋体" w:hAnsi="宋体"/>
                <w:sz w:val="28"/>
                <w:szCs w:val="28"/>
              </w:rPr>
            </w:pPr>
            <w:r>
              <w:rPr>
                <w:rFonts w:hint="eastAsia" w:ascii="宋体" w:hAnsi="宋体"/>
                <w:sz w:val="28"/>
                <w:szCs w:val="28"/>
              </w:rPr>
              <w:t>项目编号</w:t>
            </w:r>
          </w:p>
        </w:tc>
        <w:tc>
          <w:tcPr>
            <w:tcW w:w="7765" w:type="dxa"/>
            <w:vAlign w:val="center"/>
          </w:tcPr>
          <w:p>
            <w:pPr>
              <w:rPr>
                <w:rFonts w:hint="eastAsia" w:ascii="宋体" w:hAnsi="宋体"/>
                <w:sz w:val="28"/>
                <w:szCs w:val="28"/>
              </w:rPr>
            </w:pP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954" w:type="dxa"/>
            <w:vAlign w:val="center"/>
          </w:tcPr>
          <w:p>
            <w:pPr>
              <w:spacing w:line="520" w:lineRule="exact"/>
              <w:jc w:val="center"/>
              <w:rPr>
                <w:rFonts w:ascii="宋体" w:hAnsi="宋体"/>
                <w:color w:val="000000"/>
                <w:sz w:val="28"/>
                <w:szCs w:val="28"/>
              </w:rPr>
            </w:pPr>
            <w:r>
              <w:rPr>
                <w:rFonts w:hint="eastAsia" w:ascii="宋体" w:hAnsi="宋体"/>
                <w:color w:val="000000"/>
                <w:sz w:val="28"/>
                <w:szCs w:val="28"/>
              </w:rPr>
              <w:t>投标人名称</w:t>
            </w:r>
          </w:p>
        </w:tc>
        <w:tc>
          <w:tcPr>
            <w:tcW w:w="7765"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954" w:type="dxa"/>
            <w:vAlign w:val="center"/>
          </w:tcPr>
          <w:p>
            <w:pPr>
              <w:spacing w:line="520" w:lineRule="exact"/>
              <w:jc w:val="center"/>
              <w:rPr>
                <w:rFonts w:ascii="宋体" w:hAnsi="宋体"/>
                <w:color w:val="000000"/>
                <w:sz w:val="28"/>
                <w:szCs w:val="28"/>
              </w:rPr>
            </w:pPr>
            <w:r>
              <w:rPr>
                <w:rFonts w:hint="eastAsia" w:ascii="宋体" w:hAnsi="宋体"/>
                <w:color w:val="000000"/>
                <w:sz w:val="28"/>
                <w:szCs w:val="28"/>
              </w:rPr>
              <w:t>供货期</w:t>
            </w:r>
          </w:p>
        </w:tc>
        <w:tc>
          <w:tcPr>
            <w:tcW w:w="7765" w:type="dxa"/>
            <w:vAlign w:val="center"/>
          </w:tcPr>
          <w:p>
            <w:pPr>
              <w:ind w:left="840" w:hanging="840" w:hangingChars="300"/>
              <w:rPr>
                <w:rFonts w:ascii="宋体" w:hAnsi="宋体"/>
                <w:sz w:val="28"/>
                <w:szCs w:val="28"/>
              </w:rPr>
            </w:pPr>
            <w:r>
              <w:rPr>
                <w:rFonts w:hint="eastAsia" w:ascii="宋体" w:hAnsi="宋体"/>
                <w:sz w:val="28"/>
                <w:szCs w:val="28"/>
              </w:rPr>
              <w:t>根据招标人要求供货，中标人必须在招标人发出供货通知后日内将货物运至指定地点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954" w:type="dxa"/>
            <w:vAlign w:val="center"/>
          </w:tcPr>
          <w:p>
            <w:pPr>
              <w:spacing w:line="520" w:lineRule="exact"/>
              <w:jc w:val="center"/>
              <w:rPr>
                <w:rFonts w:ascii="宋体" w:hAnsi="宋体"/>
                <w:color w:val="000000"/>
                <w:sz w:val="28"/>
                <w:szCs w:val="28"/>
              </w:rPr>
            </w:pPr>
            <w:r>
              <w:rPr>
                <w:rFonts w:hint="eastAsia" w:ascii="宋体" w:hAnsi="宋体"/>
                <w:color w:val="000000"/>
                <w:sz w:val="28"/>
                <w:szCs w:val="28"/>
              </w:rPr>
              <w:t>质量要求</w:t>
            </w:r>
          </w:p>
        </w:tc>
        <w:tc>
          <w:tcPr>
            <w:tcW w:w="7765" w:type="dxa"/>
            <w:vAlign w:val="center"/>
          </w:tcPr>
          <w:p>
            <w:pPr>
              <w:rPr>
                <w:rFonts w:ascii="宋体" w:hAnsi="宋体"/>
                <w:sz w:val="28"/>
                <w:szCs w:val="28"/>
              </w:rPr>
            </w:pPr>
            <w:r>
              <w:rPr>
                <w:rFonts w:hint="eastAsia" w:ascii="宋体" w:hAnsi="宋体"/>
                <w:sz w:val="28"/>
                <w:szCs w:val="28"/>
              </w:rPr>
              <w:t>完全符合国家质量标准及国家相关强制性认证要求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1954" w:type="dxa"/>
            <w:vAlign w:val="center"/>
          </w:tcPr>
          <w:p>
            <w:pPr>
              <w:spacing w:line="540" w:lineRule="exact"/>
              <w:jc w:val="center"/>
              <w:rPr>
                <w:rFonts w:ascii="宋体" w:hAnsi="宋体"/>
                <w:sz w:val="28"/>
                <w:szCs w:val="28"/>
              </w:rPr>
            </w:pPr>
            <w:r>
              <w:rPr>
                <w:rFonts w:hint="eastAsia" w:ascii="宋体" w:hAnsi="宋体"/>
                <w:sz w:val="28"/>
                <w:szCs w:val="28"/>
              </w:rPr>
              <w:t>免费质保期</w:t>
            </w:r>
          </w:p>
        </w:tc>
        <w:tc>
          <w:tcPr>
            <w:tcW w:w="7765" w:type="dxa"/>
            <w:vAlign w:val="center"/>
          </w:tcPr>
          <w:p>
            <w:pPr>
              <w:spacing w:line="540" w:lineRule="exact"/>
              <w:rPr>
                <w:rFonts w:ascii="宋体" w:hAnsi="宋体"/>
                <w:sz w:val="28"/>
                <w:szCs w:val="28"/>
              </w:rPr>
            </w:pPr>
            <w:r>
              <w:rPr>
                <w:rFonts w:hint="eastAsia" w:ascii="宋体" w:hAnsi="宋体"/>
                <w:sz w:val="28"/>
                <w:szCs w:val="28"/>
              </w:rPr>
              <w:t>本材料的质保期为：</w:t>
            </w:r>
            <w:r>
              <w:rPr>
                <w:rFonts w:hint="eastAsia" w:ascii="宋体" w:hAnsi="宋体"/>
                <w:b/>
                <w:sz w:val="24"/>
                <w:u w:val="thick"/>
              </w:rPr>
              <w:t xml:space="preserve"> </w:t>
            </w:r>
            <w:r>
              <w:rPr>
                <w:rFonts w:hint="eastAsia" w:ascii="宋体" w:hAnsi="宋体"/>
                <w:b/>
                <w:sz w:val="24"/>
                <w:u w:val="thick"/>
                <w:lang w:eastAsia="zh-CN"/>
              </w:rPr>
              <w:t>两</w:t>
            </w:r>
            <w:r>
              <w:rPr>
                <w:rFonts w:hint="eastAsia" w:ascii="宋体" w:hAnsi="宋体"/>
                <w:b/>
                <w:sz w:val="24"/>
                <w:u w:val="thick"/>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1954" w:type="dxa"/>
            <w:vAlign w:val="center"/>
          </w:tcPr>
          <w:p>
            <w:pPr>
              <w:spacing w:line="540" w:lineRule="exact"/>
              <w:jc w:val="center"/>
              <w:rPr>
                <w:rFonts w:hint="eastAsia" w:ascii="宋体" w:hAnsi="宋体"/>
                <w:sz w:val="28"/>
                <w:szCs w:val="28"/>
              </w:rPr>
            </w:pPr>
            <w:r>
              <w:rPr>
                <w:rFonts w:hint="eastAsia" w:ascii="宋体" w:hAnsi="宋体"/>
                <w:sz w:val="28"/>
                <w:szCs w:val="28"/>
              </w:rPr>
              <w:t>投标报价</w:t>
            </w:r>
          </w:p>
        </w:tc>
        <w:tc>
          <w:tcPr>
            <w:tcW w:w="7765" w:type="dxa"/>
            <w:vAlign w:val="center"/>
          </w:tcPr>
          <w:p>
            <w:pPr>
              <w:spacing w:line="540" w:lineRule="exact"/>
              <w:rPr>
                <w:rFonts w:hint="eastAsia" w:ascii="宋体" w:hAnsi="宋体"/>
                <w:sz w:val="28"/>
                <w:szCs w:val="28"/>
              </w:rPr>
            </w:pPr>
          </w:p>
        </w:tc>
      </w:tr>
    </w:tbl>
    <w:p>
      <w:pPr>
        <w:spacing w:line="540" w:lineRule="exact"/>
        <w:rPr>
          <w:rFonts w:ascii="宋体" w:hAnsi="宋体"/>
          <w:b/>
          <w:sz w:val="24"/>
          <w:szCs w:val="24"/>
        </w:rPr>
      </w:pPr>
      <w:r>
        <w:rPr>
          <w:rFonts w:hint="eastAsia" w:ascii="宋体" w:hAnsi="宋体"/>
          <w:b/>
          <w:sz w:val="24"/>
          <w:szCs w:val="24"/>
        </w:rPr>
        <w:t>注：</w:t>
      </w:r>
    </w:p>
    <w:p>
      <w:pPr>
        <w:spacing w:line="540" w:lineRule="exact"/>
        <w:rPr>
          <w:rFonts w:ascii="宋体" w:hAnsi="宋体"/>
          <w:b/>
          <w:sz w:val="24"/>
          <w:szCs w:val="24"/>
        </w:rPr>
      </w:pPr>
      <w:r>
        <w:rPr>
          <w:rFonts w:hint="eastAsia" w:ascii="宋体" w:hAnsi="宋体"/>
          <w:b/>
          <w:sz w:val="24"/>
          <w:szCs w:val="24"/>
        </w:rPr>
        <w:t>1、 开标一览表供货期与投标文件中内容不一致的以 开标一览表为准。</w:t>
      </w:r>
    </w:p>
    <w:p>
      <w:pPr>
        <w:spacing w:line="540" w:lineRule="exact"/>
        <w:rPr>
          <w:rFonts w:ascii="宋体" w:hAnsi="宋体"/>
          <w:b/>
          <w:sz w:val="24"/>
          <w:szCs w:val="24"/>
        </w:rPr>
      </w:pPr>
      <w:r>
        <w:rPr>
          <w:rFonts w:hint="eastAsia" w:ascii="宋体" w:hAnsi="宋体"/>
          <w:b/>
          <w:sz w:val="24"/>
          <w:szCs w:val="24"/>
        </w:rPr>
        <w:t>2、《 开标一览表》是在开标后由评委自行查验的内容，必须按格式填写、统一规范。如未按以上格式填写，评委会有权做出无效标处理。</w:t>
      </w:r>
    </w:p>
    <w:p/>
    <w:p>
      <w:pPr>
        <w:rPr>
          <w:rFonts w:hint="eastAsia"/>
        </w:rPr>
      </w:pPr>
    </w:p>
    <w:p/>
    <w:p>
      <w:pPr>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（盖单位公章）</w:t>
      </w:r>
    </w:p>
    <w:p>
      <w:pPr>
        <w:rPr>
          <w:rFonts w:hint="eastAsia"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Start w:id="47" w:name="_Toc435773298"/>
      <w:bookmarkStart w:id="48" w:name="_Toc433274950"/>
      <w:bookmarkStart w:id="49" w:name="_Toc433183049"/>
    </w:p>
    <w:p>
      <w:pPr>
        <w:rPr>
          <w:rFonts w:hint="eastAsia" w:ascii="宋体" w:hAnsi="宋体"/>
          <w:sz w:val="28"/>
          <w:szCs w:val="28"/>
        </w:rPr>
      </w:pPr>
    </w:p>
    <w:p>
      <w:pPr>
        <w:rPr>
          <w:rFonts w:hint="eastAsia" w:ascii="宋体" w:hAnsi="宋体"/>
          <w:sz w:val="28"/>
          <w:szCs w:val="28"/>
        </w:rPr>
      </w:pPr>
    </w:p>
    <w:p>
      <w:pPr>
        <w:spacing w:line="720" w:lineRule="auto"/>
        <w:jc w:val="center"/>
        <w:rPr>
          <w:rFonts w:hint="eastAsia" w:ascii="宋体" w:hAnsi="宋体"/>
          <w:b/>
          <w:color w:val="000000"/>
          <w:sz w:val="32"/>
          <w:szCs w:val="32"/>
        </w:rPr>
      </w:pPr>
    </w:p>
    <w:p>
      <w:pPr>
        <w:spacing w:line="720" w:lineRule="auto"/>
        <w:jc w:val="center"/>
        <w:rPr>
          <w:rFonts w:ascii="宋体" w:hAnsi="宋体"/>
          <w:b/>
          <w:color w:val="000000"/>
          <w:sz w:val="32"/>
          <w:szCs w:val="32"/>
        </w:rPr>
      </w:pPr>
      <w:r>
        <w:rPr>
          <w:rFonts w:hint="eastAsia" w:ascii="宋体" w:hAnsi="宋体"/>
          <w:b/>
          <w:color w:val="000000"/>
          <w:sz w:val="32"/>
          <w:szCs w:val="32"/>
        </w:rPr>
        <w:t>二、投标函</w:t>
      </w:r>
      <w:bookmarkEnd w:id="47"/>
      <w:bookmarkEnd w:id="48"/>
      <w:bookmarkEnd w:id="49"/>
    </w:p>
    <w:p>
      <w:pPr>
        <w:spacing w:line="440" w:lineRule="exact"/>
        <w:rPr>
          <w:rFonts w:ascii="宋体" w:hAnsi="宋体"/>
          <w:sz w:val="24"/>
          <w:szCs w:val="28"/>
        </w:rPr>
      </w:pPr>
      <w:bookmarkStart w:id="50" w:name="_Toc272141475"/>
      <w:bookmarkStart w:id="51" w:name="_Toc273039285"/>
      <w:bookmarkStart w:id="52" w:name="_Hlk450185766"/>
      <w:r>
        <w:rPr>
          <w:rFonts w:hint="eastAsia" w:ascii="宋体" w:hAnsi="宋体"/>
          <w:sz w:val="24"/>
          <w:szCs w:val="28"/>
        </w:rPr>
        <w:t>致：宁国水务有限公司：</w:t>
      </w:r>
    </w:p>
    <w:p>
      <w:pPr>
        <w:tabs>
          <w:tab w:val="left" w:pos="7560"/>
        </w:tabs>
        <w:spacing w:line="560" w:lineRule="exact"/>
        <w:jc w:val="center"/>
        <w:rPr>
          <w:rFonts w:hint="eastAsia" w:ascii="宋体" w:hAnsi="宋体"/>
          <w:sz w:val="24"/>
          <w:szCs w:val="28"/>
        </w:rPr>
      </w:pPr>
      <w:r>
        <w:rPr>
          <w:rFonts w:hint="eastAsia" w:ascii="宋体" w:hAnsi="宋体"/>
          <w:sz w:val="24"/>
          <w:szCs w:val="28"/>
        </w:rPr>
        <w:t>根据贵方【项目名称：</w:t>
      </w:r>
      <w:r>
        <w:rPr>
          <w:rFonts w:hint="eastAsia" w:ascii="仿宋_GB2312" w:hAnsi="宋体" w:eastAsia="仿宋_GB2312"/>
          <w:sz w:val="28"/>
          <w:u w:val="single"/>
          <w:lang w:eastAsia="zh-CN"/>
        </w:rPr>
        <w:t>宁国水务有限公司2024年度PE、PPR管材、管件采购项目</w:t>
      </w:r>
      <w:r>
        <w:rPr>
          <w:rFonts w:hint="eastAsia" w:ascii="宋体" w:hAnsi="宋体"/>
          <w:sz w:val="24"/>
          <w:szCs w:val="28"/>
        </w:rPr>
        <w:t>】招标文件的要求，经详细审阅和研究，我方完全理解并同意放弃对这方面</w:t>
      </w:r>
    </w:p>
    <w:p>
      <w:pPr>
        <w:tabs>
          <w:tab w:val="left" w:pos="7560"/>
        </w:tabs>
        <w:spacing w:line="560" w:lineRule="exact"/>
        <w:jc w:val="both"/>
        <w:rPr>
          <w:rFonts w:ascii="宋体" w:hAnsi="宋体"/>
          <w:sz w:val="24"/>
          <w:szCs w:val="28"/>
        </w:rPr>
      </w:pPr>
      <w:r>
        <w:rPr>
          <w:rFonts w:hint="eastAsia" w:ascii="宋体" w:hAnsi="宋体"/>
          <w:sz w:val="24"/>
          <w:szCs w:val="28"/>
        </w:rPr>
        <w:t>有不明及误解的权利。</w:t>
      </w:r>
    </w:p>
    <w:p>
      <w:pPr>
        <w:spacing w:line="440" w:lineRule="exact"/>
        <w:ind w:firstLine="480" w:firstLineChars="200"/>
        <w:rPr>
          <w:rFonts w:ascii="宋体" w:hAnsi="宋体"/>
          <w:sz w:val="24"/>
          <w:szCs w:val="28"/>
        </w:rPr>
      </w:pPr>
      <w:r>
        <w:rPr>
          <w:rFonts w:hint="eastAsia" w:ascii="宋体" w:hAnsi="宋体"/>
          <w:sz w:val="24"/>
          <w:szCs w:val="28"/>
        </w:rPr>
        <w:t>1、我方愿按照招标文件中的要求进行投标，提供所需的货物及一切相关服务。</w:t>
      </w:r>
    </w:p>
    <w:p>
      <w:pPr>
        <w:spacing w:line="400" w:lineRule="exact"/>
        <w:ind w:left="479" w:leftChars="228"/>
        <w:rPr>
          <w:rFonts w:ascii="宋体" w:hAnsi="宋体"/>
          <w:b/>
          <w:sz w:val="24"/>
          <w:szCs w:val="24"/>
        </w:rPr>
      </w:pPr>
      <w:r>
        <w:rPr>
          <w:rFonts w:hint="eastAsia" w:ascii="宋体" w:hAnsi="宋体"/>
          <w:b/>
          <w:sz w:val="24"/>
          <w:szCs w:val="28"/>
        </w:rPr>
        <w:t>2、</w:t>
      </w:r>
      <w:r>
        <w:rPr>
          <w:rFonts w:hint="eastAsia" w:ascii="宋体" w:hAnsi="宋体"/>
          <w:b/>
          <w:sz w:val="24"/>
          <w:szCs w:val="24"/>
        </w:rPr>
        <w:t>投标报价包含了交付使用前的全部费用，填报的单价包括货物购置费（包括所有主材、附件、备品备件及专用工具费等）、制作费、保险费、运输费、质保期内的维修费、验收费用、风险费、成品包装费、成品保护费及招标文件中要求的相关费用</w:t>
      </w:r>
      <w:r>
        <w:rPr>
          <w:rFonts w:ascii="宋体" w:hAnsi="宋体"/>
          <w:b/>
          <w:sz w:val="24"/>
          <w:szCs w:val="24"/>
        </w:rPr>
        <w:t xml:space="preserve"> </w:t>
      </w:r>
      <w:r>
        <w:rPr>
          <w:rFonts w:hint="eastAsia" w:ascii="宋体" w:hAnsi="宋体"/>
          <w:b/>
          <w:sz w:val="24"/>
          <w:szCs w:val="24"/>
        </w:rPr>
        <w:t>（如包装费、仓储费、保管费及质保服务费、资料费、以及完成本项目所需要的其他费用）及所有税金及合理利润等。</w:t>
      </w:r>
    </w:p>
    <w:p>
      <w:pPr>
        <w:spacing w:line="440" w:lineRule="exact"/>
        <w:ind w:firstLine="480" w:firstLineChars="200"/>
        <w:rPr>
          <w:rFonts w:ascii="宋体" w:hAnsi="宋体"/>
          <w:sz w:val="24"/>
          <w:szCs w:val="28"/>
        </w:rPr>
      </w:pPr>
      <w:r>
        <w:rPr>
          <w:rFonts w:hint="eastAsia" w:ascii="宋体" w:hAnsi="宋体"/>
          <w:sz w:val="24"/>
          <w:szCs w:val="28"/>
        </w:rPr>
        <w:t>3、我方如果</w:t>
      </w:r>
      <w:r>
        <w:rPr>
          <w:rFonts w:hint="eastAsia" w:ascii="宋体" w:hAnsi="宋体"/>
          <w:color w:val="000000"/>
          <w:sz w:val="24"/>
          <w:szCs w:val="28"/>
        </w:rPr>
        <w:t>中标，保</w:t>
      </w:r>
      <w:r>
        <w:rPr>
          <w:rFonts w:hint="eastAsia" w:ascii="宋体" w:hAnsi="宋体"/>
          <w:sz w:val="24"/>
          <w:szCs w:val="28"/>
        </w:rPr>
        <w:t>证做到以下承诺：</w:t>
      </w:r>
    </w:p>
    <w:p>
      <w:pPr>
        <w:spacing w:line="440" w:lineRule="exact"/>
        <w:ind w:firstLine="480" w:firstLineChars="200"/>
        <w:rPr>
          <w:rFonts w:ascii="宋体" w:hAnsi="宋体"/>
          <w:sz w:val="24"/>
          <w:szCs w:val="28"/>
        </w:rPr>
      </w:pPr>
      <w:r>
        <w:rPr>
          <w:rFonts w:hint="eastAsia" w:ascii="宋体" w:hAnsi="宋体"/>
          <w:sz w:val="24"/>
          <w:szCs w:val="28"/>
        </w:rPr>
        <w:t>（1）提供最新制造的货物，提供货物制造厂家的原装合格正品，不截留、调换任何配件、部件或其他任何随机配备的附属资料。</w:t>
      </w:r>
    </w:p>
    <w:p>
      <w:pPr>
        <w:spacing w:line="440" w:lineRule="exact"/>
        <w:ind w:firstLine="480" w:firstLineChars="200"/>
        <w:rPr>
          <w:rFonts w:ascii="宋体" w:hAnsi="宋体"/>
          <w:sz w:val="24"/>
          <w:szCs w:val="28"/>
        </w:rPr>
      </w:pPr>
      <w:r>
        <w:rPr>
          <w:rFonts w:hint="eastAsia" w:ascii="宋体" w:hAnsi="宋体"/>
          <w:sz w:val="24"/>
          <w:szCs w:val="28"/>
        </w:rPr>
        <w:t>（2）保证货物来自合法途径，供货时向招标人提供相关证明材料，进口的部件配件提供中国海关进口货物报关单、完税证明及商检证明等材料。</w:t>
      </w:r>
    </w:p>
    <w:p>
      <w:pPr>
        <w:spacing w:line="440" w:lineRule="exact"/>
        <w:ind w:firstLine="480" w:firstLineChars="200"/>
        <w:rPr>
          <w:rFonts w:ascii="宋体" w:hAnsi="宋体"/>
          <w:sz w:val="24"/>
          <w:szCs w:val="28"/>
        </w:rPr>
      </w:pPr>
      <w:r>
        <w:rPr>
          <w:rFonts w:hint="eastAsia" w:ascii="宋体" w:hAnsi="宋体"/>
          <w:sz w:val="24"/>
          <w:szCs w:val="28"/>
        </w:rPr>
        <w:t>（3）保证用户在使用我方货物或其任何一部分时不受到第三方提出侵犯专利权、版权、商标权和工业设计权的起诉。一旦出现侵权，由我方负全部责任。</w:t>
      </w:r>
    </w:p>
    <w:p>
      <w:pPr>
        <w:spacing w:line="440" w:lineRule="exact"/>
        <w:ind w:firstLine="480" w:firstLineChars="200"/>
        <w:rPr>
          <w:rFonts w:ascii="宋体" w:hAnsi="宋体"/>
          <w:sz w:val="24"/>
          <w:szCs w:val="28"/>
        </w:rPr>
      </w:pPr>
      <w:r>
        <w:rPr>
          <w:rFonts w:hint="eastAsia" w:ascii="宋体" w:hAnsi="宋体"/>
          <w:sz w:val="24"/>
          <w:szCs w:val="28"/>
        </w:rPr>
        <w:t>（4）在供货的同时，向招标人提供由我方开具的正规销售发票。</w:t>
      </w:r>
    </w:p>
    <w:p>
      <w:pPr>
        <w:spacing w:line="440" w:lineRule="exact"/>
        <w:ind w:firstLine="480" w:firstLineChars="200"/>
        <w:rPr>
          <w:rFonts w:ascii="宋体" w:hAnsi="宋体"/>
          <w:sz w:val="24"/>
          <w:szCs w:val="28"/>
        </w:rPr>
      </w:pPr>
      <w:r>
        <w:rPr>
          <w:rFonts w:hint="eastAsia" w:ascii="宋体" w:hAnsi="宋体"/>
          <w:sz w:val="24"/>
          <w:szCs w:val="28"/>
        </w:rPr>
        <w:t>（5）保证用户在使用我方货物或其任何一部分时不受到第三方提出侵犯专利权、版权、商标权和工业设计权的起诉。一旦出现侵权，由我方负全部责任。</w:t>
      </w:r>
    </w:p>
    <w:p>
      <w:pPr>
        <w:spacing w:line="440" w:lineRule="exact"/>
        <w:ind w:firstLine="480" w:firstLineChars="200"/>
        <w:rPr>
          <w:rFonts w:ascii="宋体" w:hAnsi="宋体"/>
          <w:sz w:val="24"/>
          <w:szCs w:val="28"/>
        </w:rPr>
      </w:pPr>
      <w:r>
        <w:rPr>
          <w:rFonts w:hint="eastAsia" w:ascii="宋体" w:hAnsi="宋体"/>
          <w:bCs/>
          <w:sz w:val="24"/>
          <w:szCs w:val="28"/>
        </w:rPr>
        <w:t>4、</w:t>
      </w:r>
      <w:r>
        <w:rPr>
          <w:rFonts w:hint="eastAsia" w:ascii="宋体" w:hAnsi="宋体"/>
          <w:sz w:val="24"/>
          <w:szCs w:val="28"/>
        </w:rPr>
        <w:t>对于接触到招标人的相关信息负有保密义务，不向他人透露。</w:t>
      </w:r>
    </w:p>
    <w:p>
      <w:pPr>
        <w:spacing w:line="440" w:lineRule="exact"/>
        <w:ind w:firstLine="480" w:firstLineChars="200"/>
        <w:rPr>
          <w:rFonts w:ascii="宋体" w:hAnsi="宋体"/>
          <w:bCs/>
          <w:sz w:val="24"/>
          <w:szCs w:val="28"/>
        </w:rPr>
      </w:pPr>
      <w:r>
        <w:rPr>
          <w:rFonts w:hint="eastAsia" w:ascii="宋体" w:hAnsi="宋体"/>
          <w:bCs/>
          <w:sz w:val="24"/>
          <w:szCs w:val="28"/>
        </w:rPr>
        <w:t>5、售后服务响应时间，</w:t>
      </w:r>
      <w:r>
        <w:rPr>
          <w:rFonts w:hint="eastAsia" w:ascii="宋体" w:hAnsi="宋体"/>
          <w:sz w:val="24"/>
        </w:rPr>
        <w:t>中标人保证在接报修电话</w:t>
      </w:r>
      <w:r>
        <w:rPr>
          <w:rFonts w:hint="eastAsia" w:ascii="宋体" w:hAnsi="宋体"/>
          <w:sz w:val="24"/>
          <w:u w:val="single"/>
        </w:rPr>
        <w:t xml:space="preserve">    </w:t>
      </w:r>
      <w:r>
        <w:rPr>
          <w:rFonts w:hint="eastAsia" w:ascii="宋体" w:hAnsi="宋体"/>
          <w:sz w:val="24"/>
        </w:rPr>
        <w:t>小时内作出响应，在接到报修电话后</w:t>
      </w:r>
      <w:r>
        <w:rPr>
          <w:rFonts w:hint="eastAsia" w:ascii="宋体" w:hAnsi="宋体"/>
          <w:sz w:val="24"/>
          <w:u w:val="single"/>
        </w:rPr>
        <w:t xml:space="preserve">    </w:t>
      </w:r>
      <w:r>
        <w:rPr>
          <w:rFonts w:hint="eastAsia" w:ascii="宋体" w:hAnsi="宋体"/>
          <w:sz w:val="24"/>
        </w:rPr>
        <w:t>日内派有能力、经验丰富的技术人员到现场处理。</w:t>
      </w:r>
    </w:p>
    <w:p>
      <w:pPr>
        <w:spacing w:line="440" w:lineRule="exact"/>
        <w:ind w:firstLine="480" w:firstLineChars="200"/>
        <w:rPr>
          <w:rFonts w:ascii="宋体" w:hAnsi="宋体"/>
          <w:bCs/>
          <w:sz w:val="24"/>
          <w:szCs w:val="28"/>
        </w:rPr>
      </w:pPr>
      <w:r>
        <w:rPr>
          <w:rFonts w:hint="eastAsia" w:ascii="宋体" w:hAnsi="宋体"/>
          <w:bCs/>
          <w:sz w:val="24"/>
          <w:szCs w:val="28"/>
        </w:rPr>
        <w:t>6、售后服务：</w:t>
      </w:r>
    </w:p>
    <w:p>
      <w:pPr>
        <w:spacing w:line="440" w:lineRule="exact"/>
        <w:ind w:firstLine="480" w:firstLineChars="200"/>
        <w:rPr>
          <w:rFonts w:ascii="宋体" w:hAnsi="宋体"/>
          <w:bCs/>
          <w:sz w:val="24"/>
          <w:szCs w:val="28"/>
        </w:rPr>
      </w:pPr>
      <w:r>
        <w:rPr>
          <w:rFonts w:hint="eastAsia" w:ascii="宋体" w:hAnsi="宋体"/>
          <w:bCs/>
          <w:sz w:val="24"/>
          <w:szCs w:val="28"/>
        </w:rPr>
        <w:t>（1）我方保证做到用户至上、诚实信用、热情耐心、服务周到及时。</w:t>
      </w:r>
    </w:p>
    <w:p>
      <w:pPr>
        <w:spacing w:line="440" w:lineRule="exact"/>
        <w:ind w:firstLine="480" w:firstLineChars="200"/>
        <w:rPr>
          <w:rFonts w:ascii="宋体" w:hAnsi="宋体"/>
          <w:bCs/>
          <w:sz w:val="24"/>
          <w:szCs w:val="28"/>
        </w:rPr>
      </w:pPr>
      <w:r>
        <w:rPr>
          <w:rFonts w:hint="eastAsia" w:ascii="宋体" w:hAnsi="宋体"/>
          <w:bCs/>
          <w:sz w:val="24"/>
          <w:szCs w:val="28"/>
        </w:rPr>
        <w:t>（2）提供货物的制造厂家所提供的所有标准服务。</w:t>
      </w:r>
    </w:p>
    <w:p>
      <w:pPr>
        <w:spacing w:line="440" w:lineRule="exact"/>
        <w:ind w:firstLine="480" w:firstLineChars="200"/>
        <w:rPr>
          <w:rFonts w:ascii="宋体" w:hAnsi="宋体"/>
          <w:bCs/>
          <w:sz w:val="24"/>
          <w:szCs w:val="28"/>
        </w:rPr>
      </w:pPr>
      <w:r>
        <w:rPr>
          <w:rFonts w:hint="eastAsia" w:ascii="宋体" w:hAnsi="宋体"/>
          <w:sz w:val="24"/>
          <w:szCs w:val="28"/>
        </w:rPr>
        <w:t>（3）</w:t>
      </w:r>
      <w:r>
        <w:rPr>
          <w:rFonts w:hint="eastAsia" w:ascii="宋体" w:hAnsi="宋体"/>
          <w:bCs/>
          <w:sz w:val="24"/>
          <w:szCs w:val="28"/>
        </w:rPr>
        <w:t>无论货物是否由我方制造，发生故障时，招标人有权直接与我方联系，要求我方上门服务，我方不以任何借口推托。</w:t>
      </w:r>
    </w:p>
    <w:p>
      <w:pPr>
        <w:spacing w:line="440" w:lineRule="exact"/>
        <w:ind w:firstLine="480" w:firstLineChars="200"/>
        <w:rPr>
          <w:rFonts w:ascii="宋体" w:hAnsi="宋体"/>
          <w:bCs/>
          <w:sz w:val="24"/>
          <w:szCs w:val="28"/>
        </w:rPr>
      </w:pPr>
      <w:r>
        <w:rPr>
          <w:rFonts w:hint="eastAsia" w:ascii="宋体" w:hAnsi="宋体"/>
          <w:bCs/>
          <w:sz w:val="24"/>
          <w:szCs w:val="28"/>
        </w:rPr>
        <w:t>（4）</w:t>
      </w:r>
      <w:r>
        <w:rPr>
          <w:rFonts w:hint="eastAsia" w:ascii="宋体" w:hAnsi="宋体"/>
          <w:sz w:val="24"/>
          <w:szCs w:val="28"/>
        </w:rPr>
        <w:t>质保期内的所有维修、保养服务都是免费的（招标人人为损坏的除外），超过质保期的维修服务我方只收取成本费用。</w:t>
      </w:r>
    </w:p>
    <w:p>
      <w:pPr>
        <w:spacing w:line="440" w:lineRule="exact"/>
        <w:ind w:firstLine="480" w:firstLineChars="200"/>
        <w:rPr>
          <w:rFonts w:ascii="宋体" w:hAnsi="宋体"/>
          <w:sz w:val="24"/>
          <w:szCs w:val="28"/>
        </w:rPr>
      </w:pPr>
      <w:r>
        <w:rPr>
          <w:rFonts w:hint="eastAsia" w:ascii="宋体" w:hAnsi="宋体"/>
          <w:sz w:val="24"/>
          <w:szCs w:val="28"/>
        </w:rPr>
        <w:t>7、我方保证货物和服务达到招标文件所要求的所有功能和技术要求。</w:t>
      </w:r>
    </w:p>
    <w:p>
      <w:pPr>
        <w:spacing w:line="440" w:lineRule="exact"/>
        <w:ind w:firstLine="460" w:firstLineChars="192"/>
        <w:rPr>
          <w:rFonts w:ascii="宋体" w:hAnsi="宋体"/>
          <w:sz w:val="24"/>
          <w:szCs w:val="28"/>
        </w:rPr>
      </w:pPr>
      <w:r>
        <w:rPr>
          <w:rFonts w:hint="eastAsia" w:ascii="宋体" w:hAnsi="宋体"/>
          <w:sz w:val="24"/>
          <w:szCs w:val="28"/>
        </w:rPr>
        <w:t>8、我方保证如对招标文件有任何疑问，都必须在规定的时间内提出，逾期不针对招标文件提出任何质疑和投诉。</w:t>
      </w:r>
    </w:p>
    <w:p>
      <w:pPr>
        <w:spacing w:line="440" w:lineRule="exact"/>
        <w:ind w:firstLine="480" w:firstLineChars="200"/>
        <w:rPr>
          <w:rFonts w:ascii="宋体" w:hAnsi="宋体"/>
          <w:sz w:val="24"/>
          <w:szCs w:val="28"/>
        </w:rPr>
      </w:pPr>
      <w:r>
        <w:rPr>
          <w:rFonts w:hint="eastAsia" w:ascii="宋体" w:hAnsi="宋体"/>
          <w:sz w:val="24"/>
          <w:szCs w:val="28"/>
        </w:rPr>
        <w:t>9、</w:t>
      </w:r>
      <w:r>
        <w:rPr>
          <w:rFonts w:hint="eastAsia" w:ascii="宋体" w:hAnsi="宋体"/>
          <w:color w:val="000000"/>
          <w:sz w:val="24"/>
          <w:szCs w:val="28"/>
        </w:rPr>
        <w:t>我方对所提供的货</w:t>
      </w:r>
      <w:r>
        <w:rPr>
          <w:rFonts w:hint="eastAsia" w:ascii="宋体" w:hAnsi="宋体"/>
          <w:sz w:val="24"/>
          <w:szCs w:val="28"/>
        </w:rPr>
        <w:t>物免费质保期与开标一览表所报免费质保期完全一致。</w:t>
      </w:r>
    </w:p>
    <w:p>
      <w:pPr>
        <w:spacing w:line="440" w:lineRule="exact"/>
        <w:ind w:firstLine="480" w:firstLineChars="200"/>
        <w:rPr>
          <w:rFonts w:ascii="宋体" w:hAnsi="宋体"/>
          <w:sz w:val="24"/>
          <w:szCs w:val="28"/>
        </w:rPr>
      </w:pPr>
      <w:r>
        <w:rPr>
          <w:rFonts w:hint="eastAsia" w:ascii="宋体" w:hAnsi="宋体"/>
          <w:sz w:val="24"/>
          <w:szCs w:val="28"/>
        </w:rPr>
        <w:t>10、我方同意投标人须知前附表规定的投标有效期，在此期间，本投标文件始终对我们具有约束力，并可随时被接受。</w:t>
      </w:r>
    </w:p>
    <w:p>
      <w:pPr>
        <w:spacing w:line="400" w:lineRule="exact"/>
        <w:ind w:firstLine="480" w:firstLineChars="200"/>
        <w:rPr>
          <w:rFonts w:ascii="宋体" w:hAnsi="宋体"/>
          <w:sz w:val="24"/>
          <w:szCs w:val="28"/>
        </w:rPr>
      </w:pPr>
      <w:r>
        <w:rPr>
          <w:rFonts w:hint="eastAsia" w:ascii="宋体" w:hAnsi="宋体"/>
          <w:sz w:val="24"/>
          <w:szCs w:val="28"/>
        </w:rPr>
        <w:t>11、招标人如需考察我方或用户，我方给予积极配合。</w:t>
      </w:r>
    </w:p>
    <w:p>
      <w:pPr>
        <w:spacing w:line="400" w:lineRule="exact"/>
        <w:ind w:firstLine="482" w:firstLineChars="200"/>
        <w:rPr>
          <w:rFonts w:hint="eastAsia" w:ascii="宋体" w:hAnsi="宋体"/>
          <w:b/>
          <w:sz w:val="24"/>
          <w:szCs w:val="28"/>
        </w:rPr>
      </w:pPr>
      <w:r>
        <w:rPr>
          <w:rFonts w:hint="eastAsia" w:ascii="宋体" w:hAnsi="宋体"/>
          <w:b/>
          <w:sz w:val="24"/>
          <w:szCs w:val="28"/>
        </w:rPr>
        <w:t>12、我方本次投标所提供的资料都是真实、有效的，并同意可以进一步提供与本次投标有关的资质证书及其他资料的原件。如有虚假或不实之处，招标人有权取消我方的中标候选人或中标人资格。</w:t>
      </w:r>
    </w:p>
    <w:p>
      <w:pPr>
        <w:spacing w:line="400" w:lineRule="exact"/>
        <w:ind w:firstLine="480" w:firstLineChars="200"/>
        <w:rPr>
          <w:rFonts w:hint="eastAsia" w:ascii="宋体" w:hAnsi="宋体"/>
          <w:sz w:val="24"/>
          <w:szCs w:val="28"/>
        </w:rPr>
      </w:pPr>
      <w:r>
        <w:rPr>
          <w:rFonts w:hint="eastAsia" w:ascii="宋体" w:hAnsi="宋体"/>
          <w:sz w:val="24"/>
          <w:szCs w:val="28"/>
        </w:rPr>
        <w:t>13、我方理解贵方无义务必须接受有效报价最低的投标，并有权拒绝所有的投标人。</w:t>
      </w:r>
    </w:p>
    <w:p>
      <w:pPr>
        <w:spacing w:line="400" w:lineRule="exact"/>
        <w:ind w:firstLine="480" w:firstLineChars="200"/>
        <w:rPr>
          <w:rFonts w:ascii="宋体" w:hAnsi="宋体"/>
          <w:sz w:val="24"/>
          <w:szCs w:val="28"/>
        </w:rPr>
      </w:pPr>
      <w:r>
        <w:rPr>
          <w:rFonts w:hint="eastAsia" w:ascii="宋体" w:hAnsi="宋体"/>
          <w:sz w:val="24"/>
          <w:szCs w:val="28"/>
        </w:rPr>
        <w:t>14、我方提供以下开户行、账号，供结算合同款（如果中标）：</w:t>
      </w:r>
    </w:p>
    <w:p>
      <w:pPr>
        <w:spacing w:line="440" w:lineRule="exact"/>
        <w:ind w:firstLine="440" w:firstLineChars="200"/>
        <w:rPr>
          <w:rFonts w:hint="eastAsia" w:ascii="宋体" w:hAnsi="宋体"/>
          <w:sz w:val="22"/>
          <w:szCs w:val="24"/>
          <w:u w:val="single"/>
        </w:rPr>
      </w:pPr>
      <w:bookmarkStart w:id="53" w:name="_Toc272218557"/>
      <w:r>
        <w:rPr>
          <w:rFonts w:hint="eastAsia" w:ascii="宋体" w:hAnsi="宋体"/>
          <w:sz w:val="22"/>
          <w:szCs w:val="24"/>
        </w:rPr>
        <w:t>户名（全称）：</w:t>
      </w:r>
      <w:r>
        <w:rPr>
          <w:rFonts w:hint="eastAsia" w:ascii="宋体" w:hAnsi="宋体"/>
          <w:sz w:val="22"/>
          <w:szCs w:val="24"/>
          <w:u w:val="single"/>
        </w:rPr>
        <w:t xml:space="preserve">                                </w:t>
      </w:r>
    </w:p>
    <w:p>
      <w:pPr>
        <w:spacing w:line="440" w:lineRule="exact"/>
        <w:ind w:firstLine="440" w:firstLineChars="200"/>
        <w:rPr>
          <w:rFonts w:hint="eastAsia" w:ascii="宋体" w:hAnsi="宋体"/>
          <w:sz w:val="22"/>
          <w:szCs w:val="24"/>
        </w:rPr>
      </w:pPr>
      <w:r>
        <w:rPr>
          <w:rFonts w:hint="eastAsia" w:ascii="宋体" w:hAnsi="宋体"/>
          <w:sz w:val="22"/>
          <w:szCs w:val="24"/>
        </w:rPr>
        <w:t>开户行：</w:t>
      </w:r>
      <w:r>
        <w:rPr>
          <w:rFonts w:hint="eastAsia" w:ascii="宋体" w:hAnsi="宋体"/>
          <w:sz w:val="22"/>
          <w:szCs w:val="24"/>
          <w:u w:val="single"/>
        </w:rPr>
        <w:t xml:space="preserve">                                     </w:t>
      </w:r>
    </w:p>
    <w:p>
      <w:pPr>
        <w:spacing w:line="440" w:lineRule="exact"/>
        <w:ind w:firstLine="440" w:firstLineChars="200"/>
        <w:rPr>
          <w:rFonts w:hint="eastAsia" w:ascii="宋体" w:hAnsi="宋体"/>
          <w:sz w:val="22"/>
          <w:szCs w:val="24"/>
        </w:rPr>
      </w:pPr>
      <w:r>
        <w:rPr>
          <w:rFonts w:hint="eastAsia" w:ascii="宋体" w:hAnsi="宋体"/>
          <w:sz w:val="22"/>
          <w:szCs w:val="24"/>
        </w:rPr>
        <w:t>账号（请填完整）：</w:t>
      </w:r>
      <w:r>
        <w:rPr>
          <w:rFonts w:hint="eastAsia" w:ascii="宋体" w:hAnsi="宋体"/>
          <w:sz w:val="22"/>
          <w:szCs w:val="24"/>
          <w:u w:val="single"/>
        </w:rPr>
        <w:t xml:space="preserve">                            </w:t>
      </w:r>
    </w:p>
    <w:p>
      <w:pPr>
        <w:spacing w:line="360" w:lineRule="exact"/>
        <w:ind w:firstLine="360" w:firstLineChars="150"/>
        <w:rPr>
          <w:rFonts w:hint="eastAsia" w:ascii="宋体" w:hAnsi="宋体"/>
          <w:sz w:val="24"/>
          <w:szCs w:val="28"/>
        </w:rPr>
      </w:pPr>
      <w:r>
        <w:rPr>
          <w:rFonts w:hint="eastAsia" w:ascii="宋体" w:hAnsi="宋体"/>
          <w:color w:val="000000"/>
          <w:sz w:val="24"/>
          <w:szCs w:val="28"/>
        </w:rPr>
        <w:t>投标人：</w:t>
      </w:r>
      <w:r>
        <w:rPr>
          <w:rFonts w:hint="eastAsia" w:ascii="宋体" w:hAnsi="宋体"/>
          <w:color w:val="000000"/>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（盖单位公章）</w:t>
      </w:r>
    </w:p>
    <w:p>
      <w:pPr>
        <w:spacing w:line="440" w:lineRule="exact"/>
        <w:ind w:firstLine="360" w:firstLineChars="150"/>
        <w:rPr>
          <w:rFonts w:hint="eastAsia" w:ascii="宋体" w:hAnsi="宋体"/>
          <w:sz w:val="24"/>
          <w:szCs w:val="28"/>
        </w:rPr>
      </w:pPr>
      <w:r>
        <w:rPr>
          <w:rFonts w:hint="eastAsia" w:ascii="宋体" w:hAnsi="宋体"/>
          <w:sz w:val="24"/>
          <w:szCs w:val="28"/>
        </w:rPr>
        <w:t>法定代表人或其委托代理人：</w:t>
      </w:r>
      <w:r>
        <w:rPr>
          <w:rFonts w:hint="eastAsia" w:ascii="宋体" w:hAnsi="宋体"/>
          <w:sz w:val="24"/>
          <w:szCs w:val="28"/>
          <w:u w:val="single"/>
        </w:rPr>
        <w:t xml:space="preserve">                       </w:t>
      </w:r>
      <w:r>
        <w:rPr>
          <w:rFonts w:hint="eastAsia" w:ascii="宋体" w:hAnsi="宋体"/>
          <w:sz w:val="24"/>
          <w:szCs w:val="28"/>
        </w:rPr>
        <w:t>（签字或盖章）</w:t>
      </w:r>
    </w:p>
    <w:p>
      <w:pPr>
        <w:spacing w:line="440" w:lineRule="exact"/>
        <w:ind w:firstLine="360" w:firstLineChars="150"/>
        <w:rPr>
          <w:rFonts w:hint="eastAsia" w:ascii="宋体" w:hAnsi="宋体"/>
          <w:sz w:val="24"/>
          <w:szCs w:val="28"/>
        </w:rPr>
      </w:pPr>
      <w:r>
        <w:rPr>
          <w:rFonts w:hint="eastAsia" w:ascii="宋体" w:hAnsi="宋体"/>
          <w:sz w:val="24"/>
          <w:szCs w:val="28"/>
        </w:rPr>
        <w:t>固定电话：                           手机：</w:t>
      </w:r>
    </w:p>
    <w:p>
      <w:pPr>
        <w:spacing w:line="440" w:lineRule="exact"/>
        <w:ind w:firstLine="360" w:firstLineChars="150"/>
        <w:rPr>
          <w:rFonts w:hint="eastAsia" w:ascii="宋体" w:hAnsi="宋体"/>
          <w:sz w:val="24"/>
          <w:szCs w:val="28"/>
        </w:rPr>
      </w:pPr>
      <w:r>
        <w:rPr>
          <w:rFonts w:hint="eastAsia" w:ascii="宋体" w:hAnsi="宋体"/>
          <w:sz w:val="24"/>
          <w:szCs w:val="28"/>
        </w:rPr>
        <w:t>传真电话：                           日期：</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pPr>
        <w:spacing w:line="720" w:lineRule="auto"/>
        <w:jc w:val="center"/>
        <w:rPr>
          <w:rFonts w:ascii="宋体" w:hAnsi="宋体"/>
          <w:color w:val="000000"/>
          <w:sz w:val="32"/>
          <w:szCs w:val="32"/>
        </w:rPr>
      </w:pPr>
      <w:r>
        <w:rPr>
          <w:rFonts w:ascii="宋体" w:hAnsi="宋体"/>
          <w:b/>
          <w:sz w:val="28"/>
          <w:szCs w:val="28"/>
        </w:rPr>
        <w:br w:type="page"/>
      </w:r>
      <w:bookmarkEnd w:id="53"/>
      <w:bookmarkStart w:id="54" w:name="_Toc433274951"/>
      <w:bookmarkStart w:id="55" w:name="_Toc435773299"/>
      <w:bookmarkStart w:id="56" w:name="_Toc433183050"/>
      <w:r>
        <w:rPr>
          <w:rFonts w:hint="eastAsia" w:ascii="宋体" w:hAnsi="宋体"/>
          <w:b/>
          <w:color w:val="000000"/>
          <w:sz w:val="32"/>
          <w:szCs w:val="32"/>
        </w:rPr>
        <w:t>三、货物服务投标清单一览表</w:t>
      </w:r>
      <w:bookmarkEnd w:id="50"/>
      <w:bookmarkEnd w:id="51"/>
      <w:bookmarkEnd w:id="52"/>
      <w:bookmarkEnd w:id="54"/>
      <w:bookmarkEnd w:id="55"/>
      <w:bookmarkEnd w:id="56"/>
    </w:p>
    <w:p>
      <w:pPr>
        <w:outlineLvl w:val="1"/>
        <w:rPr>
          <w:rFonts w:hint="eastAsia" w:ascii="新宋体" w:hAnsi="新宋体" w:eastAsia="宋体"/>
          <w:kern w:val="0"/>
          <w:sz w:val="24"/>
          <w:szCs w:val="24"/>
          <w:lang w:eastAsia="zh-CN"/>
        </w:rPr>
      </w:pPr>
      <w:bookmarkStart w:id="57" w:name="_Toc435773300"/>
      <w:bookmarkStart w:id="58" w:name="_Toc476643920"/>
      <w:bookmarkStart w:id="59" w:name="_Toc468376376"/>
      <w:bookmarkStart w:id="60" w:name="_Toc435956286"/>
      <w:bookmarkStart w:id="61" w:name="_Toc435956242"/>
      <w:bookmarkStart w:id="62" w:name="_Toc474919104"/>
      <w:r>
        <w:rPr>
          <w:rFonts w:hint="eastAsia" w:ascii="宋体" w:hAnsi="宋体" w:cs="宋体"/>
          <w:kern w:val="0"/>
          <w:sz w:val="24"/>
          <w:szCs w:val="24"/>
        </w:rPr>
        <w:t>项目名称：</w:t>
      </w:r>
      <w:bookmarkEnd w:id="57"/>
      <w:bookmarkEnd w:id="58"/>
      <w:bookmarkEnd w:id="59"/>
      <w:bookmarkEnd w:id="60"/>
      <w:bookmarkEnd w:id="61"/>
      <w:bookmarkEnd w:id="62"/>
      <w:r>
        <w:rPr>
          <w:rFonts w:hint="eastAsia" w:ascii="仿宋_GB2312" w:hAnsi="宋体" w:eastAsia="仿宋_GB2312"/>
          <w:sz w:val="28"/>
          <w:u w:val="single"/>
          <w:lang w:eastAsia="zh-CN"/>
        </w:rPr>
        <w:t>宁国水务有限公司2024年度PE、PPR管材、管件采购项目</w:t>
      </w:r>
    </w:p>
    <w:tbl>
      <w:tblPr>
        <w:tblStyle w:val="49"/>
        <w:tblW w:w="938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628"/>
        <w:gridCol w:w="847"/>
        <w:gridCol w:w="2198"/>
        <w:gridCol w:w="1884"/>
        <w:gridCol w:w="1296"/>
        <w:gridCol w:w="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606" w:type="dxa"/>
            <w:vAlign w:val="center"/>
          </w:tcPr>
          <w:p>
            <w:pPr>
              <w:spacing w:line="300" w:lineRule="exact"/>
              <w:jc w:val="center"/>
              <w:rPr>
                <w:rFonts w:ascii="宋体" w:hAnsi="宋体" w:cs="Arial"/>
                <w:b/>
                <w:color w:val="FF0000"/>
                <w:sz w:val="24"/>
                <w:szCs w:val="24"/>
              </w:rPr>
            </w:pPr>
            <w:r>
              <w:rPr>
                <w:rFonts w:hint="eastAsia" w:ascii="宋体" w:hAnsi="宋体" w:cs="Arial"/>
                <w:b/>
                <w:color w:val="FF0000"/>
                <w:sz w:val="24"/>
                <w:szCs w:val="24"/>
              </w:rPr>
              <w:t>序号</w:t>
            </w:r>
          </w:p>
        </w:tc>
        <w:tc>
          <w:tcPr>
            <w:tcW w:w="1628" w:type="dxa"/>
            <w:vAlign w:val="center"/>
          </w:tcPr>
          <w:p>
            <w:pPr>
              <w:spacing w:line="300" w:lineRule="exact"/>
              <w:jc w:val="center"/>
              <w:rPr>
                <w:rFonts w:ascii="宋体" w:hAnsi="宋体" w:cs="Arial"/>
                <w:b/>
                <w:color w:val="FF0000"/>
                <w:sz w:val="24"/>
                <w:szCs w:val="24"/>
              </w:rPr>
            </w:pPr>
            <w:r>
              <w:rPr>
                <w:rFonts w:hint="eastAsia" w:ascii="宋体" w:hAnsi="宋体" w:cs="Arial"/>
                <w:b/>
                <w:color w:val="FF0000"/>
                <w:sz w:val="24"/>
                <w:szCs w:val="24"/>
              </w:rPr>
              <w:t>货物名称</w:t>
            </w:r>
          </w:p>
        </w:tc>
        <w:tc>
          <w:tcPr>
            <w:tcW w:w="847" w:type="dxa"/>
            <w:vAlign w:val="center"/>
          </w:tcPr>
          <w:p>
            <w:pPr>
              <w:spacing w:line="300" w:lineRule="exact"/>
              <w:jc w:val="center"/>
              <w:rPr>
                <w:rFonts w:ascii="宋体" w:hAnsi="宋体" w:cs="Arial"/>
                <w:b/>
                <w:color w:val="FF0000"/>
                <w:sz w:val="24"/>
                <w:szCs w:val="24"/>
              </w:rPr>
            </w:pPr>
            <w:r>
              <w:rPr>
                <w:rFonts w:hint="eastAsia" w:ascii="宋体" w:hAnsi="宋体" w:cs="Arial"/>
                <w:b/>
                <w:color w:val="FF0000"/>
                <w:sz w:val="24"/>
                <w:szCs w:val="24"/>
              </w:rPr>
              <w:t>品牌</w:t>
            </w:r>
          </w:p>
        </w:tc>
        <w:tc>
          <w:tcPr>
            <w:tcW w:w="2198" w:type="dxa"/>
            <w:vAlign w:val="center"/>
          </w:tcPr>
          <w:p>
            <w:pPr>
              <w:spacing w:line="300" w:lineRule="exact"/>
              <w:jc w:val="center"/>
              <w:rPr>
                <w:rFonts w:ascii="宋体" w:hAnsi="宋体" w:cs="Arial"/>
                <w:b/>
                <w:color w:val="FF0000"/>
                <w:sz w:val="24"/>
                <w:szCs w:val="24"/>
              </w:rPr>
            </w:pPr>
            <w:r>
              <w:rPr>
                <w:rFonts w:hint="eastAsia" w:ascii="宋体" w:hAnsi="宋体" w:cs="Arial"/>
                <w:b/>
                <w:color w:val="FF0000"/>
                <w:sz w:val="24"/>
                <w:szCs w:val="24"/>
              </w:rPr>
              <w:t>规格型号</w:t>
            </w:r>
          </w:p>
        </w:tc>
        <w:tc>
          <w:tcPr>
            <w:tcW w:w="1884" w:type="dxa"/>
            <w:vAlign w:val="center"/>
          </w:tcPr>
          <w:p>
            <w:pPr>
              <w:spacing w:line="300" w:lineRule="exact"/>
              <w:jc w:val="center"/>
              <w:rPr>
                <w:rFonts w:ascii="宋体" w:hAnsi="宋体" w:cs="Arial"/>
                <w:b/>
                <w:color w:val="FF0000"/>
                <w:sz w:val="24"/>
                <w:szCs w:val="24"/>
              </w:rPr>
            </w:pPr>
            <w:r>
              <w:rPr>
                <w:rFonts w:hint="eastAsia" w:ascii="宋体" w:hAnsi="宋体" w:cs="Arial"/>
                <w:b/>
                <w:color w:val="FF0000"/>
                <w:sz w:val="24"/>
                <w:szCs w:val="24"/>
              </w:rPr>
              <w:t>生产制造厂家</w:t>
            </w:r>
          </w:p>
        </w:tc>
        <w:tc>
          <w:tcPr>
            <w:tcW w:w="1296" w:type="dxa"/>
            <w:vAlign w:val="center"/>
          </w:tcPr>
          <w:p>
            <w:pPr>
              <w:spacing w:line="300" w:lineRule="exact"/>
              <w:jc w:val="center"/>
              <w:rPr>
                <w:rFonts w:hint="eastAsia" w:ascii="宋体" w:hAnsi="宋体" w:eastAsia="宋体" w:cs="Arial"/>
                <w:b/>
                <w:color w:val="FF0000"/>
                <w:sz w:val="24"/>
                <w:szCs w:val="24"/>
                <w:lang w:val="en-US" w:eastAsia="zh-CN"/>
              </w:rPr>
            </w:pPr>
            <w:r>
              <w:rPr>
                <w:rFonts w:hint="eastAsia" w:ascii="宋体" w:hAnsi="宋体" w:cs="Arial"/>
                <w:b/>
                <w:color w:val="FF0000"/>
                <w:sz w:val="24"/>
                <w:szCs w:val="24"/>
                <w:lang w:val="en-US" w:eastAsia="zh-CN"/>
              </w:rPr>
              <w:t>数量</w:t>
            </w:r>
          </w:p>
        </w:tc>
        <w:tc>
          <w:tcPr>
            <w:tcW w:w="924" w:type="dxa"/>
            <w:vAlign w:val="center"/>
          </w:tcPr>
          <w:p>
            <w:pPr>
              <w:spacing w:line="300" w:lineRule="exact"/>
              <w:jc w:val="center"/>
              <w:rPr>
                <w:rFonts w:ascii="宋体" w:hAnsi="宋体" w:cs="Arial"/>
                <w:b/>
                <w:color w:val="FF0000"/>
                <w:sz w:val="24"/>
                <w:szCs w:val="24"/>
              </w:rPr>
            </w:pPr>
            <w:r>
              <w:rPr>
                <w:rFonts w:hint="eastAsia" w:ascii="宋体" w:hAnsi="宋体" w:cs="Arial"/>
                <w:b/>
                <w:color w:val="FF0000"/>
                <w:sz w:val="24"/>
                <w:szCs w:val="24"/>
              </w:rPr>
              <w:t>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06" w:type="dxa"/>
            <w:vAlign w:val="center"/>
          </w:tcPr>
          <w:p>
            <w:pPr>
              <w:jc w:val="center"/>
              <w:rPr>
                <w:rFonts w:ascii="宋体" w:hAnsi="宋体"/>
                <w:color w:val="FF0000"/>
                <w:sz w:val="24"/>
                <w:szCs w:val="24"/>
              </w:rPr>
            </w:pPr>
            <w:commentRangeStart w:id="5"/>
            <w:r>
              <w:rPr>
                <w:rFonts w:hint="eastAsia" w:ascii="宋体" w:hAnsi="宋体"/>
                <w:color w:val="FF0000"/>
                <w:sz w:val="24"/>
                <w:szCs w:val="24"/>
              </w:rPr>
              <w:t>1</w:t>
            </w:r>
          </w:p>
        </w:tc>
        <w:tc>
          <w:tcPr>
            <w:tcW w:w="1628" w:type="dxa"/>
            <w:vAlign w:val="center"/>
          </w:tcPr>
          <w:p>
            <w:pPr>
              <w:spacing w:line="360" w:lineRule="auto"/>
              <w:contextualSpacing/>
              <w:jc w:val="center"/>
              <w:rPr>
                <w:rFonts w:ascii="宋体" w:hAnsi="宋体"/>
                <w:color w:val="FF0000"/>
                <w:sz w:val="18"/>
                <w:szCs w:val="18"/>
              </w:rPr>
            </w:pPr>
          </w:p>
        </w:tc>
        <w:tc>
          <w:tcPr>
            <w:tcW w:w="847" w:type="dxa"/>
            <w:vAlign w:val="center"/>
          </w:tcPr>
          <w:p>
            <w:pPr>
              <w:spacing w:line="360" w:lineRule="auto"/>
              <w:contextualSpacing/>
              <w:jc w:val="center"/>
              <w:rPr>
                <w:rFonts w:hint="eastAsia" w:ascii="宋体" w:hAnsi="宋体"/>
                <w:color w:val="FF0000"/>
                <w:sz w:val="24"/>
                <w:szCs w:val="24"/>
              </w:rPr>
            </w:pPr>
          </w:p>
        </w:tc>
        <w:tc>
          <w:tcPr>
            <w:tcW w:w="2198" w:type="dxa"/>
            <w:vAlign w:val="center"/>
          </w:tcPr>
          <w:p>
            <w:pPr>
              <w:spacing w:line="360" w:lineRule="auto"/>
              <w:contextualSpacing/>
              <w:jc w:val="center"/>
              <w:rPr>
                <w:rFonts w:hint="eastAsia" w:ascii="宋体" w:hAnsi="宋体"/>
                <w:color w:val="FF0000"/>
                <w:sz w:val="24"/>
                <w:szCs w:val="24"/>
              </w:rPr>
            </w:pPr>
          </w:p>
        </w:tc>
        <w:tc>
          <w:tcPr>
            <w:tcW w:w="1884" w:type="dxa"/>
            <w:vAlign w:val="center"/>
          </w:tcPr>
          <w:p>
            <w:pPr>
              <w:jc w:val="right"/>
              <w:rPr>
                <w:rFonts w:ascii="宋体" w:hAnsi="宋体" w:cs="宋体"/>
                <w:color w:val="FF0000"/>
                <w:szCs w:val="21"/>
              </w:rPr>
            </w:pPr>
          </w:p>
        </w:tc>
        <w:tc>
          <w:tcPr>
            <w:tcW w:w="1296" w:type="dxa"/>
            <w:vAlign w:val="center"/>
          </w:tcPr>
          <w:p>
            <w:pPr>
              <w:jc w:val="center"/>
            </w:pPr>
          </w:p>
          <w:commentRangeEnd w:id="5"/>
          <w:p>
            <w:r>
              <w:commentReference w:id="5"/>
            </w:r>
          </w:p>
        </w:tc>
        <w:tc>
          <w:tcPr>
            <w:tcW w:w="924" w:type="dxa"/>
            <w:vAlign w:val="center"/>
          </w:tcPr>
          <w:p>
            <w:pPr>
              <w:jc w:val="center"/>
              <w:rPr>
                <w:rFonts w:ascii="宋体" w:hAnsi="宋体"/>
                <w:color w:val="FF0000"/>
                <w:sz w:val="24"/>
                <w:szCs w:val="24"/>
              </w:rPr>
            </w:pPr>
          </w:p>
        </w:tc>
      </w:tr>
    </w:tbl>
    <w:p>
      <w:pPr>
        <w:adjustRightInd w:val="0"/>
        <w:snapToGrid w:val="0"/>
        <w:spacing w:line="360" w:lineRule="exact"/>
        <w:rPr>
          <w:rFonts w:ascii="宋体" w:hAnsi="宋体"/>
          <w:b/>
          <w:bCs/>
          <w:sz w:val="24"/>
          <w:szCs w:val="28"/>
        </w:rPr>
      </w:pPr>
      <w:r>
        <w:rPr>
          <w:rFonts w:hint="eastAsia" w:ascii="宋体" w:hAnsi="宋体"/>
          <w:b/>
          <w:bCs/>
          <w:sz w:val="24"/>
          <w:szCs w:val="28"/>
        </w:rPr>
        <w:t>备注：</w:t>
      </w:r>
    </w:p>
    <w:p>
      <w:pPr>
        <w:spacing w:line="360" w:lineRule="exact"/>
        <w:rPr>
          <w:rFonts w:hint="eastAsia" w:ascii="宋体" w:hAnsi="宋体"/>
          <w:b/>
          <w:bCs/>
          <w:spacing w:val="-4"/>
          <w:sz w:val="24"/>
          <w:szCs w:val="24"/>
        </w:rPr>
      </w:pPr>
      <w:r>
        <w:rPr>
          <w:rFonts w:hint="eastAsia" w:ascii="宋体" w:hAnsi="宋体"/>
          <w:b/>
          <w:bCs/>
          <w:spacing w:val="-4"/>
          <w:sz w:val="24"/>
          <w:szCs w:val="24"/>
        </w:rPr>
        <w:t>1、表中所列货物或服务为对应本项目需求的全部货物或服务。如有漏项或缺项，投标人承担全部责任。</w:t>
      </w:r>
    </w:p>
    <w:p>
      <w:pPr>
        <w:spacing w:line="360" w:lineRule="exact"/>
        <w:rPr>
          <w:rFonts w:hint="eastAsia" w:ascii="宋体" w:hAnsi="宋体"/>
          <w:sz w:val="28"/>
          <w:szCs w:val="28"/>
        </w:rPr>
      </w:pPr>
      <w:r>
        <w:rPr>
          <w:rFonts w:hint="eastAsia" w:ascii="宋体" w:hAnsi="宋体"/>
          <w:b/>
          <w:bCs/>
          <w:spacing w:val="-4"/>
          <w:sz w:val="24"/>
          <w:szCs w:val="24"/>
        </w:rPr>
        <w:t>2、重要提示：本表应严格按照招标文件中提供的采购清单中的货物名称、型号规格、单位填写，不得对招标文件中提供的采购清单货物名称、型号规格、单位进行修改或增加或减少或合并，否则，评委会有权对其投标作无效标处理。</w:t>
      </w:r>
    </w:p>
    <w:p>
      <w:pPr>
        <w:spacing w:line="360" w:lineRule="exact"/>
        <w:rPr>
          <w:rFonts w:hint="eastAsia" w:ascii="宋体" w:hAnsi="宋体"/>
          <w:sz w:val="28"/>
          <w:szCs w:val="28"/>
        </w:rPr>
      </w:pPr>
    </w:p>
    <w:p>
      <w:pPr>
        <w:spacing w:line="360" w:lineRule="exact"/>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（盖单位公章）</w:t>
      </w:r>
    </w:p>
    <w:p>
      <w:pPr>
        <w:spacing w:line="360" w:lineRule="exact"/>
        <w:rPr>
          <w:rFonts w:hint="eastAsia" w:ascii="宋体" w:hAnsi="宋体"/>
          <w:sz w:val="28"/>
          <w:szCs w:val="28"/>
        </w:rPr>
      </w:pPr>
    </w:p>
    <w:p>
      <w:pPr>
        <w:spacing w:line="360" w:lineRule="exact"/>
        <w:rPr>
          <w:rFonts w:hint="eastAsia"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exact"/>
        <w:rPr>
          <w:rFonts w:hint="eastAsia" w:ascii="宋体" w:hAnsi="宋体"/>
          <w:sz w:val="28"/>
          <w:szCs w:val="28"/>
        </w:rPr>
      </w:pPr>
    </w:p>
    <w:p>
      <w:pPr>
        <w:spacing w:line="360" w:lineRule="exact"/>
        <w:rPr>
          <w:rFonts w:hint="eastAsia" w:ascii="宋体" w:hAnsi="宋体"/>
          <w:sz w:val="28"/>
          <w:szCs w:val="28"/>
        </w:rPr>
      </w:pPr>
    </w:p>
    <w:p>
      <w:pPr>
        <w:spacing w:line="720" w:lineRule="auto"/>
        <w:jc w:val="center"/>
        <w:rPr>
          <w:rFonts w:hint="eastAsia" w:ascii="宋体" w:hAnsi="宋体"/>
          <w:b/>
          <w:color w:val="000000"/>
          <w:sz w:val="32"/>
          <w:szCs w:val="32"/>
        </w:rPr>
      </w:pPr>
      <w:bookmarkStart w:id="63" w:name="_Toc433274953"/>
      <w:bookmarkStart w:id="64" w:name="_Toc433183052"/>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ind w:firstLine="2570" w:firstLineChars="800"/>
        <w:rPr>
          <w:rFonts w:ascii="宋体" w:hAnsi="宋体"/>
          <w:b/>
          <w:color w:val="000000"/>
          <w:sz w:val="32"/>
          <w:szCs w:val="32"/>
        </w:rPr>
      </w:pPr>
      <w:r>
        <w:rPr>
          <w:rFonts w:hint="eastAsia" w:ascii="宋体" w:hAnsi="宋体"/>
          <w:b/>
          <w:color w:val="000000"/>
          <w:sz w:val="32"/>
          <w:szCs w:val="32"/>
        </w:rPr>
        <w:t>四、对商务要求的响应</w:t>
      </w:r>
      <w:bookmarkEnd w:id="63"/>
      <w:bookmarkEnd w:id="64"/>
    </w:p>
    <w:p>
      <w:pPr>
        <w:spacing w:line="480" w:lineRule="exact"/>
        <w:rPr>
          <w:rFonts w:ascii="宋体" w:hAnsi="宋体"/>
          <w:color w:val="000000"/>
          <w:sz w:val="28"/>
          <w:szCs w:val="28"/>
          <w:u w:val="single"/>
        </w:rPr>
      </w:pPr>
      <w:bookmarkStart w:id="65" w:name="_Toc272218560"/>
      <w:r>
        <w:rPr>
          <w:rFonts w:hint="eastAsia" w:ascii="宋体" w:hAnsi="宋体"/>
          <w:sz w:val="28"/>
          <w:szCs w:val="28"/>
          <w:u w:val="single"/>
        </w:rPr>
        <w:t>宁国水务有限公司</w:t>
      </w:r>
      <w:r>
        <w:rPr>
          <w:rFonts w:hint="eastAsia" w:ascii="宋体" w:hAnsi="宋体"/>
          <w:color w:val="000000"/>
          <w:sz w:val="28"/>
          <w:szCs w:val="28"/>
          <w:u w:val="single"/>
        </w:rPr>
        <w:t>：</w:t>
      </w:r>
    </w:p>
    <w:p>
      <w:pPr>
        <w:tabs>
          <w:tab w:val="left" w:pos="7560"/>
        </w:tabs>
        <w:spacing w:line="560" w:lineRule="exact"/>
        <w:jc w:val="center"/>
        <w:rPr>
          <w:rFonts w:ascii="宋体" w:hAnsi="宋体"/>
          <w:color w:val="000000"/>
          <w:sz w:val="28"/>
          <w:szCs w:val="28"/>
        </w:rPr>
      </w:pPr>
      <w:r>
        <w:rPr>
          <w:rFonts w:hint="eastAsia" w:ascii="宋体" w:hAnsi="宋体"/>
          <w:color w:val="000000"/>
          <w:sz w:val="28"/>
          <w:szCs w:val="28"/>
        </w:rPr>
        <w:t>经过认真研究《</w:t>
      </w:r>
      <w:r>
        <w:rPr>
          <w:rFonts w:hint="eastAsia" w:ascii="仿宋_GB2312" w:hAnsi="宋体" w:eastAsia="仿宋_GB2312"/>
          <w:sz w:val="28"/>
          <w:u w:val="single"/>
          <w:lang w:eastAsia="zh-CN"/>
        </w:rPr>
        <w:t>宁国水务有限公司2024年度PE、PPR管材、管件采购项目</w:t>
      </w:r>
      <w:r>
        <w:rPr>
          <w:rFonts w:hint="eastAsia" w:ascii="宋体" w:hAnsi="宋体"/>
          <w:color w:val="000000"/>
          <w:sz w:val="28"/>
          <w:szCs w:val="28"/>
        </w:rPr>
        <w:t>》招标文件中所列商务要求，我公司确认，对招标文件所列商务要求，除下列商务要求偏离表所列情况外，我方响应情况全部为“     ”。</w:t>
      </w:r>
    </w:p>
    <w:p>
      <w:pPr>
        <w:spacing w:line="360" w:lineRule="auto"/>
        <w:jc w:val="center"/>
        <w:rPr>
          <w:rFonts w:ascii="宋体" w:hAnsi="宋体"/>
          <w:color w:val="000000"/>
          <w:sz w:val="28"/>
          <w:szCs w:val="28"/>
        </w:rPr>
      </w:pPr>
      <w:r>
        <w:rPr>
          <w:rFonts w:hint="eastAsia" w:ascii="宋体" w:hAnsi="宋体"/>
          <w:color w:val="000000"/>
          <w:sz w:val="28"/>
          <w:szCs w:val="28"/>
        </w:rPr>
        <w:t>商务要求偏离表</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1980"/>
        <w:gridCol w:w="270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序号</w:t>
            </w:r>
          </w:p>
        </w:tc>
        <w:tc>
          <w:tcPr>
            <w:tcW w:w="1620"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招标文件中商务要求条款号</w:t>
            </w:r>
          </w:p>
        </w:tc>
        <w:tc>
          <w:tcPr>
            <w:tcW w:w="1980"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招标文件中商务要求</w:t>
            </w:r>
          </w:p>
        </w:tc>
        <w:tc>
          <w:tcPr>
            <w:tcW w:w="2700"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投标人的响应内容</w:t>
            </w:r>
          </w:p>
        </w:tc>
        <w:tc>
          <w:tcPr>
            <w:tcW w:w="1601" w:type="dxa"/>
            <w:vAlign w:val="center"/>
          </w:tcPr>
          <w:p>
            <w:pPr>
              <w:spacing w:line="240" w:lineRule="atLeast"/>
              <w:rPr>
                <w:rFonts w:ascii="宋体" w:hAnsi="宋体"/>
                <w:sz w:val="28"/>
                <w:szCs w:val="28"/>
              </w:rPr>
            </w:pPr>
            <w:r>
              <w:rPr>
                <w:rFonts w:ascii="宋体" w:hAnsi="宋体" w:cs="Arial"/>
                <w:sz w:val="28"/>
                <w:szCs w:val="28"/>
              </w:rPr>
              <w:t>偏离及影响</w:t>
            </w:r>
            <w:r>
              <w:rPr>
                <w:rFonts w:hint="eastAsia" w:ascii="宋体" w:hAnsi="宋体" w:cs="Arial"/>
                <w:sz w:val="28"/>
                <w:szCs w:val="28"/>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1</w:t>
            </w:r>
          </w:p>
        </w:tc>
        <w:tc>
          <w:tcPr>
            <w:tcW w:w="1620" w:type="dxa"/>
            <w:vAlign w:val="center"/>
          </w:tcPr>
          <w:p>
            <w:pPr>
              <w:spacing w:line="240" w:lineRule="atLeast"/>
              <w:jc w:val="center"/>
              <w:rPr>
                <w:rFonts w:ascii="宋体" w:hAnsi="宋体"/>
                <w:color w:val="000000"/>
                <w:sz w:val="28"/>
                <w:szCs w:val="28"/>
              </w:rPr>
            </w:pPr>
          </w:p>
        </w:tc>
        <w:tc>
          <w:tcPr>
            <w:tcW w:w="1980" w:type="dxa"/>
            <w:vAlign w:val="center"/>
          </w:tcPr>
          <w:p>
            <w:pPr>
              <w:spacing w:line="240" w:lineRule="atLeast"/>
              <w:jc w:val="center"/>
              <w:rPr>
                <w:rFonts w:ascii="宋体" w:hAnsi="宋体"/>
                <w:color w:val="000000"/>
                <w:sz w:val="28"/>
                <w:szCs w:val="28"/>
              </w:rPr>
            </w:pPr>
          </w:p>
        </w:tc>
        <w:tc>
          <w:tcPr>
            <w:tcW w:w="2700" w:type="dxa"/>
            <w:vAlign w:val="center"/>
          </w:tcPr>
          <w:p>
            <w:pPr>
              <w:spacing w:line="240" w:lineRule="atLeast"/>
              <w:jc w:val="center"/>
              <w:rPr>
                <w:rFonts w:ascii="宋体" w:hAnsi="宋体"/>
                <w:color w:val="000000"/>
                <w:sz w:val="28"/>
                <w:szCs w:val="28"/>
              </w:rPr>
            </w:pPr>
          </w:p>
        </w:tc>
        <w:tc>
          <w:tcPr>
            <w:tcW w:w="1601" w:type="dxa"/>
            <w:vAlign w:val="center"/>
          </w:tcPr>
          <w:p>
            <w:pPr>
              <w:spacing w:line="240" w:lineRule="atLeas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2</w:t>
            </w:r>
          </w:p>
        </w:tc>
        <w:tc>
          <w:tcPr>
            <w:tcW w:w="1620" w:type="dxa"/>
            <w:vAlign w:val="center"/>
          </w:tcPr>
          <w:p>
            <w:pPr>
              <w:spacing w:line="240" w:lineRule="atLeast"/>
              <w:jc w:val="center"/>
              <w:rPr>
                <w:rFonts w:ascii="宋体" w:hAnsi="宋体"/>
                <w:color w:val="000000"/>
                <w:sz w:val="28"/>
                <w:szCs w:val="28"/>
              </w:rPr>
            </w:pPr>
          </w:p>
        </w:tc>
        <w:tc>
          <w:tcPr>
            <w:tcW w:w="1980" w:type="dxa"/>
            <w:vAlign w:val="center"/>
          </w:tcPr>
          <w:p>
            <w:pPr>
              <w:spacing w:line="240" w:lineRule="atLeast"/>
              <w:jc w:val="center"/>
              <w:rPr>
                <w:rFonts w:ascii="宋体" w:hAnsi="宋体"/>
                <w:color w:val="000000"/>
                <w:sz w:val="28"/>
                <w:szCs w:val="28"/>
              </w:rPr>
            </w:pPr>
          </w:p>
        </w:tc>
        <w:tc>
          <w:tcPr>
            <w:tcW w:w="2700" w:type="dxa"/>
            <w:vAlign w:val="center"/>
          </w:tcPr>
          <w:p>
            <w:pPr>
              <w:spacing w:line="240" w:lineRule="atLeast"/>
              <w:jc w:val="center"/>
              <w:rPr>
                <w:rFonts w:ascii="宋体" w:hAnsi="宋体"/>
                <w:color w:val="000000"/>
                <w:sz w:val="28"/>
                <w:szCs w:val="28"/>
              </w:rPr>
            </w:pPr>
          </w:p>
        </w:tc>
        <w:tc>
          <w:tcPr>
            <w:tcW w:w="1601" w:type="dxa"/>
            <w:vAlign w:val="center"/>
          </w:tcPr>
          <w:p>
            <w:pPr>
              <w:spacing w:line="240" w:lineRule="atLeas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w:t>
            </w:r>
          </w:p>
        </w:tc>
        <w:tc>
          <w:tcPr>
            <w:tcW w:w="1620" w:type="dxa"/>
            <w:vAlign w:val="center"/>
          </w:tcPr>
          <w:p>
            <w:pPr>
              <w:spacing w:line="240" w:lineRule="atLeast"/>
              <w:jc w:val="center"/>
              <w:rPr>
                <w:rFonts w:ascii="宋体" w:hAnsi="宋体"/>
                <w:color w:val="000000"/>
                <w:sz w:val="28"/>
                <w:szCs w:val="28"/>
              </w:rPr>
            </w:pPr>
          </w:p>
        </w:tc>
        <w:tc>
          <w:tcPr>
            <w:tcW w:w="1980" w:type="dxa"/>
            <w:vAlign w:val="center"/>
          </w:tcPr>
          <w:p>
            <w:pPr>
              <w:spacing w:line="240" w:lineRule="atLeast"/>
              <w:jc w:val="center"/>
              <w:rPr>
                <w:rFonts w:ascii="宋体" w:hAnsi="宋体"/>
                <w:color w:val="000000"/>
                <w:sz w:val="28"/>
                <w:szCs w:val="28"/>
              </w:rPr>
            </w:pPr>
          </w:p>
        </w:tc>
        <w:tc>
          <w:tcPr>
            <w:tcW w:w="2700" w:type="dxa"/>
            <w:vAlign w:val="center"/>
          </w:tcPr>
          <w:p>
            <w:pPr>
              <w:spacing w:line="240" w:lineRule="atLeast"/>
              <w:jc w:val="center"/>
              <w:rPr>
                <w:rFonts w:ascii="宋体" w:hAnsi="宋体"/>
                <w:color w:val="000000"/>
                <w:sz w:val="28"/>
                <w:szCs w:val="28"/>
              </w:rPr>
            </w:pPr>
          </w:p>
        </w:tc>
        <w:tc>
          <w:tcPr>
            <w:tcW w:w="1601" w:type="dxa"/>
            <w:vAlign w:val="center"/>
          </w:tcPr>
          <w:p>
            <w:pPr>
              <w:spacing w:line="240" w:lineRule="atLeast"/>
              <w:jc w:val="center"/>
              <w:rPr>
                <w:rFonts w:ascii="宋体" w:hAnsi="宋体"/>
                <w:color w:val="000000"/>
                <w:sz w:val="28"/>
                <w:szCs w:val="28"/>
              </w:rPr>
            </w:pPr>
          </w:p>
        </w:tc>
      </w:tr>
    </w:tbl>
    <w:p>
      <w:pPr>
        <w:spacing w:line="480" w:lineRule="exact"/>
        <w:ind w:firstLine="480" w:firstLineChars="200"/>
        <w:rPr>
          <w:rFonts w:ascii="宋体" w:hAnsi="宋体"/>
          <w:sz w:val="24"/>
          <w:szCs w:val="24"/>
        </w:rPr>
      </w:pPr>
      <w:r>
        <w:rPr>
          <w:rFonts w:hint="eastAsia" w:ascii="宋体" w:hAnsi="宋体"/>
          <w:sz w:val="24"/>
          <w:szCs w:val="24"/>
        </w:rPr>
        <w:t>注：1、“符合”指与招标文件要求一致，“正偏离”指优于招标文件要求；“负偏离”指低于招标文件要求。</w:t>
      </w:r>
    </w:p>
    <w:p>
      <w:pPr>
        <w:spacing w:line="480" w:lineRule="exact"/>
        <w:ind w:firstLine="960" w:firstLineChars="400"/>
        <w:rPr>
          <w:rFonts w:ascii="宋体" w:hAnsi="宋体"/>
          <w:sz w:val="24"/>
          <w:szCs w:val="24"/>
        </w:rPr>
      </w:pPr>
      <w:r>
        <w:rPr>
          <w:rFonts w:hint="eastAsia" w:ascii="宋体" w:hAnsi="宋体"/>
          <w:sz w:val="24"/>
          <w:szCs w:val="24"/>
        </w:rPr>
        <w:t>2、无论正偏离或负偏离，投标人均需在“投标人的响应内容”一栏中列明响应的详细内容，否则视同投标人响应情况为“符合”。</w:t>
      </w:r>
    </w:p>
    <w:p>
      <w:pPr>
        <w:spacing w:line="480" w:lineRule="exact"/>
        <w:ind w:firstLine="960" w:firstLineChars="400"/>
        <w:rPr>
          <w:rFonts w:ascii="宋体" w:hAnsi="宋体"/>
          <w:sz w:val="24"/>
          <w:szCs w:val="24"/>
        </w:rPr>
      </w:pPr>
      <w:r>
        <w:rPr>
          <w:rFonts w:hint="eastAsia" w:ascii="宋体" w:hAnsi="宋体"/>
          <w:sz w:val="24"/>
          <w:szCs w:val="24"/>
        </w:rPr>
        <w:t>3、如投标人未在上述偏离表中填写内容，视同投标人响应情况为“符合”。</w:t>
      </w:r>
    </w:p>
    <w:p>
      <w:pPr>
        <w:adjustRightInd w:val="0"/>
        <w:snapToGrid w:val="0"/>
        <w:spacing w:line="360" w:lineRule="auto"/>
        <w:rPr>
          <w:rFonts w:ascii="宋体" w:hAnsi="宋体"/>
          <w:b/>
          <w:bCs/>
          <w:color w:val="000000"/>
          <w:sz w:val="24"/>
          <w:szCs w:val="24"/>
        </w:rPr>
      </w:pPr>
    </w:p>
    <w:p>
      <w:pPr>
        <w:adjustRightInd w:val="0"/>
        <w:snapToGrid w:val="0"/>
        <w:spacing w:line="360" w:lineRule="auto"/>
        <w:rPr>
          <w:rFonts w:ascii="宋体" w:hAnsi="宋体"/>
          <w:b/>
          <w:bCs/>
          <w:color w:val="000000"/>
          <w:sz w:val="24"/>
          <w:szCs w:val="24"/>
        </w:rPr>
      </w:pPr>
    </w:p>
    <w:p>
      <w:pPr>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（盖单位公章）</w:t>
      </w:r>
    </w:p>
    <w:p>
      <w:pPr>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rPr>
          <w:rFonts w:hint="eastAsia" w:ascii="宋体" w:hAnsi="宋体"/>
          <w:sz w:val="28"/>
          <w:szCs w:val="28"/>
        </w:rPr>
      </w:pPr>
    </w:p>
    <w:p>
      <w:pPr>
        <w:rPr>
          <w:rFonts w:ascii="宋体" w:hAnsi="宋体"/>
          <w:sz w:val="28"/>
          <w:szCs w:val="28"/>
        </w:rPr>
      </w:pPr>
    </w:p>
    <w:p>
      <w:pPr>
        <w:spacing w:line="720" w:lineRule="auto"/>
        <w:jc w:val="center"/>
        <w:rPr>
          <w:rFonts w:hint="eastAsia" w:ascii="宋体" w:hAnsi="宋体"/>
          <w:b/>
          <w:color w:val="000000"/>
          <w:sz w:val="32"/>
          <w:szCs w:val="32"/>
        </w:rPr>
      </w:pPr>
      <w:bookmarkStart w:id="66" w:name="_Toc435773302"/>
      <w:bookmarkStart w:id="67" w:name="_Toc433274954"/>
      <w:bookmarkStart w:id="68" w:name="_Toc433183053"/>
    </w:p>
    <w:p>
      <w:pPr>
        <w:spacing w:line="720" w:lineRule="auto"/>
        <w:jc w:val="center"/>
        <w:rPr>
          <w:rFonts w:ascii="宋体" w:hAnsi="宋体"/>
          <w:b/>
          <w:color w:val="000000"/>
          <w:sz w:val="32"/>
          <w:szCs w:val="32"/>
        </w:rPr>
      </w:pPr>
      <w:r>
        <w:rPr>
          <w:rFonts w:hint="eastAsia" w:ascii="宋体" w:hAnsi="宋体"/>
          <w:b/>
          <w:color w:val="000000"/>
          <w:sz w:val="32"/>
          <w:szCs w:val="32"/>
        </w:rPr>
        <w:t>五、</w:t>
      </w:r>
      <w:bookmarkEnd w:id="65"/>
      <w:r>
        <w:rPr>
          <w:rFonts w:hint="eastAsia" w:ascii="宋体" w:hAnsi="宋体"/>
          <w:b/>
          <w:color w:val="000000"/>
          <w:sz w:val="32"/>
          <w:szCs w:val="32"/>
        </w:rPr>
        <w:t>对技术要求的响应</w:t>
      </w:r>
      <w:bookmarkEnd w:id="66"/>
      <w:bookmarkEnd w:id="67"/>
      <w:bookmarkEnd w:id="68"/>
    </w:p>
    <w:p>
      <w:pPr>
        <w:spacing w:line="480" w:lineRule="exact"/>
        <w:rPr>
          <w:rFonts w:ascii="宋体" w:hAnsi="宋体"/>
          <w:color w:val="000000"/>
          <w:sz w:val="28"/>
          <w:szCs w:val="28"/>
        </w:rPr>
      </w:pPr>
      <w:r>
        <w:rPr>
          <w:rFonts w:hint="eastAsia" w:ascii="宋体" w:hAnsi="宋体"/>
          <w:sz w:val="28"/>
          <w:szCs w:val="28"/>
        </w:rPr>
        <w:t>宁国水务有限公司</w:t>
      </w:r>
      <w:r>
        <w:rPr>
          <w:rFonts w:hint="eastAsia" w:ascii="宋体" w:hAnsi="宋体"/>
          <w:color w:val="000000"/>
          <w:sz w:val="28"/>
          <w:szCs w:val="28"/>
        </w:rPr>
        <w:t>：</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经过认真研究《</w:t>
      </w:r>
      <w:r>
        <w:rPr>
          <w:rFonts w:hint="eastAsia" w:ascii="仿宋_GB2312" w:hAnsi="宋体" w:eastAsia="仿宋_GB2312"/>
          <w:sz w:val="28"/>
          <w:u w:val="single"/>
          <w:lang w:eastAsia="zh-CN"/>
        </w:rPr>
        <w:t>宁国水务有限公司2024年度PE、PPR管材、管件采购项目</w:t>
      </w:r>
      <w:r>
        <w:rPr>
          <w:rFonts w:hint="eastAsia" w:ascii="宋体" w:hAnsi="宋体"/>
          <w:color w:val="000000"/>
          <w:sz w:val="28"/>
          <w:szCs w:val="28"/>
        </w:rPr>
        <w:t>》标文件中所列技术要求，我公司确认，对招标文件所列技术要求，除下列技术要求偏离表所列情况外，我方响应情况全部为“     ”。</w:t>
      </w:r>
    </w:p>
    <w:p>
      <w:pPr>
        <w:spacing w:line="360" w:lineRule="auto"/>
        <w:jc w:val="center"/>
        <w:rPr>
          <w:rFonts w:ascii="宋体" w:hAnsi="宋体"/>
          <w:color w:val="000000"/>
          <w:sz w:val="28"/>
          <w:szCs w:val="28"/>
        </w:rPr>
      </w:pPr>
      <w:r>
        <w:rPr>
          <w:rFonts w:hint="eastAsia" w:ascii="宋体" w:hAnsi="宋体"/>
          <w:color w:val="000000"/>
          <w:sz w:val="28"/>
          <w:szCs w:val="28"/>
        </w:rPr>
        <w:t>技术要求偏离表</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845"/>
        <w:gridCol w:w="1983"/>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序号</w:t>
            </w:r>
          </w:p>
        </w:tc>
        <w:tc>
          <w:tcPr>
            <w:tcW w:w="1984"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招标文件中技术要求条款号</w:t>
            </w:r>
          </w:p>
        </w:tc>
        <w:tc>
          <w:tcPr>
            <w:tcW w:w="1845"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招标文件中技术要求</w:t>
            </w:r>
          </w:p>
        </w:tc>
        <w:tc>
          <w:tcPr>
            <w:tcW w:w="1983"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投标人的响应内容</w:t>
            </w:r>
          </w:p>
        </w:tc>
        <w:tc>
          <w:tcPr>
            <w:tcW w:w="2318" w:type="dxa"/>
            <w:vAlign w:val="center"/>
          </w:tcPr>
          <w:p>
            <w:pPr>
              <w:spacing w:line="240" w:lineRule="atLeast"/>
              <w:jc w:val="center"/>
              <w:rPr>
                <w:rFonts w:ascii="宋体" w:hAnsi="宋体"/>
                <w:b/>
                <w:sz w:val="28"/>
                <w:szCs w:val="28"/>
              </w:rPr>
            </w:pPr>
            <w:r>
              <w:rPr>
                <w:rFonts w:ascii="宋体" w:hAnsi="宋体" w:cs="Arial"/>
                <w:b/>
                <w:sz w:val="28"/>
                <w:szCs w:val="28"/>
              </w:rPr>
              <w:t>偏离及影响</w:t>
            </w:r>
            <w:r>
              <w:rPr>
                <w:rFonts w:hint="eastAsia" w:ascii="宋体" w:hAnsi="宋体" w:cs="Arial"/>
                <w:b/>
                <w:sz w:val="28"/>
                <w:szCs w:val="28"/>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1</w:t>
            </w:r>
          </w:p>
        </w:tc>
        <w:tc>
          <w:tcPr>
            <w:tcW w:w="1984" w:type="dxa"/>
            <w:vAlign w:val="center"/>
          </w:tcPr>
          <w:p>
            <w:pPr>
              <w:spacing w:line="240" w:lineRule="atLeast"/>
              <w:jc w:val="center"/>
              <w:rPr>
                <w:rFonts w:ascii="宋体" w:hAnsi="宋体"/>
                <w:color w:val="000000"/>
                <w:sz w:val="28"/>
                <w:szCs w:val="28"/>
              </w:rPr>
            </w:pPr>
          </w:p>
        </w:tc>
        <w:tc>
          <w:tcPr>
            <w:tcW w:w="1845" w:type="dxa"/>
            <w:vAlign w:val="center"/>
          </w:tcPr>
          <w:p>
            <w:pPr>
              <w:spacing w:line="240" w:lineRule="atLeast"/>
              <w:jc w:val="center"/>
              <w:rPr>
                <w:rFonts w:ascii="宋体" w:hAnsi="宋体"/>
                <w:color w:val="000000"/>
                <w:sz w:val="28"/>
                <w:szCs w:val="28"/>
              </w:rPr>
            </w:pPr>
          </w:p>
        </w:tc>
        <w:tc>
          <w:tcPr>
            <w:tcW w:w="1983" w:type="dxa"/>
            <w:vAlign w:val="center"/>
          </w:tcPr>
          <w:p>
            <w:pPr>
              <w:spacing w:line="240" w:lineRule="atLeast"/>
              <w:jc w:val="center"/>
              <w:rPr>
                <w:rFonts w:ascii="宋体" w:hAnsi="宋体"/>
                <w:color w:val="000000"/>
                <w:sz w:val="28"/>
                <w:szCs w:val="28"/>
              </w:rPr>
            </w:pPr>
          </w:p>
        </w:tc>
        <w:tc>
          <w:tcPr>
            <w:tcW w:w="2318" w:type="dxa"/>
            <w:vAlign w:val="center"/>
          </w:tcPr>
          <w:p>
            <w:pPr>
              <w:spacing w:line="240" w:lineRule="atLeas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2</w:t>
            </w:r>
          </w:p>
        </w:tc>
        <w:tc>
          <w:tcPr>
            <w:tcW w:w="1984" w:type="dxa"/>
            <w:vAlign w:val="center"/>
          </w:tcPr>
          <w:p>
            <w:pPr>
              <w:spacing w:line="240" w:lineRule="atLeast"/>
              <w:jc w:val="center"/>
              <w:rPr>
                <w:rFonts w:ascii="宋体" w:hAnsi="宋体"/>
                <w:color w:val="000000"/>
                <w:sz w:val="28"/>
                <w:szCs w:val="28"/>
              </w:rPr>
            </w:pPr>
          </w:p>
        </w:tc>
        <w:tc>
          <w:tcPr>
            <w:tcW w:w="1845" w:type="dxa"/>
            <w:vAlign w:val="center"/>
          </w:tcPr>
          <w:p>
            <w:pPr>
              <w:spacing w:line="240" w:lineRule="atLeast"/>
              <w:jc w:val="center"/>
              <w:rPr>
                <w:rFonts w:ascii="宋体" w:hAnsi="宋体"/>
                <w:color w:val="000000"/>
                <w:sz w:val="28"/>
                <w:szCs w:val="28"/>
              </w:rPr>
            </w:pPr>
          </w:p>
        </w:tc>
        <w:tc>
          <w:tcPr>
            <w:tcW w:w="1983" w:type="dxa"/>
            <w:vAlign w:val="center"/>
          </w:tcPr>
          <w:p>
            <w:pPr>
              <w:spacing w:line="240" w:lineRule="atLeast"/>
              <w:jc w:val="center"/>
              <w:rPr>
                <w:rFonts w:ascii="宋体" w:hAnsi="宋体"/>
                <w:color w:val="000000"/>
                <w:sz w:val="28"/>
                <w:szCs w:val="28"/>
              </w:rPr>
            </w:pPr>
          </w:p>
        </w:tc>
        <w:tc>
          <w:tcPr>
            <w:tcW w:w="2318" w:type="dxa"/>
            <w:vAlign w:val="center"/>
          </w:tcPr>
          <w:p>
            <w:pPr>
              <w:spacing w:line="240" w:lineRule="atLeas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tLeast"/>
              <w:jc w:val="center"/>
              <w:rPr>
                <w:rFonts w:ascii="宋体" w:hAnsi="宋体"/>
                <w:color w:val="000000"/>
                <w:sz w:val="28"/>
                <w:szCs w:val="28"/>
              </w:rPr>
            </w:pPr>
            <w:r>
              <w:rPr>
                <w:rFonts w:hint="eastAsia" w:ascii="宋体" w:hAnsi="宋体"/>
                <w:color w:val="000000"/>
                <w:sz w:val="28"/>
                <w:szCs w:val="28"/>
              </w:rPr>
              <w:t>…</w:t>
            </w:r>
          </w:p>
        </w:tc>
        <w:tc>
          <w:tcPr>
            <w:tcW w:w="1984" w:type="dxa"/>
            <w:vAlign w:val="center"/>
          </w:tcPr>
          <w:p>
            <w:pPr>
              <w:spacing w:line="240" w:lineRule="atLeast"/>
              <w:jc w:val="center"/>
              <w:rPr>
                <w:rFonts w:ascii="宋体" w:hAnsi="宋体"/>
                <w:color w:val="000000"/>
                <w:sz w:val="28"/>
                <w:szCs w:val="28"/>
              </w:rPr>
            </w:pPr>
          </w:p>
        </w:tc>
        <w:tc>
          <w:tcPr>
            <w:tcW w:w="1845" w:type="dxa"/>
            <w:vAlign w:val="center"/>
          </w:tcPr>
          <w:p>
            <w:pPr>
              <w:spacing w:line="240" w:lineRule="atLeast"/>
              <w:jc w:val="center"/>
              <w:rPr>
                <w:rFonts w:ascii="宋体" w:hAnsi="宋体"/>
                <w:color w:val="000000"/>
                <w:sz w:val="28"/>
                <w:szCs w:val="28"/>
              </w:rPr>
            </w:pPr>
          </w:p>
        </w:tc>
        <w:tc>
          <w:tcPr>
            <w:tcW w:w="1983" w:type="dxa"/>
            <w:vAlign w:val="center"/>
          </w:tcPr>
          <w:p>
            <w:pPr>
              <w:spacing w:line="240" w:lineRule="atLeast"/>
              <w:jc w:val="center"/>
              <w:rPr>
                <w:rFonts w:ascii="宋体" w:hAnsi="宋体"/>
                <w:color w:val="000000"/>
                <w:sz w:val="28"/>
                <w:szCs w:val="28"/>
              </w:rPr>
            </w:pPr>
          </w:p>
        </w:tc>
        <w:tc>
          <w:tcPr>
            <w:tcW w:w="2318" w:type="dxa"/>
            <w:vAlign w:val="center"/>
          </w:tcPr>
          <w:p>
            <w:pPr>
              <w:spacing w:line="240" w:lineRule="atLeast"/>
              <w:jc w:val="center"/>
              <w:rPr>
                <w:rFonts w:ascii="宋体" w:hAnsi="宋体"/>
                <w:color w:val="000000"/>
                <w:sz w:val="28"/>
                <w:szCs w:val="28"/>
              </w:rPr>
            </w:pPr>
          </w:p>
        </w:tc>
      </w:tr>
    </w:tbl>
    <w:p>
      <w:pPr>
        <w:spacing w:line="360" w:lineRule="exact"/>
        <w:rPr>
          <w:rFonts w:ascii="宋体" w:hAnsi="宋体"/>
          <w:sz w:val="24"/>
          <w:szCs w:val="24"/>
        </w:rPr>
      </w:pPr>
      <w:r>
        <w:rPr>
          <w:rFonts w:hint="eastAsia" w:ascii="宋体" w:hAnsi="宋体"/>
          <w:sz w:val="24"/>
          <w:szCs w:val="24"/>
        </w:rPr>
        <w:t>注：1、“符合”指与招标文件要求一致，“正偏离”指优于招标文件要求；“负偏离”指低于招标文件要求。</w:t>
      </w:r>
    </w:p>
    <w:p>
      <w:pPr>
        <w:spacing w:line="360" w:lineRule="exact"/>
        <w:ind w:firstLine="470" w:firstLineChars="196"/>
        <w:rPr>
          <w:rFonts w:ascii="宋体" w:hAnsi="宋体"/>
          <w:sz w:val="24"/>
          <w:szCs w:val="24"/>
        </w:rPr>
      </w:pPr>
      <w:r>
        <w:rPr>
          <w:rFonts w:hint="eastAsia" w:ascii="宋体" w:hAnsi="宋体"/>
          <w:sz w:val="24"/>
          <w:szCs w:val="24"/>
        </w:rPr>
        <w:t>2、无论正偏离或负偏离，投标人均需在“投标人的响应内容”一栏中列明响应的详细内容，否则视同投标人响应情况为“符合”。</w:t>
      </w:r>
    </w:p>
    <w:p>
      <w:pPr>
        <w:spacing w:line="360" w:lineRule="exact"/>
        <w:ind w:firstLine="470" w:firstLineChars="196"/>
        <w:rPr>
          <w:rFonts w:ascii="宋体" w:hAnsi="宋体"/>
          <w:sz w:val="24"/>
          <w:szCs w:val="24"/>
        </w:rPr>
      </w:pPr>
      <w:r>
        <w:rPr>
          <w:rFonts w:hint="eastAsia" w:ascii="宋体" w:hAnsi="宋体"/>
          <w:sz w:val="24"/>
          <w:szCs w:val="24"/>
        </w:rPr>
        <w:t>3、如投标人未在上述偏离表中填写内容，视同投标人响应情况为“符合”。</w:t>
      </w:r>
    </w:p>
    <w:p>
      <w:pPr>
        <w:spacing w:line="360" w:lineRule="exact"/>
        <w:ind w:firstLine="470" w:firstLineChars="196"/>
        <w:rPr>
          <w:rFonts w:ascii="宋体" w:hAnsi="宋体"/>
          <w:sz w:val="24"/>
          <w:szCs w:val="24"/>
        </w:rPr>
      </w:pPr>
      <w:r>
        <w:rPr>
          <w:rFonts w:hint="eastAsia" w:ascii="宋体" w:hAnsi="宋体"/>
          <w:sz w:val="24"/>
          <w:szCs w:val="24"/>
        </w:rPr>
        <w:t>4、若投标文件中出现技术参数、功能、配置及相关技术要求与此表表述不一致的，以此表为准。一旦中标，投标人必须按照此表响应情况提供货物。否则视为虚假响应。</w:t>
      </w:r>
    </w:p>
    <w:p>
      <w:pPr>
        <w:spacing w:line="360" w:lineRule="exact"/>
        <w:ind w:firstLine="470" w:firstLineChars="196"/>
        <w:rPr>
          <w:rFonts w:ascii="宋体" w:hAnsi="宋体"/>
          <w:sz w:val="24"/>
          <w:szCs w:val="24"/>
        </w:rPr>
      </w:pPr>
      <w:r>
        <w:rPr>
          <w:rFonts w:hint="eastAsia" w:ascii="宋体" w:hAnsi="宋体"/>
          <w:sz w:val="24"/>
          <w:szCs w:val="24"/>
        </w:rPr>
        <w:t>5、只有当投标人所投货物的技术参数、功能、配置及相关技术要求与招标文件提出的技术需求有偏离（包括正偏离、负偏离）时，投标人需要对偏离情况在上表中详细列明。对符合招标文件的技术要求，无需填写，否则评委会有权视为无效投标文件。</w:t>
      </w:r>
    </w:p>
    <w:p>
      <w:pPr>
        <w:rPr>
          <w:rFonts w:ascii="宋体" w:hAnsi="宋体"/>
          <w:color w:val="000000"/>
          <w:sz w:val="28"/>
          <w:szCs w:val="28"/>
        </w:rPr>
      </w:pPr>
    </w:p>
    <w:p>
      <w:pPr>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（盖单位公章）</w:t>
      </w:r>
    </w:p>
    <w:p>
      <w:pPr>
        <w:rPr>
          <w:rFonts w:hint="eastAsia"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720" w:lineRule="auto"/>
        <w:jc w:val="both"/>
        <w:rPr>
          <w:rFonts w:hint="eastAsia" w:ascii="宋体" w:hAnsi="宋体"/>
          <w:b/>
          <w:color w:val="000000"/>
          <w:sz w:val="32"/>
          <w:szCs w:val="32"/>
        </w:rPr>
      </w:pPr>
      <w:bookmarkStart w:id="69" w:name="_Toc433274955"/>
      <w:bookmarkStart w:id="70" w:name="_Toc435773303"/>
      <w:bookmarkStart w:id="71" w:name="_Toc433183054"/>
      <w:bookmarkStart w:id="72" w:name="_Toc273039289"/>
      <w:bookmarkStart w:id="73" w:name="_Hlk450185939"/>
      <w:bookmarkStart w:id="74" w:name="_Toc272141480"/>
      <w:bookmarkStart w:id="75" w:name="_Toc433183055"/>
      <w:bookmarkStart w:id="76" w:name="_Toc433274956"/>
      <w:bookmarkStart w:id="77" w:name="_Toc435773304"/>
    </w:p>
    <w:p>
      <w:pPr>
        <w:spacing w:line="720" w:lineRule="auto"/>
        <w:jc w:val="center"/>
        <w:rPr>
          <w:rFonts w:ascii="宋体" w:hAnsi="宋体"/>
          <w:b/>
          <w:color w:val="000000"/>
          <w:sz w:val="32"/>
          <w:szCs w:val="32"/>
        </w:rPr>
      </w:pPr>
      <w:r>
        <w:rPr>
          <w:rFonts w:hint="eastAsia" w:ascii="宋体" w:hAnsi="宋体"/>
          <w:b/>
          <w:color w:val="000000"/>
          <w:sz w:val="32"/>
          <w:szCs w:val="32"/>
        </w:rPr>
        <w:t>六、 货物服务技术方案</w:t>
      </w:r>
      <w:bookmarkEnd w:id="69"/>
      <w:bookmarkEnd w:id="70"/>
      <w:bookmarkEnd w:id="71"/>
    </w:p>
    <w:p>
      <w:pPr>
        <w:spacing w:line="440" w:lineRule="exact"/>
        <w:ind w:firstLine="275" w:firstLineChars="98"/>
        <w:rPr>
          <w:rFonts w:ascii="宋体" w:hAnsi="宋体"/>
          <w:b/>
          <w:color w:val="000000"/>
          <w:sz w:val="28"/>
          <w:szCs w:val="28"/>
        </w:rPr>
      </w:pPr>
      <w:r>
        <w:rPr>
          <w:rFonts w:hint="eastAsia" w:ascii="宋体" w:hAnsi="宋体"/>
          <w:b/>
          <w:color w:val="000000"/>
          <w:sz w:val="28"/>
          <w:szCs w:val="28"/>
        </w:rPr>
        <w:t>（一）投标人</w:t>
      </w:r>
      <w:r>
        <w:rPr>
          <w:rFonts w:hint="eastAsia" w:ascii="新宋体" w:hAnsi="新宋体" w:eastAsia="新宋体" w:cs="Arial"/>
          <w:b/>
          <w:sz w:val="28"/>
          <w:szCs w:val="28"/>
        </w:rPr>
        <w:t>及主要货物制造商</w:t>
      </w:r>
      <w:r>
        <w:rPr>
          <w:rFonts w:hint="eastAsia" w:ascii="宋体" w:hAnsi="宋体"/>
          <w:b/>
          <w:color w:val="000000"/>
          <w:sz w:val="28"/>
          <w:szCs w:val="28"/>
        </w:rPr>
        <w:t>简介</w:t>
      </w:r>
    </w:p>
    <w:p>
      <w:pPr>
        <w:spacing w:line="440" w:lineRule="exact"/>
        <w:ind w:firstLine="980" w:firstLineChars="350"/>
        <w:rPr>
          <w:rFonts w:ascii="宋体" w:hAnsi="宋体"/>
          <w:color w:val="000000"/>
          <w:sz w:val="28"/>
          <w:szCs w:val="28"/>
        </w:rPr>
      </w:pPr>
      <w:r>
        <w:rPr>
          <w:rFonts w:hint="eastAsia" w:ascii="宋体" w:hAnsi="宋体"/>
          <w:color w:val="000000"/>
          <w:sz w:val="28"/>
          <w:szCs w:val="28"/>
        </w:rPr>
        <w:t>1、简要介绍投标人规模实力，包括：</w:t>
      </w:r>
    </w:p>
    <w:p>
      <w:pPr>
        <w:spacing w:line="440" w:lineRule="exact"/>
        <w:ind w:firstLine="840" w:firstLineChars="300"/>
        <w:rPr>
          <w:rFonts w:ascii="宋体" w:hAnsi="宋体"/>
          <w:color w:val="000000"/>
          <w:sz w:val="28"/>
          <w:szCs w:val="28"/>
        </w:rPr>
      </w:pPr>
      <w:r>
        <w:rPr>
          <w:rFonts w:hint="eastAsia" w:ascii="宋体" w:hAnsi="宋体"/>
          <w:color w:val="000000"/>
          <w:sz w:val="28"/>
          <w:szCs w:val="28"/>
        </w:rPr>
        <w:t>（1）、</w:t>
      </w:r>
      <w:r>
        <w:rPr>
          <w:rFonts w:hint="eastAsia" w:ascii="宋体" w:hAnsi="宋体"/>
          <w:sz w:val="28"/>
          <w:szCs w:val="28"/>
        </w:rPr>
        <w:t>经营的历史、经验</w:t>
      </w:r>
    </w:p>
    <w:p>
      <w:pPr>
        <w:spacing w:line="440" w:lineRule="exact"/>
        <w:ind w:firstLine="840" w:firstLineChars="300"/>
        <w:rPr>
          <w:rFonts w:hint="eastAsia" w:ascii="宋体" w:hAnsi="宋体"/>
          <w:sz w:val="28"/>
          <w:szCs w:val="28"/>
        </w:rPr>
      </w:pPr>
      <w:r>
        <w:rPr>
          <w:rFonts w:hint="eastAsia" w:ascii="宋体" w:hAnsi="宋体"/>
          <w:color w:val="000000"/>
          <w:sz w:val="28"/>
          <w:szCs w:val="28"/>
        </w:rPr>
        <w:t>（2）、</w:t>
      </w:r>
      <w:r>
        <w:rPr>
          <w:rFonts w:hint="eastAsia" w:ascii="宋体" w:hAnsi="宋体"/>
          <w:sz w:val="28"/>
          <w:szCs w:val="28"/>
        </w:rPr>
        <w:t>拥有的技术力量</w:t>
      </w:r>
    </w:p>
    <w:p>
      <w:pPr>
        <w:spacing w:line="420" w:lineRule="exact"/>
        <w:ind w:left="783" w:leftChars="373"/>
        <w:rPr>
          <w:rFonts w:hint="eastAsia" w:ascii="新宋体" w:hAnsi="新宋体" w:eastAsia="新宋体"/>
          <w:sz w:val="24"/>
          <w:szCs w:val="24"/>
        </w:rPr>
      </w:pPr>
      <w:r>
        <w:rPr>
          <w:rFonts w:hint="eastAsia" w:ascii="宋体" w:hAnsi="宋体"/>
          <w:sz w:val="28"/>
          <w:szCs w:val="28"/>
        </w:rPr>
        <w:t>（3）、</w:t>
      </w:r>
      <w:r>
        <w:rPr>
          <w:rFonts w:hint="eastAsia" w:ascii="新宋体" w:hAnsi="新宋体" w:eastAsia="新宋体"/>
          <w:sz w:val="24"/>
          <w:szCs w:val="24"/>
        </w:rPr>
        <w:t>投标人近3年内 (201</w:t>
      </w:r>
      <w:r>
        <w:rPr>
          <w:rFonts w:hint="eastAsia" w:ascii="新宋体" w:hAnsi="新宋体" w:eastAsia="新宋体"/>
          <w:sz w:val="24"/>
          <w:szCs w:val="24"/>
          <w:lang w:val="en-US" w:eastAsia="zh-CN"/>
        </w:rPr>
        <w:t>9</w:t>
      </w:r>
      <w:r>
        <w:rPr>
          <w:rFonts w:hint="eastAsia" w:ascii="新宋体" w:hAnsi="新宋体" w:eastAsia="新宋体"/>
          <w:sz w:val="24"/>
          <w:szCs w:val="24"/>
        </w:rPr>
        <w:t>年10月1日以后)</w:t>
      </w:r>
      <w:r>
        <w:rPr>
          <w:rFonts w:ascii="新宋体" w:hAnsi="新宋体" w:eastAsia="新宋体"/>
          <w:sz w:val="24"/>
          <w:szCs w:val="24"/>
        </w:rPr>
        <w:t>的</w:t>
      </w:r>
      <w:r>
        <w:rPr>
          <w:rFonts w:hint="eastAsia" w:ascii="仿宋_GB2312" w:hAnsi="宋体" w:eastAsia="仿宋_GB2312"/>
          <w:sz w:val="28"/>
          <w:u w:val="single"/>
        </w:rPr>
        <w:t>PE/PPR管材及管件采购</w:t>
      </w:r>
      <w:r>
        <w:rPr>
          <w:rFonts w:hint="eastAsia" w:ascii="新宋体" w:hAnsi="新宋体" w:eastAsia="新宋体"/>
          <w:sz w:val="24"/>
          <w:szCs w:val="24"/>
        </w:rPr>
        <w:t>合同(地</w:t>
      </w:r>
      <w:r>
        <w:rPr>
          <w:rFonts w:ascii="新宋体" w:hAnsi="新宋体" w:eastAsia="新宋体"/>
          <w:sz w:val="24"/>
          <w:szCs w:val="24"/>
        </w:rPr>
        <w:t>市级</w:t>
      </w:r>
      <w:r>
        <w:rPr>
          <w:rFonts w:hint="eastAsia" w:ascii="新宋体" w:hAnsi="新宋体" w:eastAsia="新宋体"/>
          <w:sz w:val="24"/>
          <w:szCs w:val="24"/>
        </w:rPr>
        <w:t>及以上</w:t>
      </w:r>
      <w:r>
        <w:rPr>
          <w:rFonts w:ascii="新宋体" w:hAnsi="新宋体" w:eastAsia="新宋体"/>
          <w:sz w:val="24"/>
          <w:szCs w:val="24"/>
        </w:rPr>
        <w:t>供水企业的供应商</w:t>
      </w:r>
      <w:r>
        <w:rPr>
          <w:rFonts w:hint="eastAsia" w:ascii="新宋体" w:hAnsi="新宋体" w:eastAsia="新宋体"/>
          <w:sz w:val="24"/>
          <w:szCs w:val="24"/>
        </w:rPr>
        <w:t>年度供货合同)</w:t>
      </w:r>
      <w:r>
        <w:rPr>
          <w:rFonts w:ascii="新宋体" w:hAnsi="新宋体" w:eastAsia="新宋体"/>
          <w:sz w:val="24"/>
          <w:szCs w:val="24"/>
        </w:rPr>
        <w:t>的业绩</w:t>
      </w:r>
      <w:r>
        <w:rPr>
          <w:rFonts w:hint="eastAsia" w:ascii="新宋体" w:hAnsi="新宋体" w:eastAsia="新宋体"/>
          <w:sz w:val="24"/>
          <w:szCs w:val="24"/>
        </w:rPr>
        <w:t>（提供合同复印件）</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7"/>
        <w:gridCol w:w="1251"/>
        <w:gridCol w:w="1465"/>
        <w:gridCol w:w="1440"/>
        <w:gridCol w:w="1800"/>
        <w:gridCol w:w="1080"/>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7" w:type="dxa"/>
            <w:vAlign w:val="center"/>
          </w:tcPr>
          <w:p>
            <w:pPr>
              <w:jc w:val="center"/>
              <w:rPr>
                <w:rFonts w:hint="eastAsia" w:ascii="新宋体" w:hAnsi="新宋体" w:eastAsia="新宋体"/>
                <w:sz w:val="24"/>
              </w:rPr>
            </w:pPr>
            <w:r>
              <w:rPr>
                <w:rFonts w:hint="eastAsia" w:ascii="新宋体" w:hAnsi="新宋体" w:eastAsia="新宋体"/>
                <w:sz w:val="24"/>
              </w:rPr>
              <w:t>签订时间</w:t>
            </w:r>
          </w:p>
        </w:tc>
        <w:tc>
          <w:tcPr>
            <w:tcW w:w="1251" w:type="dxa"/>
            <w:vAlign w:val="center"/>
          </w:tcPr>
          <w:p>
            <w:pPr>
              <w:jc w:val="center"/>
              <w:rPr>
                <w:rFonts w:hint="eastAsia" w:ascii="新宋体" w:hAnsi="新宋体" w:eastAsia="新宋体"/>
                <w:sz w:val="24"/>
              </w:rPr>
            </w:pPr>
            <w:r>
              <w:rPr>
                <w:rFonts w:hint="eastAsia" w:ascii="新宋体" w:hAnsi="新宋体" w:eastAsia="新宋体"/>
                <w:sz w:val="24"/>
              </w:rPr>
              <w:t>项目</w:t>
            </w:r>
          </w:p>
          <w:p>
            <w:pPr>
              <w:jc w:val="center"/>
              <w:rPr>
                <w:rFonts w:hint="eastAsia" w:ascii="新宋体" w:hAnsi="新宋体" w:eastAsia="新宋体"/>
                <w:sz w:val="24"/>
              </w:rPr>
            </w:pPr>
            <w:r>
              <w:rPr>
                <w:rFonts w:hint="eastAsia" w:ascii="新宋体" w:hAnsi="新宋体" w:eastAsia="新宋体"/>
                <w:sz w:val="24"/>
              </w:rPr>
              <w:t>名称</w:t>
            </w:r>
          </w:p>
        </w:tc>
        <w:tc>
          <w:tcPr>
            <w:tcW w:w="1465" w:type="dxa"/>
            <w:vAlign w:val="center"/>
          </w:tcPr>
          <w:p>
            <w:pPr>
              <w:jc w:val="center"/>
              <w:rPr>
                <w:rFonts w:hint="eastAsia" w:ascii="新宋体" w:hAnsi="新宋体" w:eastAsia="新宋体"/>
                <w:sz w:val="24"/>
              </w:rPr>
            </w:pPr>
            <w:r>
              <w:rPr>
                <w:rFonts w:hint="eastAsia" w:ascii="新宋体" w:hAnsi="新宋体" w:eastAsia="新宋体"/>
                <w:sz w:val="24"/>
              </w:rPr>
              <w:t>主要品牌</w:t>
            </w:r>
          </w:p>
        </w:tc>
        <w:tc>
          <w:tcPr>
            <w:tcW w:w="1440" w:type="dxa"/>
            <w:vAlign w:val="center"/>
          </w:tcPr>
          <w:p>
            <w:pPr>
              <w:jc w:val="center"/>
              <w:rPr>
                <w:rFonts w:hint="eastAsia" w:ascii="新宋体" w:hAnsi="新宋体" w:eastAsia="新宋体"/>
                <w:sz w:val="24"/>
              </w:rPr>
            </w:pPr>
            <w:r>
              <w:rPr>
                <w:rFonts w:hint="eastAsia" w:ascii="新宋体" w:hAnsi="新宋体" w:eastAsia="新宋体"/>
                <w:sz w:val="24"/>
              </w:rPr>
              <w:t>合同</w:t>
            </w:r>
          </w:p>
          <w:p>
            <w:pPr>
              <w:jc w:val="center"/>
              <w:rPr>
                <w:rFonts w:hint="eastAsia" w:ascii="新宋体" w:hAnsi="新宋体" w:eastAsia="新宋体"/>
                <w:sz w:val="24"/>
              </w:rPr>
            </w:pPr>
            <w:r>
              <w:rPr>
                <w:rFonts w:hint="eastAsia" w:ascii="新宋体" w:hAnsi="新宋体" w:eastAsia="新宋体"/>
                <w:sz w:val="24"/>
              </w:rPr>
              <w:t>金额</w:t>
            </w:r>
          </w:p>
        </w:tc>
        <w:tc>
          <w:tcPr>
            <w:tcW w:w="1800" w:type="dxa"/>
            <w:vAlign w:val="center"/>
          </w:tcPr>
          <w:p>
            <w:pPr>
              <w:jc w:val="center"/>
              <w:rPr>
                <w:rFonts w:hint="eastAsia" w:ascii="新宋体" w:hAnsi="新宋体" w:eastAsia="新宋体"/>
                <w:sz w:val="24"/>
              </w:rPr>
            </w:pPr>
            <w:r>
              <w:rPr>
                <w:rFonts w:hint="eastAsia" w:ascii="新宋体" w:hAnsi="新宋体" w:eastAsia="新宋体"/>
                <w:sz w:val="24"/>
              </w:rPr>
              <w:t>用户名称</w:t>
            </w:r>
          </w:p>
          <w:p>
            <w:pPr>
              <w:jc w:val="center"/>
              <w:rPr>
                <w:rFonts w:hint="eastAsia" w:ascii="新宋体" w:hAnsi="新宋体" w:eastAsia="新宋体"/>
                <w:sz w:val="24"/>
              </w:rPr>
            </w:pPr>
            <w:r>
              <w:rPr>
                <w:rFonts w:hint="eastAsia" w:ascii="新宋体" w:hAnsi="新宋体" w:eastAsia="新宋体"/>
                <w:sz w:val="24"/>
              </w:rPr>
              <w:t>（详细地址）</w:t>
            </w:r>
          </w:p>
        </w:tc>
        <w:tc>
          <w:tcPr>
            <w:tcW w:w="1080" w:type="dxa"/>
            <w:vAlign w:val="center"/>
          </w:tcPr>
          <w:p>
            <w:pPr>
              <w:jc w:val="center"/>
              <w:rPr>
                <w:rFonts w:hint="eastAsia" w:ascii="新宋体" w:hAnsi="新宋体" w:eastAsia="新宋体"/>
                <w:sz w:val="24"/>
              </w:rPr>
            </w:pPr>
            <w:r>
              <w:rPr>
                <w:rFonts w:hint="eastAsia" w:ascii="新宋体" w:hAnsi="新宋体" w:eastAsia="新宋体"/>
                <w:sz w:val="24"/>
              </w:rPr>
              <w:t>用户联系人</w:t>
            </w:r>
          </w:p>
        </w:tc>
        <w:tc>
          <w:tcPr>
            <w:tcW w:w="1196" w:type="dxa"/>
            <w:vAlign w:val="center"/>
          </w:tcPr>
          <w:p>
            <w:pPr>
              <w:jc w:val="center"/>
              <w:rPr>
                <w:rFonts w:hint="eastAsia" w:ascii="新宋体" w:hAnsi="新宋体" w:eastAsia="新宋体"/>
                <w:sz w:val="24"/>
              </w:rPr>
            </w:pPr>
            <w:r>
              <w:rPr>
                <w:rFonts w:hint="eastAsia" w:ascii="新宋体" w:hAnsi="新宋体" w:eastAsia="新宋体"/>
                <w:sz w:val="24"/>
              </w:rPr>
              <w:t>联系</w:t>
            </w:r>
          </w:p>
          <w:p>
            <w:pPr>
              <w:jc w:val="center"/>
              <w:rPr>
                <w:rFonts w:hint="eastAsia" w:ascii="新宋体" w:hAnsi="新宋体" w:eastAsia="新宋体"/>
                <w:sz w:val="24"/>
              </w:rPr>
            </w:pPr>
            <w:r>
              <w:rPr>
                <w:rFonts w:hint="eastAsia" w:ascii="新宋体" w:hAnsi="新宋体" w:eastAsia="新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777" w:type="dxa"/>
            <w:vAlign w:val="center"/>
          </w:tcPr>
          <w:p>
            <w:pPr>
              <w:rPr>
                <w:rFonts w:hint="eastAsia" w:ascii="新宋体" w:hAnsi="新宋体" w:eastAsia="新宋体"/>
                <w:sz w:val="24"/>
              </w:rPr>
            </w:pPr>
          </w:p>
        </w:tc>
        <w:tc>
          <w:tcPr>
            <w:tcW w:w="1251" w:type="dxa"/>
            <w:vAlign w:val="center"/>
          </w:tcPr>
          <w:p>
            <w:pPr>
              <w:rPr>
                <w:rFonts w:hint="eastAsia" w:ascii="新宋体" w:hAnsi="新宋体" w:eastAsia="新宋体"/>
                <w:sz w:val="24"/>
              </w:rPr>
            </w:pPr>
          </w:p>
        </w:tc>
        <w:tc>
          <w:tcPr>
            <w:tcW w:w="1465" w:type="dxa"/>
            <w:vAlign w:val="center"/>
          </w:tcPr>
          <w:p>
            <w:pPr>
              <w:rPr>
                <w:rFonts w:hint="eastAsia" w:ascii="新宋体" w:hAnsi="新宋体" w:eastAsia="新宋体"/>
                <w:sz w:val="24"/>
              </w:rPr>
            </w:pPr>
          </w:p>
        </w:tc>
        <w:tc>
          <w:tcPr>
            <w:tcW w:w="1440" w:type="dxa"/>
            <w:vAlign w:val="center"/>
          </w:tcPr>
          <w:p>
            <w:pPr>
              <w:rPr>
                <w:rFonts w:hint="eastAsia" w:ascii="新宋体" w:hAnsi="新宋体" w:eastAsia="新宋体"/>
                <w:sz w:val="24"/>
              </w:rPr>
            </w:pPr>
          </w:p>
        </w:tc>
        <w:tc>
          <w:tcPr>
            <w:tcW w:w="1800" w:type="dxa"/>
            <w:vAlign w:val="center"/>
          </w:tcPr>
          <w:p>
            <w:pPr>
              <w:rPr>
                <w:rFonts w:hint="eastAsia" w:ascii="新宋体" w:hAnsi="新宋体" w:eastAsia="新宋体"/>
                <w:sz w:val="24"/>
              </w:rPr>
            </w:pPr>
          </w:p>
        </w:tc>
        <w:tc>
          <w:tcPr>
            <w:tcW w:w="1080" w:type="dxa"/>
            <w:vAlign w:val="center"/>
          </w:tcPr>
          <w:p>
            <w:pPr>
              <w:rPr>
                <w:rFonts w:hint="eastAsia" w:ascii="新宋体" w:hAnsi="新宋体" w:eastAsia="新宋体"/>
                <w:sz w:val="24"/>
              </w:rPr>
            </w:pPr>
          </w:p>
        </w:tc>
        <w:tc>
          <w:tcPr>
            <w:tcW w:w="1196" w:type="dxa"/>
          </w:tcPr>
          <w:p>
            <w:pPr>
              <w:rPr>
                <w:rFonts w:hint="eastAsia" w:ascii="新宋体" w:hAnsi="新宋体" w:eastAsia="新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777" w:type="dxa"/>
            <w:vAlign w:val="center"/>
          </w:tcPr>
          <w:p>
            <w:pPr>
              <w:rPr>
                <w:rFonts w:hint="eastAsia" w:ascii="新宋体" w:hAnsi="新宋体" w:eastAsia="新宋体"/>
                <w:sz w:val="24"/>
              </w:rPr>
            </w:pPr>
            <w:r>
              <w:rPr>
                <w:rFonts w:hint="eastAsia" w:ascii="新宋体" w:hAnsi="新宋体" w:eastAsia="新宋体"/>
                <w:sz w:val="24"/>
              </w:rPr>
              <w:t>……</w:t>
            </w:r>
          </w:p>
        </w:tc>
        <w:tc>
          <w:tcPr>
            <w:tcW w:w="1251" w:type="dxa"/>
            <w:vAlign w:val="center"/>
          </w:tcPr>
          <w:p>
            <w:pPr>
              <w:rPr>
                <w:rFonts w:hint="eastAsia" w:ascii="新宋体" w:hAnsi="新宋体" w:eastAsia="新宋体"/>
                <w:sz w:val="24"/>
              </w:rPr>
            </w:pPr>
          </w:p>
        </w:tc>
        <w:tc>
          <w:tcPr>
            <w:tcW w:w="1465" w:type="dxa"/>
            <w:vAlign w:val="center"/>
          </w:tcPr>
          <w:p>
            <w:pPr>
              <w:rPr>
                <w:rFonts w:hint="eastAsia" w:ascii="新宋体" w:hAnsi="新宋体" w:eastAsia="新宋体"/>
                <w:sz w:val="24"/>
              </w:rPr>
            </w:pPr>
          </w:p>
        </w:tc>
        <w:tc>
          <w:tcPr>
            <w:tcW w:w="1440" w:type="dxa"/>
            <w:vAlign w:val="center"/>
          </w:tcPr>
          <w:p>
            <w:pPr>
              <w:rPr>
                <w:rFonts w:hint="eastAsia" w:ascii="新宋体" w:hAnsi="新宋体" w:eastAsia="新宋体"/>
                <w:sz w:val="24"/>
              </w:rPr>
            </w:pPr>
          </w:p>
        </w:tc>
        <w:tc>
          <w:tcPr>
            <w:tcW w:w="1800" w:type="dxa"/>
            <w:vAlign w:val="center"/>
          </w:tcPr>
          <w:p>
            <w:pPr>
              <w:rPr>
                <w:rFonts w:hint="eastAsia" w:ascii="新宋体" w:hAnsi="新宋体" w:eastAsia="新宋体"/>
                <w:sz w:val="24"/>
              </w:rPr>
            </w:pPr>
          </w:p>
        </w:tc>
        <w:tc>
          <w:tcPr>
            <w:tcW w:w="1080" w:type="dxa"/>
            <w:vAlign w:val="center"/>
          </w:tcPr>
          <w:p>
            <w:pPr>
              <w:rPr>
                <w:rFonts w:hint="eastAsia" w:ascii="新宋体" w:hAnsi="新宋体" w:eastAsia="新宋体"/>
                <w:sz w:val="24"/>
              </w:rPr>
            </w:pPr>
          </w:p>
        </w:tc>
        <w:tc>
          <w:tcPr>
            <w:tcW w:w="1196" w:type="dxa"/>
          </w:tcPr>
          <w:p>
            <w:pPr>
              <w:rPr>
                <w:rFonts w:hint="eastAsia" w:ascii="新宋体" w:hAnsi="新宋体" w:eastAsia="新宋体"/>
                <w:sz w:val="24"/>
              </w:rPr>
            </w:pPr>
          </w:p>
        </w:tc>
      </w:tr>
    </w:tbl>
    <w:p>
      <w:pPr>
        <w:snapToGrid w:val="0"/>
        <w:spacing w:line="440" w:lineRule="exact"/>
        <w:ind w:firstLine="723" w:firstLineChars="300"/>
        <w:rPr>
          <w:rFonts w:hint="eastAsia" w:ascii="新宋体" w:hAnsi="新宋体" w:eastAsia="新宋体" w:cs="新宋体"/>
          <w:color w:val="FF0000"/>
          <w:sz w:val="28"/>
          <w:szCs w:val="28"/>
        </w:rPr>
      </w:pPr>
      <w:r>
        <w:rPr>
          <w:rFonts w:hint="eastAsia" w:ascii="宋体" w:hAnsi="宋体"/>
          <w:b/>
          <w:color w:val="FF0000"/>
          <w:sz w:val="24"/>
          <w:szCs w:val="24"/>
        </w:rPr>
        <w:t>注：评分标准中</w:t>
      </w:r>
      <w:r>
        <w:rPr>
          <w:rFonts w:hint="eastAsia" w:ascii="新宋体" w:hAnsi="新宋体" w:eastAsia="新宋体"/>
          <w:color w:val="FF0000"/>
          <w:sz w:val="24"/>
          <w:szCs w:val="24"/>
        </w:rPr>
        <w:t>投标人须提供近3年内 (201</w:t>
      </w:r>
      <w:r>
        <w:rPr>
          <w:rFonts w:hint="eastAsia" w:ascii="新宋体" w:hAnsi="新宋体" w:eastAsia="新宋体"/>
          <w:color w:val="FF0000"/>
          <w:sz w:val="24"/>
          <w:szCs w:val="24"/>
          <w:lang w:val="en-US" w:eastAsia="zh-CN"/>
        </w:rPr>
        <w:t>9</w:t>
      </w:r>
      <w:r>
        <w:rPr>
          <w:rFonts w:hint="eastAsia" w:ascii="新宋体" w:hAnsi="新宋体" w:eastAsia="新宋体"/>
          <w:color w:val="FF0000"/>
          <w:sz w:val="24"/>
          <w:szCs w:val="24"/>
        </w:rPr>
        <w:t>年10月1日以后)的</w:t>
      </w:r>
      <w:r>
        <w:rPr>
          <w:rFonts w:ascii="新宋体" w:hAnsi="新宋体" w:eastAsia="新宋体"/>
          <w:color w:val="FF0000"/>
          <w:sz w:val="24"/>
          <w:szCs w:val="24"/>
        </w:rPr>
        <w:t>合同</w:t>
      </w:r>
      <w:r>
        <w:rPr>
          <w:rFonts w:hint="eastAsia" w:ascii="新宋体" w:hAnsi="新宋体" w:eastAsia="新宋体"/>
          <w:color w:val="FF0000"/>
          <w:sz w:val="24"/>
          <w:szCs w:val="24"/>
        </w:rPr>
        <w:t>(或</w:t>
      </w:r>
      <w:commentRangeStart w:id="6"/>
      <w:r>
        <w:rPr>
          <w:rFonts w:hint="eastAsia" w:ascii="新宋体" w:hAnsi="新宋体" w:eastAsia="新宋体"/>
          <w:color w:val="FF0000"/>
          <w:sz w:val="24"/>
          <w:szCs w:val="24"/>
          <w:lang w:val="en-US" w:eastAsia="zh-CN"/>
        </w:rPr>
        <w:t>区县</w:t>
      </w:r>
      <w:commentRangeEnd w:id="6"/>
      <w:r>
        <w:commentReference w:id="6"/>
      </w:r>
      <w:r>
        <w:rPr>
          <w:rFonts w:hint="eastAsia" w:ascii="新宋体" w:hAnsi="新宋体" w:eastAsia="新宋体"/>
          <w:color w:val="FF0000"/>
          <w:sz w:val="24"/>
          <w:szCs w:val="24"/>
        </w:rPr>
        <w:t>级及以上的供水企业</w:t>
      </w:r>
      <w:r>
        <w:rPr>
          <w:rFonts w:hint="eastAsia" w:ascii="仿宋_GB2312" w:hAnsi="宋体" w:eastAsia="仿宋_GB2312"/>
          <w:color w:val="FF0000"/>
          <w:sz w:val="28"/>
          <w:u w:val="single"/>
        </w:rPr>
        <w:t>PE/PPR管材及管件</w:t>
      </w:r>
      <w:r>
        <w:rPr>
          <w:rFonts w:hint="eastAsia" w:ascii="新宋体" w:hAnsi="新宋体" w:eastAsia="新宋体"/>
          <w:color w:val="FF0000"/>
          <w:sz w:val="24"/>
          <w:szCs w:val="24"/>
        </w:rPr>
        <w:t>的年度供货合同)</w:t>
      </w:r>
      <w:r>
        <w:rPr>
          <w:rFonts w:ascii="新宋体" w:hAnsi="新宋体" w:eastAsia="新宋体"/>
          <w:color w:val="FF0000"/>
          <w:sz w:val="24"/>
          <w:szCs w:val="24"/>
        </w:rPr>
        <w:t>的</w:t>
      </w:r>
      <w:commentRangeStart w:id="7"/>
      <w:r>
        <w:rPr>
          <w:rFonts w:ascii="新宋体" w:hAnsi="新宋体" w:eastAsia="新宋体"/>
          <w:color w:val="FF0000"/>
          <w:sz w:val="24"/>
          <w:szCs w:val="24"/>
        </w:rPr>
        <w:t>业绩</w:t>
      </w:r>
      <w:r>
        <w:rPr>
          <w:rFonts w:hint="eastAsia" w:ascii="新宋体" w:hAnsi="新宋体" w:eastAsia="新宋体"/>
          <w:color w:val="FF0000"/>
          <w:sz w:val="24"/>
          <w:szCs w:val="24"/>
        </w:rPr>
        <w:t>得</w:t>
      </w:r>
      <w:r>
        <w:rPr>
          <w:rFonts w:hint="eastAsia" w:ascii="新宋体" w:hAnsi="新宋体" w:eastAsia="新宋体"/>
          <w:color w:val="FF0000"/>
          <w:sz w:val="24"/>
          <w:szCs w:val="24"/>
          <w:lang w:val="en-US" w:eastAsia="zh-CN"/>
        </w:rPr>
        <w:t>4</w:t>
      </w:r>
      <w:r>
        <w:rPr>
          <w:rFonts w:hint="eastAsia" w:ascii="新宋体" w:hAnsi="新宋体" w:eastAsia="新宋体"/>
          <w:color w:val="FF0000"/>
          <w:sz w:val="24"/>
          <w:szCs w:val="24"/>
        </w:rPr>
        <w:t>分</w:t>
      </w:r>
      <w:r>
        <w:rPr>
          <w:rFonts w:hint="eastAsia" w:ascii="新宋体" w:hAnsi="新宋体" w:eastAsia="新宋体"/>
          <w:color w:val="FF0000"/>
          <w:sz w:val="24"/>
          <w:szCs w:val="24"/>
          <w:lang w:eastAsia="zh-CN"/>
        </w:rPr>
        <w:t>，</w:t>
      </w:r>
      <w:r>
        <w:rPr>
          <w:rFonts w:hint="eastAsia" w:ascii="新宋体" w:hAnsi="新宋体" w:eastAsia="新宋体"/>
          <w:color w:val="FF0000"/>
          <w:sz w:val="24"/>
          <w:szCs w:val="24"/>
        </w:rPr>
        <w:t>最高得</w:t>
      </w:r>
      <w:r>
        <w:rPr>
          <w:rFonts w:hint="eastAsia" w:ascii="新宋体" w:hAnsi="新宋体" w:eastAsia="新宋体"/>
          <w:color w:val="FF0000"/>
          <w:sz w:val="24"/>
          <w:szCs w:val="24"/>
          <w:lang w:val="en-US" w:eastAsia="zh-CN"/>
        </w:rPr>
        <w:t>16</w:t>
      </w:r>
      <w:r>
        <w:rPr>
          <w:rFonts w:hint="eastAsia" w:ascii="新宋体" w:hAnsi="新宋体" w:eastAsia="新宋体"/>
          <w:color w:val="FF0000"/>
          <w:sz w:val="24"/>
          <w:szCs w:val="24"/>
        </w:rPr>
        <w:t>分。</w:t>
      </w:r>
      <w:commentRangeEnd w:id="7"/>
      <w:r>
        <w:commentReference w:id="7"/>
      </w:r>
      <w:r>
        <w:rPr>
          <w:rFonts w:ascii="新宋体" w:hAnsi="新宋体" w:eastAsia="新宋体"/>
          <w:color w:val="FF0000"/>
          <w:sz w:val="24"/>
          <w:szCs w:val="24"/>
        </w:rPr>
        <w:t>（</w:t>
      </w:r>
      <w:r>
        <w:rPr>
          <w:rFonts w:hint="eastAsia" w:ascii="新宋体" w:hAnsi="新宋体" w:eastAsia="新宋体"/>
          <w:color w:val="FF0000"/>
          <w:sz w:val="24"/>
          <w:szCs w:val="24"/>
        </w:rPr>
        <w:t>在评审时投标文件中</w:t>
      </w:r>
      <w:r>
        <w:rPr>
          <w:rFonts w:ascii="新宋体" w:hAnsi="新宋体" w:eastAsia="新宋体"/>
          <w:color w:val="FF0000"/>
          <w:sz w:val="24"/>
          <w:szCs w:val="24"/>
        </w:rPr>
        <w:t>需提供合同首页、合同清单、合同数量金额页和签字盖章页</w:t>
      </w:r>
      <w:r>
        <w:rPr>
          <w:rFonts w:hint="eastAsia" w:ascii="新宋体" w:hAnsi="新宋体" w:eastAsia="新宋体"/>
          <w:color w:val="FF0000"/>
          <w:sz w:val="24"/>
          <w:szCs w:val="24"/>
        </w:rPr>
        <w:t>复印件</w:t>
      </w:r>
      <w:r>
        <w:rPr>
          <w:rFonts w:ascii="新宋体" w:hAnsi="新宋体" w:eastAsia="新宋体"/>
          <w:color w:val="FF0000"/>
          <w:sz w:val="24"/>
          <w:szCs w:val="24"/>
        </w:rPr>
        <w:t>。</w:t>
      </w:r>
      <w:r>
        <w:rPr>
          <w:rFonts w:hint="eastAsia" w:ascii="新宋体" w:hAnsi="新宋体" w:eastAsia="新宋体"/>
          <w:color w:val="FF0000"/>
          <w:sz w:val="24"/>
          <w:szCs w:val="24"/>
        </w:rPr>
        <w:t>合同复印件需加盖投标单位公章。</w:t>
      </w:r>
      <w:r>
        <w:rPr>
          <w:rFonts w:ascii="新宋体" w:hAnsi="新宋体" w:eastAsia="新宋体"/>
          <w:color w:val="FF0000"/>
          <w:sz w:val="24"/>
          <w:szCs w:val="24"/>
        </w:rPr>
        <w:t>业绩的认定时间以合同签订时间为准）</w:t>
      </w:r>
    </w:p>
    <w:p>
      <w:pPr>
        <w:spacing w:line="440" w:lineRule="exact"/>
        <w:ind w:firstLine="840" w:firstLineChars="300"/>
        <w:rPr>
          <w:rFonts w:ascii="宋体" w:hAnsi="宋体"/>
          <w:sz w:val="28"/>
          <w:szCs w:val="28"/>
        </w:rPr>
      </w:pPr>
      <w:r>
        <w:rPr>
          <w:rFonts w:hint="eastAsia" w:ascii="宋体" w:hAnsi="宋体"/>
          <w:sz w:val="28"/>
          <w:szCs w:val="28"/>
        </w:rPr>
        <w:t>（4）、其他</w:t>
      </w:r>
    </w:p>
    <w:p>
      <w:pPr>
        <w:spacing w:line="440" w:lineRule="exact"/>
        <w:ind w:firstLine="980" w:firstLineChars="350"/>
        <w:rPr>
          <w:rFonts w:hint="eastAsia" w:ascii="宋体" w:hAnsi="宋体"/>
          <w:color w:val="000000"/>
          <w:sz w:val="28"/>
          <w:szCs w:val="28"/>
        </w:rPr>
      </w:pPr>
      <w:r>
        <w:rPr>
          <w:rFonts w:hint="eastAsia" w:ascii="宋体" w:hAnsi="宋体"/>
          <w:color w:val="000000"/>
          <w:sz w:val="28"/>
          <w:szCs w:val="28"/>
        </w:rPr>
        <w:t>2、简要介绍</w:t>
      </w:r>
      <w:r>
        <w:rPr>
          <w:rFonts w:hint="eastAsia" w:ascii="宋体" w:hAnsi="宋体"/>
          <w:b/>
          <w:color w:val="000000"/>
          <w:sz w:val="28"/>
          <w:szCs w:val="28"/>
        </w:rPr>
        <w:t>货物制造商</w:t>
      </w:r>
      <w:r>
        <w:rPr>
          <w:rFonts w:hint="eastAsia" w:ascii="宋体" w:hAnsi="宋体"/>
          <w:color w:val="000000"/>
          <w:sz w:val="28"/>
          <w:szCs w:val="28"/>
        </w:rPr>
        <w:t>规模实力，包括：</w:t>
      </w:r>
    </w:p>
    <w:p>
      <w:pPr>
        <w:snapToGrid w:val="0"/>
        <w:spacing w:line="440" w:lineRule="exact"/>
        <w:ind w:firstLine="980" w:firstLineChars="350"/>
        <w:rPr>
          <w:rFonts w:hint="eastAsia" w:ascii="宋体" w:hAnsi="宋体"/>
          <w:sz w:val="28"/>
          <w:szCs w:val="28"/>
        </w:rPr>
      </w:pPr>
      <w:r>
        <w:rPr>
          <w:rFonts w:hint="eastAsia" w:ascii="新宋体" w:hAnsi="新宋体" w:eastAsia="新宋体" w:cs="新宋体"/>
          <w:sz w:val="28"/>
          <w:szCs w:val="28"/>
        </w:rPr>
        <w:t>（1）</w:t>
      </w:r>
      <w:r>
        <w:rPr>
          <w:rFonts w:hint="eastAsia" w:ascii="新宋体" w:hAnsi="新宋体" w:eastAsia="新宋体"/>
          <w:sz w:val="28"/>
          <w:szCs w:val="28"/>
        </w:rPr>
        <w:t>货物制造商经营的历史、经验</w:t>
      </w:r>
    </w:p>
    <w:p>
      <w:pPr>
        <w:snapToGrid w:val="0"/>
        <w:spacing w:line="440" w:lineRule="exact"/>
        <w:ind w:firstLine="980" w:firstLineChars="350"/>
        <w:rPr>
          <w:rFonts w:hint="eastAsia" w:ascii="宋体" w:hAnsi="宋体"/>
          <w:color w:val="000000"/>
          <w:sz w:val="28"/>
          <w:szCs w:val="28"/>
        </w:rPr>
      </w:pPr>
      <w:r>
        <w:rPr>
          <w:rFonts w:hint="eastAsia" w:ascii="宋体" w:hAnsi="宋体"/>
          <w:color w:val="000000"/>
          <w:sz w:val="28"/>
          <w:szCs w:val="28"/>
        </w:rPr>
        <w:t>（2）其他</w:t>
      </w:r>
    </w:p>
    <w:p>
      <w:pPr>
        <w:snapToGrid w:val="0"/>
        <w:spacing w:line="440" w:lineRule="exact"/>
        <w:ind w:firstLine="980" w:firstLineChars="350"/>
        <w:rPr>
          <w:rFonts w:hint="eastAsia" w:ascii="宋体" w:hAnsi="宋体"/>
          <w:color w:val="000000"/>
          <w:sz w:val="28"/>
          <w:szCs w:val="28"/>
        </w:rPr>
      </w:pPr>
      <w:r>
        <w:rPr>
          <w:rFonts w:hint="eastAsia" w:ascii="宋体" w:hAnsi="宋体"/>
          <w:color w:val="000000"/>
          <w:sz w:val="28"/>
          <w:szCs w:val="28"/>
        </w:rPr>
        <w:t>注：投标文件中此部分内容如有与前面投标文件内容相同的，可不另行提供。</w:t>
      </w:r>
    </w:p>
    <w:p>
      <w:pPr>
        <w:spacing w:line="420" w:lineRule="exact"/>
        <w:rPr>
          <w:rFonts w:hint="eastAsia" w:ascii="宋体" w:hAnsi="宋体"/>
          <w:b/>
          <w:color w:val="000000"/>
          <w:sz w:val="32"/>
          <w:szCs w:val="32"/>
        </w:rPr>
      </w:pPr>
      <w:r>
        <w:rPr>
          <w:rFonts w:hint="eastAsia" w:ascii="宋体" w:hAnsi="宋体"/>
          <w:color w:val="000000"/>
          <w:sz w:val="28"/>
          <w:szCs w:val="28"/>
        </w:rPr>
        <w:t>（二）：</w:t>
      </w:r>
      <w:r>
        <w:rPr>
          <w:rFonts w:hint="eastAsia" w:ascii="宋体" w:hAnsi="宋体"/>
          <w:b/>
          <w:color w:val="000000"/>
          <w:sz w:val="32"/>
          <w:szCs w:val="32"/>
        </w:rPr>
        <w:t>货物服务技术方案</w:t>
      </w:r>
    </w:p>
    <w:p>
      <w:pPr>
        <w:spacing w:line="360" w:lineRule="auto"/>
        <w:jc w:val="center"/>
        <w:rPr>
          <w:rFonts w:hint="eastAsia" w:ascii="宋体" w:hAnsi="宋体"/>
          <w:b/>
          <w:sz w:val="28"/>
          <w:szCs w:val="28"/>
        </w:rPr>
      </w:pPr>
      <w:r>
        <w:rPr>
          <w:rFonts w:hint="eastAsia" w:ascii="宋体" w:hAnsi="宋体"/>
          <w:b/>
          <w:sz w:val="28"/>
          <w:szCs w:val="28"/>
        </w:rPr>
        <w:t>1、货物的详细配置清单</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85"/>
        <w:gridCol w:w="1823"/>
        <w:gridCol w:w="2638"/>
        <w:gridCol w:w="223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1185" w:type="dxa"/>
            <w:vAlign w:val="center"/>
          </w:tcPr>
          <w:p>
            <w:pPr>
              <w:spacing w:line="360" w:lineRule="auto"/>
              <w:jc w:val="center"/>
              <w:rPr>
                <w:rFonts w:hint="eastAsia" w:ascii="宋体" w:hAnsi="宋体"/>
                <w:szCs w:val="21"/>
              </w:rPr>
            </w:pPr>
            <w:r>
              <w:rPr>
                <w:rFonts w:hint="eastAsia" w:ascii="宋体" w:hAnsi="宋体"/>
                <w:szCs w:val="21"/>
              </w:rPr>
              <w:t>序号</w:t>
            </w:r>
          </w:p>
        </w:tc>
        <w:tc>
          <w:tcPr>
            <w:tcW w:w="1823" w:type="dxa"/>
            <w:vAlign w:val="center"/>
          </w:tcPr>
          <w:p>
            <w:pPr>
              <w:spacing w:line="360" w:lineRule="auto"/>
              <w:jc w:val="center"/>
              <w:rPr>
                <w:rFonts w:hint="eastAsia" w:ascii="宋体" w:hAnsi="宋体"/>
                <w:szCs w:val="21"/>
              </w:rPr>
            </w:pPr>
            <w:r>
              <w:rPr>
                <w:rFonts w:hint="eastAsia" w:ascii="宋体" w:hAnsi="宋体"/>
                <w:szCs w:val="21"/>
              </w:rPr>
              <w:t>货物名称</w:t>
            </w:r>
          </w:p>
        </w:tc>
        <w:tc>
          <w:tcPr>
            <w:tcW w:w="2638" w:type="dxa"/>
            <w:vAlign w:val="center"/>
          </w:tcPr>
          <w:p>
            <w:pPr>
              <w:spacing w:line="360" w:lineRule="auto"/>
              <w:jc w:val="center"/>
              <w:rPr>
                <w:rFonts w:hint="eastAsia" w:ascii="宋体" w:hAnsi="宋体"/>
                <w:szCs w:val="21"/>
              </w:rPr>
            </w:pPr>
            <w:r>
              <w:rPr>
                <w:rFonts w:hint="eastAsia" w:ascii="宋体" w:hAnsi="宋体"/>
                <w:szCs w:val="21"/>
              </w:rPr>
              <w:t>品牌、规格型号</w:t>
            </w:r>
          </w:p>
        </w:tc>
        <w:tc>
          <w:tcPr>
            <w:tcW w:w="2231" w:type="dxa"/>
            <w:vAlign w:val="center"/>
          </w:tcPr>
          <w:p>
            <w:pPr>
              <w:spacing w:line="360" w:lineRule="auto"/>
              <w:jc w:val="center"/>
              <w:rPr>
                <w:rFonts w:hint="eastAsia" w:ascii="宋体" w:hAnsi="宋体"/>
                <w:szCs w:val="21"/>
              </w:rPr>
            </w:pPr>
            <w:r>
              <w:rPr>
                <w:rFonts w:hint="eastAsia" w:ascii="宋体" w:hAnsi="宋体"/>
                <w:szCs w:val="21"/>
              </w:rPr>
              <w:t>原料来源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1185" w:type="dxa"/>
            <w:vAlign w:val="center"/>
          </w:tcPr>
          <w:p>
            <w:pPr>
              <w:jc w:val="center"/>
              <w:rPr>
                <w:rFonts w:hint="eastAsia" w:ascii="宋体" w:hAnsi="宋体"/>
                <w:sz w:val="24"/>
                <w:szCs w:val="24"/>
              </w:rPr>
            </w:pPr>
            <w:r>
              <w:rPr>
                <w:rFonts w:hint="eastAsia" w:ascii="宋体" w:hAnsi="宋体"/>
                <w:sz w:val="24"/>
                <w:szCs w:val="24"/>
              </w:rPr>
              <w:t>1</w:t>
            </w:r>
          </w:p>
        </w:tc>
        <w:tc>
          <w:tcPr>
            <w:tcW w:w="1823" w:type="dxa"/>
          </w:tcPr>
          <w:p>
            <w:pPr>
              <w:spacing w:line="360" w:lineRule="auto"/>
              <w:rPr>
                <w:rFonts w:hint="eastAsia" w:ascii="宋体" w:hAnsi="宋体"/>
                <w:sz w:val="24"/>
                <w:szCs w:val="24"/>
              </w:rPr>
            </w:pPr>
          </w:p>
        </w:tc>
        <w:tc>
          <w:tcPr>
            <w:tcW w:w="2638" w:type="dxa"/>
          </w:tcPr>
          <w:p>
            <w:pPr>
              <w:spacing w:line="360" w:lineRule="auto"/>
              <w:rPr>
                <w:rFonts w:hint="eastAsia" w:ascii="宋体" w:hAnsi="宋体"/>
                <w:sz w:val="24"/>
                <w:szCs w:val="24"/>
              </w:rPr>
            </w:pPr>
          </w:p>
        </w:tc>
        <w:tc>
          <w:tcPr>
            <w:tcW w:w="2231" w:type="dxa"/>
          </w:tcPr>
          <w:p>
            <w:pPr>
              <w:spacing w:line="360" w:lineRule="auto"/>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1185" w:type="dxa"/>
            <w:vAlign w:val="center"/>
          </w:tcPr>
          <w:p>
            <w:pPr>
              <w:jc w:val="center"/>
              <w:rPr>
                <w:rFonts w:hint="eastAsia" w:ascii="宋体" w:hAnsi="宋体"/>
                <w:sz w:val="24"/>
                <w:szCs w:val="24"/>
              </w:rPr>
            </w:pPr>
            <w:r>
              <w:rPr>
                <w:rFonts w:hint="eastAsia" w:ascii="宋体" w:hAnsi="宋体"/>
                <w:sz w:val="24"/>
                <w:szCs w:val="24"/>
              </w:rPr>
              <w:t>2</w:t>
            </w:r>
          </w:p>
        </w:tc>
        <w:tc>
          <w:tcPr>
            <w:tcW w:w="1823" w:type="dxa"/>
          </w:tcPr>
          <w:p>
            <w:pPr>
              <w:spacing w:line="360" w:lineRule="auto"/>
              <w:rPr>
                <w:rFonts w:hint="eastAsia" w:ascii="宋体" w:hAnsi="宋体"/>
                <w:sz w:val="24"/>
                <w:szCs w:val="24"/>
              </w:rPr>
            </w:pPr>
          </w:p>
        </w:tc>
        <w:tc>
          <w:tcPr>
            <w:tcW w:w="2638" w:type="dxa"/>
          </w:tcPr>
          <w:p>
            <w:pPr>
              <w:spacing w:line="360" w:lineRule="auto"/>
              <w:rPr>
                <w:rFonts w:hint="eastAsia" w:ascii="宋体" w:hAnsi="宋体"/>
                <w:sz w:val="24"/>
                <w:szCs w:val="24"/>
              </w:rPr>
            </w:pPr>
          </w:p>
        </w:tc>
        <w:tc>
          <w:tcPr>
            <w:tcW w:w="2231" w:type="dxa"/>
          </w:tcPr>
          <w:p>
            <w:pPr>
              <w:spacing w:line="360" w:lineRule="auto"/>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1185" w:type="dxa"/>
            <w:vAlign w:val="center"/>
          </w:tcPr>
          <w:p>
            <w:pPr>
              <w:jc w:val="center"/>
              <w:rPr>
                <w:rFonts w:hint="eastAsia" w:ascii="宋体" w:hAnsi="宋体"/>
                <w:sz w:val="24"/>
                <w:szCs w:val="24"/>
              </w:rPr>
            </w:pPr>
            <w:r>
              <w:rPr>
                <w:rFonts w:hint="eastAsia" w:ascii="宋体" w:hAnsi="宋体"/>
                <w:sz w:val="24"/>
                <w:szCs w:val="24"/>
              </w:rPr>
              <w:t>3</w:t>
            </w:r>
          </w:p>
        </w:tc>
        <w:tc>
          <w:tcPr>
            <w:tcW w:w="1823" w:type="dxa"/>
          </w:tcPr>
          <w:p>
            <w:pPr>
              <w:spacing w:line="360" w:lineRule="auto"/>
              <w:rPr>
                <w:rFonts w:hint="eastAsia" w:ascii="宋体" w:hAnsi="宋体"/>
                <w:sz w:val="24"/>
                <w:szCs w:val="24"/>
              </w:rPr>
            </w:pPr>
          </w:p>
        </w:tc>
        <w:tc>
          <w:tcPr>
            <w:tcW w:w="2638" w:type="dxa"/>
          </w:tcPr>
          <w:p>
            <w:pPr>
              <w:spacing w:line="360" w:lineRule="auto"/>
              <w:rPr>
                <w:rFonts w:hint="eastAsia" w:ascii="宋体" w:hAnsi="宋体"/>
                <w:sz w:val="24"/>
                <w:szCs w:val="24"/>
              </w:rPr>
            </w:pPr>
          </w:p>
        </w:tc>
        <w:tc>
          <w:tcPr>
            <w:tcW w:w="2231" w:type="dxa"/>
          </w:tcPr>
          <w:p>
            <w:pPr>
              <w:spacing w:line="360" w:lineRule="auto"/>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1185" w:type="dxa"/>
            <w:vAlign w:val="center"/>
          </w:tcPr>
          <w:p>
            <w:pPr>
              <w:jc w:val="center"/>
              <w:rPr>
                <w:rFonts w:ascii="宋体" w:hAnsi="宋体"/>
                <w:sz w:val="24"/>
                <w:szCs w:val="24"/>
              </w:rPr>
            </w:pPr>
            <w:r>
              <w:rPr>
                <w:rFonts w:hint="eastAsia" w:ascii="宋体" w:hAnsi="宋体"/>
                <w:sz w:val="24"/>
                <w:szCs w:val="24"/>
              </w:rPr>
              <w:t>…</w:t>
            </w:r>
          </w:p>
        </w:tc>
        <w:tc>
          <w:tcPr>
            <w:tcW w:w="1823" w:type="dxa"/>
          </w:tcPr>
          <w:p>
            <w:pPr>
              <w:spacing w:line="360" w:lineRule="auto"/>
              <w:rPr>
                <w:rFonts w:hint="eastAsia" w:ascii="宋体" w:hAnsi="宋体"/>
                <w:sz w:val="24"/>
                <w:szCs w:val="24"/>
              </w:rPr>
            </w:pPr>
          </w:p>
        </w:tc>
        <w:tc>
          <w:tcPr>
            <w:tcW w:w="2638" w:type="dxa"/>
          </w:tcPr>
          <w:p>
            <w:pPr>
              <w:spacing w:line="360" w:lineRule="auto"/>
              <w:rPr>
                <w:rFonts w:hint="eastAsia" w:ascii="宋体" w:hAnsi="宋体"/>
                <w:sz w:val="24"/>
                <w:szCs w:val="24"/>
              </w:rPr>
            </w:pPr>
          </w:p>
        </w:tc>
        <w:tc>
          <w:tcPr>
            <w:tcW w:w="2231" w:type="dxa"/>
          </w:tcPr>
          <w:p>
            <w:pPr>
              <w:spacing w:line="360" w:lineRule="auto"/>
              <w:rPr>
                <w:rFonts w:hint="eastAsia" w:ascii="宋体" w:hAnsi="宋体"/>
                <w:sz w:val="24"/>
                <w:szCs w:val="24"/>
              </w:rPr>
            </w:pPr>
          </w:p>
        </w:tc>
      </w:tr>
    </w:tbl>
    <w:p>
      <w:pPr>
        <w:rPr>
          <w:rFonts w:hint="eastAsia" w:ascii="宋体" w:hAnsi="宋体"/>
          <w:color w:val="000000"/>
          <w:sz w:val="28"/>
          <w:szCs w:val="28"/>
        </w:rPr>
      </w:pPr>
      <w:r>
        <w:rPr>
          <w:rFonts w:hint="eastAsia" w:ascii="新宋体" w:hAnsi="新宋体" w:eastAsia="新宋体" w:cs="Arial"/>
          <w:b/>
          <w:sz w:val="28"/>
          <w:szCs w:val="28"/>
        </w:rPr>
        <w:t>（三）</w:t>
      </w:r>
      <w:r>
        <w:rPr>
          <w:rFonts w:hint="eastAsia" w:ascii="宋体" w:hAnsi="宋体"/>
          <w:color w:val="000000"/>
          <w:sz w:val="28"/>
          <w:szCs w:val="28"/>
        </w:rPr>
        <w:t>投标货物的质量保证措施</w:t>
      </w:r>
    </w:p>
    <w:p>
      <w:pPr>
        <w:spacing w:line="400" w:lineRule="exact"/>
        <w:rPr>
          <w:rFonts w:ascii="宋体" w:hAnsi="宋体"/>
          <w:color w:val="FF0000"/>
          <w:sz w:val="24"/>
          <w:szCs w:val="24"/>
        </w:rPr>
      </w:pPr>
      <w:r>
        <w:rPr>
          <w:rFonts w:hint="eastAsia" w:ascii="宋体" w:hAnsi="宋体" w:cs="宋体"/>
          <w:b/>
          <w:color w:val="444444"/>
          <w:kern w:val="0"/>
          <w:sz w:val="28"/>
          <w:szCs w:val="28"/>
        </w:rPr>
        <w:t>（四）</w:t>
      </w:r>
      <w:r>
        <w:rPr>
          <w:rFonts w:hint="eastAsia" w:ascii="新宋体" w:hAnsi="新宋体" w:eastAsia="新宋体" w:cs="Arial"/>
          <w:b/>
          <w:sz w:val="28"/>
          <w:szCs w:val="28"/>
        </w:rPr>
        <w:t>质保及</w:t>
      </w:r>
      <w:r>
        <w:rPr>
          <w:rFonts w:ascii="新宋体" w:hAnsi="新宋体" w:eastAsia="新宋体" w:cs="Arial"/>
          <w:b/>
          <w:sz w:val="28"/>
          <w:szCs w:val="28"/>
        </w:rPr>
        <w:t>售后服务</w:t>
      </w:r>
    </w:p>
    <w:p>
      <w:pPr>
        <w:spacing w:line="400" w:lineRule="exact"/>
        <w:ind w:firstLine="817" w:firstLineChars="292"/>
        <w:rPr>
          <w:rFonts w:ascii="新宋体" w:hAnsi="新宋体" w:eastAsia="新宋体"/>
          <w:sz w:val="28"/>
          <w:szCs w:val="28"/>
        </w:rPr>
      </w:pPr>
      <w:r>
        <w:rPr>
          <w:rFonts w:hint="eastAsia" w:ascii="新宋体" w:hAnsi="新宋体" w:eastAsia="新宋体"/>
          <w:sz w:val="28"/>
          <w:szCs w:val="28"/>
        </w:rPr>
        <w:t>1、承诺的质保内容</w:t>
      </w:r>
    </w:p>
    <w:p>
      <w:pPr>
        <w:spacing w:line="400" w:lineRule="exact"/>
        <w:ind w:firstLine="817" w:firstLineChars="292"/>
        <w:rPr>
          <w:rFonts w:ascii="新宋体" w:hAnsi="新宋体" w:eastAsia="新宋体"/>
          <w:sz w:val="28"/>
          <w:szCs w:val="28"/>
        </w:rPr>
      </w:pPr>
      <w:r>
        <w:rPr>
          <w:rFonts w:hint="eastAsia" w:ascii="新宋体" w:hAnsi="新宋体" w:eastAsia="新宋体"/>
          <w:sz w:val="28"/>
          <w:szCs w:val="28"/>
        </w:rPr>
        <w:t>2、货物免费质保期一览表（如果不同的部件质保期不同，应分别列明，但质保期均不可低于招标文件的要求）</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0"/>
        <w:gridCol w:w="888"/>
        <w:gridCol w:w="791"/>
        <w:gridCol w:w="1336"/>
        <w:gridCol w:w="1881"/>
        <w:gridCol w:w="1881"/>
        <w:gridCol w:w="16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790" w:type="dxa"/>
            <w:vAlign w:val="center"/>
          </w:tcPr>
          <w:p>
            <w:pPr>
              <w:pStyle w:val="19"/>
              <w:spacing w:line="420" w:lineRule="exact"/>
              <w:jc w:val="center"/>
              <w:rPr>
                <w:rFonts w:ascii="新宋体" w:hAnsi="新宋体" w:eastAsia="新宋体"/>
                <w:sz w:val="24"/>
              </w:rPr>
            </w:pPr>
            <w:r>
              <w:rPr>
                <w:rFonts w:hint="eastAsia" w:ascii="新宋体" w:hAnsi="新宋体" w:eastAsia="新宋体"/>
                <w:sz w:val="24"/>
              </w:rPr>
              <w:t>序号</w:t>
            </w:r>
          </w:p>
        </w:tc>
        <w:tc>
          <w:tcPr>
            <w:tcW w:w="888" w:type="dxa"/>
            <w:vAlign w:val="center"/>
          </w:tcPr>
          <w:p>
            <w:pPr>
              <w:pStyle w:val="19"/>
              <w:spacing w:line="420" w:lineRule="exact"/>
              <w:ind w:left="87"/>
              <w:jc w:val="center"/>
              <w:rPr>
                <w:rFonts w:ascii="新宋体" w:hAnsi="新宋体" w:eastAsia="新宋体"/>
                <w:sz w:val="24"/>
              </w:rPr>
            </w:pPr>
            <w:r>
              <w:rPr>
                <w:rFonts w:hint="eastAsia" w:ascii="新宋体" w:hAnsi="新宋体" w:eastAsia="新宋体"/>
                <w:sz w:val="24"/>
              </w:rPr>
              <w:t>品名</w:t>
            </w:r>
          </w:p>
        </w:tc>
        <w:tc>
          <w:tcPr>
            <w:tcW w:w="791" w:type="dxa"/>
            <w:vAlign w:val="center"/>
          </w:tcPr>
          <w:p>
            <w:pPr>
              <w:pStyle w:val="19"/>
              <w:spacing w:line="420" w:lineRule="exact"/>
              <w:jc w:val="center"/>
              <w:rPr>
                <w:rFonts w:ascii="新宋体" w:hAnsi="新宋体" w:eastAsia="新宋体"/>
                <w:sz w:val="24"/>
              </w:rPr>
            </w:pPr>
            <w:r>
              <w:rPr>
                <w:rFonts w:hint="eastAsia" w:ascii="新宋体" w:hAnsi="新宋体" w:eastAsia="新宋体"/>
                <w:sz w:val="24"/>
              </w:rPr>
              <w:t>品牌</w:t>
            </w:r>
          </w:p>
        </w:tc>
        <w:tc>
          <w:tcPr>
            <w:tcW w:w="1336" w:type="dxa"/>
            <w:vAlign w:val="center"/>
          </w:tcPr>
          <w:p>
            <w:pPr>
              <w:pStyle w:val="19"/>
              <w:spacing w:line="420" w:lineRule="exact"/>
              <w:jc w:val="center"/>
              <w:rPr>
                <w:rFonts w:ascii="新宋体" w:hAnsi="新宋体" w:eastAsia="新宋体"/>
                <w:sz w:val="24"/>
              </w:rPr>
            </w:pPr>
            <w:r>
              <w:rPr>
                <w:rFonts w:hint="eastAsia" w:ascii="新宋体" w:hAnsi="新宋体" w:eastAsia="新宋体"/>
                <w:sz w:val="24"/>
              </w:rPr>
              <w:t>规格型号</w:t>
            </w:r>
          </w:p>
        </w:tc>
        <w:tc>
          <w:tcPr>
            <w:tcW w:w="1881" w:type="dxa"/>
            <w:vAlign w:val="center"/>
          </w:tcPr>
          <w:p>
            <w:pPr>
              <w:pStyle w:val="19"/>
              <w:spacing w:line="420" w:lineRule="exact"/>
              <w:jc w:val="center"/>
              <w:rPr>
                <w:rFonts w:ascii="新宋体" w:hAnsi="新宋体" w:eastAsia="新宋体"/>
                <w:sz w:val="24"/>
              </w:rPr>
            </w:pPr>
            <w:r>
              <w:rPr>
                <w:rFonts w:hint="eastAsia" w:ascii="新宋体" w:hAnsi="新宋体" w:eastAsia="新宋体"/>
                <w:sz w:val="24"/>
              </w:rPr>
              <w:t>生产制造厂家</w:t>
            </w:r>
          </w:p>
        </w:tc>
        <w:tc>
          <w:tcPr>
            <w:tcW w:w="1881" w:type="dxa"/>
            <w:vAlign w:val="center"/>
          </w:tcPr>
          <w:p>
            <w:pPr>
              <w:pStyle w:val="19"/>
              <w:spacing w:line="420" w:lineRule="exact"/>
              <w:jc w:val="center"/>
              <w:rPr>
                <w:rFonts w:ascii="新宋体" w:hAnsi="新宋体" w:eastAsia="新宋体"/>
                <w:sz w:val="24"/>
              </w:rPr>
            </w:pPr>
            <w:r>
              <w:rPr>
                <w:rFonts w:hint="eastAsia" w:ascii="新宋体" w:hAnsi="新宋体" w:eastAsia="新宋体"/>
                <w:sz w:val="24"/>
              </w:rPr>
              <w:t>生产制造日期</w:t>
            </w:r>
          </w:p>
        </w:tc>
        <w:tc>
          <w:tcPr>
            <w:tcW w:w="1607" w:type="dxa"/>
            <w:vAlign w:val="center"/>
          </w:tcPr>
          <w:p>
            <w:pPr>
              <w:pStyle w:val="19"/>
              <w:spacing w:line="420" w:lineRule="exact"/>
              <w:jc w:val="center"/>
              <w:rPr>
                <w:rFonts w:ascii="新宋体" w:hAnsi="新宋体" w:eastAsia="新宋体"/>
                <w:sz w:val="24"/>
              </w:rPr>
            </w:pPr>
            <w:r>
              <w:rPr>
                <w:rFonts w:hint="eastAsia" w:ascii="新宋体" w:hAnsi="新宋体" w:eastAsia="新宋体"/>
                <w:sz w:val="24"/>
              </w:rPr>
              <w:t>免费质保期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790" w:type="dxa"/>
            <w:vAlign w:val="center"/>
          </w:tcPr>
          <w:p>
            <w:pPr>
              <w:pStyle w:val="19"/>
              <w:spacing w:line="420" w:lineRule="exact"/>
              <w:jc w:val="center"/>
              <w:rPr>
                <w:rFonts w:ascii="新宋体" w:hAnsi="新宋体" w:eastAsia="新宋体"/>
                <w:b w:val="0"/>
                <w:sz w:val="24"/>
              </w:rPr>
            </w:pPr>
            <w:r>
              <w:rPr>
                <w:rFonts w:ascii="新宋体" w:hAnsi="新宋体" w:eastAsia="新宋体"/>
                <w:b w:val="0"/>
                <w:sz w:val="24"/>
              </w:rPr>
              <w:t>1</w:t>
            </w:r>
          </w:p>
        </w:tc>
        <w:tc>
          <w:tcPr>
            <w:tcW w:w="888" w:type="dxa"/>
            <w:vAlign w:val="center"/>
          </w:tcPr>
          <w:p>
            <w:pPr>
              <w:pStyle w:val="19"/>
              <w:spacing w:line="420" w:lineRule="exact"/>
              <w:jc w:val="center"/>
              <w:rPr>
                <w:rFonts w:ascii="新宋体" w:hAnsi="新宋体" w:eastAsia="新宋体"/>
                <w:sz w:val="24"/>
              </w:rPr>
            </w:pPr>
          </w:p>
        </w:tc>
        <w:tc>
          <w:tcPr>
            <w:tcW w:w="791" w:type="dxa"/>
            <w:vAlign w:val="center"/>
          </w:tcPr>
          <w:p>
            <w:pPr>
              <w:pStyle w:val="19"/>
              <w:spacing w:line="420" w:lineRule="exact"/>
              <w:jc w:val="center"/>
              <w:rPr>
                <w:rFonts w:ascii="新宋体" w:hAnsi="新宋体" w:eastAsia="新宋体"/>
                <w:sz w:val="24"/>
              </w:rPr>
            </w:pPr>
          </w:p>
        </w:tc>
        <w:tc>
          <w:tcPr>
            <w:tcW w:w="1336" w:type="dxa"/>
            <w:vAlign w:val="center"/>
          </w:tcPr>
          <w:p>
            <w:pPr>
              <w:pStyle w:val="19"/>
              <w:spacing w:line="420" w:lineRule="exact"/>
              <w:jc w:val="center"/>
              <w:rPr>
                <w:rFonts w:ascii="新宋体" w:hAnsi="新宋体" w:eastAsia="新宋体"/>
                <w:sz w:val="24"/>
              </w:rPr>
            </w:pPr>
          </w:p>
        </w:tc>
        <w:tc>
          <w:tcPr>
            <w:tcW w:w="1881" w:type="dxa"/>
            <w:vAlign w:val="center"/>
          </w:tcPr>
          <w:p>
            <w:pPr>
              <w:pStyle w:val="19"/>
              <w:spacing w:line="420" w:lineRule="exact"/>
              <w:jc w:val="center"/>
              <w:rPr>
                <w:rFonts w:ascii="新宋体" w:hAnsi="新宋体" w:eastAsia="新宋体"/>
                <w:sz w:val="24"/>
              </w:rPr>
            </w:pPr>
          </w:p>
        </w:tc>
        <w:tc>
          <w:tcPr>
            <w:tcW w:w="1881" w:type="dxa"/>
            <w:vAlign w:val="center"/>
          </w:tcPr>
          <w:p>
            <w:pPr>
              <w:pStyle w:val="19"/>
              <w:spacing w:line="420" w:lineRule="exact"/>
              <w:jc w:val="center"/>
              <w:rPr>
                <w:rFonts w:ascii="新宋体" w:hAnsi="新宋体" w:eastAsia="新宋体"/>
                <w:sz w:val="24"/>
              </w:rPr>
            </w:pPr>
          </w:p>
        </w:tc>
        <w:tc>
          <w:tcPr>
            <w:tcW w:w="1607" w:type="dxa"/>
            <w:vAlign w:val="center"/>
          </w:tcPr>
          <w:p>
            <w:pPr>
              <w:pStyle w:val="19"/>
              <w:spacing w:line="420" w:lineRule="exact"/>
              <w:jc w:val="center"/>
              <w:rPr>
                <w:rFonts w:ascii="新宋体" w:hAnsi="新宋体" w:eastAsia="新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790" w:type="dxa"/>
            <w:vAlign w:val="center"/>
          </w:tcPr>
          <w:p>
            <w:pPr>
              <w:pStyle w:val="19"/>
              <w:spacing w:line="420" w:lineRule="exact"/>
              <w:jc w:val="center"/>
              <w:rPr>
                <w:rFonts w:ascii="新宋体" w:hAnsi="新宋体" w:eastAsia="新宋体"/>
                <w:b w:val="0"/>
                <w:sz w:val="24"/>
              </w:rPr>
            </w:pPr>
            <w:r>
              <w:rPr>
                <w:rFonts w:ascii="新宋体" w:hAnsi="新宋体" w:eastAsia="新宋体"/>
                <w:b w:val="0"/>
                <w:sz w:val="24"/>
              </w:rPr>
              <w:t>2</w:t>
            </w:r>
          </w:p>
        </w:tc>
        <w:tc>
          <w:tcPr>
            <w:tcW w:w="888" w:type="dxa"/>
            <w:vAlign w:val="center"/>
          </w:tcPr>
          <w:p>
            <w:pPr>
              <w:pStyle w:val="19"/>
              <w:spacing w:line="420" w:lineRule="exact"/>
              <w:jc w:val="center"/>
              <w:rPr>
                <w:rFonts w:ascii="新宋体" w:hAnsi="新宋体" w:eastAsia="新宋体"/>
                <w:sz w:val="24"/>
              </w:rPr>
            </w:pPr>
          </w:p>
        </w:tc>
        <w:tc>
          <w:tcPr>
            <w:tcW w:w="791" w:type="dxa"/>
            <w:vAlign w:val="center"/>
          </w:tcPr>
          <w:p>
            <w:pPr>
              <w:pStyle w:val="19"/>
              <w:spacing w:line="420" w:lineRule="exact"/>
              <w:jc w:val="center"/>
              <w:rPr>
                <w:rFonts w:ascii="新宋体" w:hAnsi="新宋体" w:eastAsia="新宋体"/>
                <w:sz w:val="24"/>
              </w:rPr>
            </w:pPr>
          </w:p>
        </w:tc>
        <w:tc>
          <w:tcPr>
            <w:tcW w:w="1336" w:type="dxa"/>
            <w:vAlign w:val="center"/>
          </w:tcPr>
          <w:p>
            <w:pPr>
              <w:pStyle w:val="19"/>
              <w:spacing w:line="420" w:lineRule="exact"/>
              <w:jc w:val="center"/>
              <w:rPr>
                <w:rFonts w:ascii="新宋体" w:hAnsi="新宋体" w:eastAsia="新宋体"/>
                <w:sz w:val="24"/>
              </w:rPr>
            </w:pPr>
          </w:p>
        </w:tc>
        <w:tc>
          <w:tcPr>
            <w:tcW w:w="1881" w:type="dxa"/>
            <w:vAlign w:val="center"/>
          </w:tcPr>
          <w:p>
            <w:pPr>
              <w:pStyle w:val="19"/>
              <w:spacing w:line="420" w:lineRule="exact"/>
              <w:jc w:val="center"/>
              <w:rPr>
                <w:rFonts w:ascii="新宋体" w:hAnsi="新宋体" w:eastAsia="新宋体"/>
                <w:sz w:val="24"/>
              </w:rPr>
            </w:pPr>
          </w:p>
        </w:tc>
        <w:tc>
          <w:tcPr>
            <w:tcW w:w="1881" w:type="dxa"/>
            <w:vAlign w:val="center"/>
          </w:tcPr>
          <w:p>
            <w:pPr>
              <w:pStyle w:val="19"/>
              <w:spacing w:line="420" w:lineRule="exact"/>
              <w:jc w:val="center"/>
              <w:rPr>
                <w:rFonts w:ascii="新宋体" w:hAnsi="新宋体" w:eastAsia="新宋体"/>
                <w:sz w:val="24"/>
              </w:rPr>
            </w:pPr>
          </w:p>
        </w:tc>
        <w:tc>
          <w:tcPr>
            <w:tcW w:w="1607" w:type="dxa"/>
            <w:vAlign w:val="center"/>
          </w:tcPr>
          <w:p>
            <w:pPr>
              <w:pStyle w:val="19"/>
              <w:spacing w:line="420" w:lineRule="exact"/>
              <w:jc w:val="center"/>
              <w:rPr>
                <w:rFonts w:ascii="新宋体" w:hAnsi="新宋体" w:eastAsia="新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790" w:type="dxa"/>
            <w:vAlign w:val="center"/>
          </w:tcPr>
          <w:p>
            <w:pPr>
              <w:spacing w:line="420" w:lineRule="exact"/>
              <w:jc w:val="center"/>
              <w:rPr>
                <w:rFonts w:ascii="新宋体" w:hAnsi="新宋体" w:eastAsia="新宋体"/>
                <w:sz w:val="24"/>
              </w:rPr>
            </w:pPr>
            <w:r>
              <w:rPr>
                <w:rFonts w:hint="eastAsia" w:ascii="新宋体" w:hAnsi="新宋体" w:eastAsia="新宋体"/>
                <w:sz w:val="24"/>
              </w:rPr>
              <w:t>…</w:t>
            </w:r>
          </w:p>
        </w:tc>
        <w:tc>
          <w:tcPr>
            <w:tcW w:w="888" w:type="dxa"/>
            <w:vAlign w:val="center"/>
          </w:tcPr>
          <w:p>
            <w:pPr>
              <w:pStyle w:val="19"/>
              <w:spacing w:line="420" w:lineRule="exact"/>
              <w:jc w:val="center"/>
              <w:rPr>
                <w:rFonts w:ascii="新宋体" w:hAnsi="新宋体" w:eastAsia="新宋体"/>
                <w:sz w:val="24"/>
              </w:rPr>
            </w:pPr>
          </w:p>
        </w:tc>
        <w:tc>
          <w:tcPr>
            <w:tcW w:w="791" w:type="dxa"/>
            <w:vAlign w:val="center"/>
          </w:tcPr>
          <w:p>
            <w:pPr>
              <w:pStyle w:val="19"/>
              <w:spacing w:line="420" w:lineRule="exact"/>
              <w:jc w:val="center"/>
              <w:rPr>
                <w:rFonts w:ascii="新宋体" w:hAnsi="新宋体" w:eastAsia="新宋体"/>
                <w:sz w:val="24"/>
              </w:rPr>
            </w:pPr>
          </w:p>
        </w:tc>
        <w:tc>
          <w:tcPr>
            <w:tcW w:w="1336" w:type="dxa"/>
            <w:vAlign w:val="center"/>
          </w:tcPr>
          <w:p>
            <w:pPr>
              <w:pStyle w:val="19"/>
              <w:spacing w:line="420" w:lineRule="exact"/>
              <w:jc w:val="center"/>
              <w:rPr>
                <w:rFonts w:ascii="新宋体" w:hAnsi="新宋体" w:eastAsia="新宋体"/>
                <w:sz w:val="24"/>
              </w:rPr>
            </w:pPr>
          </w:p>
        </w:tc>
        <w:tc>
          <w:tcPr>
            <w:tcW w:w="1881" w:type="dxa"/>
            <w:vAlign w:val="center"/>
          </w:tcPr>
          <w:p>
            <w:pPr>
              <w:pStyle w:val="19"/>
              <w:spacing w:line="420" w:lineRule="exact"/>
              <w:jc w:val="center"/>
              <w:rPr>
                <w:rFonts w:ascii="新宋体" w:hAnsi="新宋体" w:eastAsia="新宋体"/>
                <w:sz w:val="24"/>
              </w:rPr>
            </w:pPr>
          </w:p>
        </w:tc>
        <w:tc>
          <w:tcPr>
            <w:tcW w:w="1881" w:type="dxa"/>
            <w:vAlign w:val="center"/>
          </w:tcPr>
          <w:p>
            <w:pPr>
              <w:pStyle w:val="19"/>
              <w:spacing w:line="420" w:lineRule="exact"/>
              <w:jc w:val="center"/>
              <w:rPr>
                <w:rFonts w:ascii="新宋体" w:hAnsi="新宋体" w:eastAsia="新宋体"/>
                <w:sz w:val="24"/>
              </w:rPr>
            </w:pPr>
          </w:p>
        </w:tc>
        <w:tc>
          <w:tcPr>
            <w:tcW w:w="1607" w:type="dxa"/>
            <w:vAlign w:val="center"/>
          </w:tcPr>
          <w:p>
            <w:pPr>
              <w:pStyle w:val="19"/>
              <w:spacing w:line="420" w:lineRule="exact"/>
              <w:jc w:val="center"/>
              <w:rPr>
                <w:rFonts w:ascii="新宋体" w:hAnsi="新宋体" w:eastAsia="新宋体"/>
                <w:sz w:val="24"/>
              </w:rPr>
            </w:pPr>
          </w:p>
        </w:tc>
      </w:tr>
    </w:tbl>
    <w:p>
      <w:pPr>
        <w:spacing w:line="440" w:lineRule="exact"/>
        <w:ind w:firstLine="700" w:firstLineChars="250"/>
        <w:rPr>
          <w:rFonts w:ascii="新宋体" w:hAnsi="新宋体" w:eastAsia="新宋体"/>
          <w:sz w:val="28"/>
          <w:szCs w:val="28"/>
        </w:rPr>
      </w:pPr>
      <w:r>
        <w:rPr>
          <w:rFonts w:hint="eastAsia" w:ascii="新宋体" w:hAnsi="新宋体" w:eastAsia="新宋体"/>
          <w:sz w:val="28"/>
          <w:szCs w:val="28"/>
        </w:rPr>
        <w:t>3、售后服务</w:t>
      </w:r>
    </w:p>
    <w:p>
      <w:pPr>
        <w:pStyle w:val="28"/>
        <w:spacing w:line="440" w:lineRule="exact"/>
        <w:ind w:firstLine="700" w:firstLineChars="250"/>
        <w:rPr>
          <w:rFonts w:ascii="新宋体" w:hAnsi="新宋体" w:eastAsia="新宋体"/>
          <w:sz w:val="28"/>
          <w:szCs w:val="28"/>
        </w:rPr>
      </w:pPr>
      <w:r>
        <w:rPr>
          <w:rFonts w:hint="eastAsia" w:ascii="新宋体" w:hAnsi="新宋体" w:eastAsia="新宋体"/>
          <w:sz w:val="28"/>
          <w:szCs w:val="28"/>
        </w:rPr>
        <w:t>投标人应提供全方位、有效而及时的技术支持和服务，主要包括：</w:t>
      </w:r>
    </w:p>
    <w:p>
      <w:pPr>
        <w:spacing w:line="440" w:lineRule="exact"/>
        <w:ind w:firstLine="677" w:firstLineChars="242"/>
        <w:rPr>
          <w:rFonts w:hint="eastAsia" w:ascii="新宋体" w:hAnsi="新宋体" w:eastAsia="新宋体"/>
          <w:sz w:val="28"/>
          <w:szCs w:val="28"/>
        </w:rPr>
      </w:pPr>
      <w:r>
        <w:rPr>
          <w:rFonts w:hint="eastAsia" w:ascii="新宋体" w:hAnsi="新宋体" w:eastAsia="新宋体"/>
          <w:sz w:val="28"/>
          <w:szCs w:val="28"/>
        </w:rPr>
        <w:t>(1)反映问题后的响应时间（指接到电话起赶到现场的时间）；</w:t>
      </w:r>
    </w:p>
    <w:p>
      <w:pPr>
        <w:spacing w:line="440" w:lineRule="exact"/>
        <w:ind w:firstLine="677" w:firstLineChars="242"/>
        <w:rPr>
          <w:rFonts w:hint="eastAsia" w:ascii="新宋体" w:hAnsi="新宋体" w:eastAsia="新宋体"/>
          <w:sz w:val="28"/>
          <w:szCs w:val="28"/>
        </w:rPr>
      </w:pPr>
      <w:r>
        <w:rPr>
          <w:rFonts w:hint="eastAsia" w:ascii="新宋体" w:hAnsi="新宋体" w:eastAsia="新宋体"/>
          <w:sz w:val="28"/>
          <w:szCs w:val="28"/>
        </w:rPr>
        <w:t>(2)接报电话后详细的响应方案；</w:t>
      </w:r>
    </w:p>
    <w:p>
      <w:pPr>
        <w:spacing w:line="440" w:lineRule="exact"/>
        <w:ind w:firstLine="677" w:firstLineChars="242"/>
        <w:rPr>
          <w:rFonts w:ascii="新宋体" w:hAnsi="新宋体" w:eastAsia="新宋体"/>
          <w:sz w:val="28"/>
          <w:szCs w:val="28"/>
          <w:lang w:bidi="he-IL"/>
        </w:rPr>
      </w:pPr>
      <w:r>
        <w:rPr>
          <w:rFonts w:hint="eastAsia" w:ascii="新宋体" w:hAnsi="新宋体" w:eastAsia="新宋体"/>
          <w:sz w:val="28"/>
          <w:szCs w:val="28"/>
        </w:rPr>
        <w:t>(3)免费质保期以后的维修内容及维修价格</w:t>
      </w:r>
      <w:r>
        <w:rPr>
          <w:rFonts w:hint="eastAsia" w:ascii="新宋体" w:hAnsi="新宋体" w:eastAsia="新宋体"/>
          <w:b/>
          <w:sz w:val="28"/>
          <w:szCs w:val="28"/>
        </w:rPr>
        <w:t>（如不需要提供的，在表格中注明“无”即可）</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7"/>
        <w:gridCol w:w="2092"/>
        <w:gridCol w:w="337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6" w:type="dxa"/>
            <w:vAlign w:val="center"/>
          </w:tcPr>
          <w:p>
            <w:pPr>
              <w:pStyle w:val="19"/>
              <w:spacing w:line="240" w:lineRule="atLeast"/>
              <w:jc w:val="center"/>
              <w:rPr>
                <w:rFonts w:ascii="宋体" w:hAnsi="宋体" w:eastAsia="宋体"/>
                <w:sz w:val="24"/>
                <w:szCs w:val="24"/>
              </w:rPr>
            </w:pPr>
            <w:r>
              <w:rPr>
                <w:rFonts w:hint="eastAsia" w:ascii="宋体" w:hAnsi="宋体" w:eastAsia="宋体"/>
                <w:sz w:val="24"/>
                <w:szCs w:val="24"/>
              </w:rPr>
              <w:t>序号</w:t>
            </w:r>
          </w:p>
        </w:tc>
        <w:tc>
          <w:tcPr>
            <w:tcW w:w="1237" w:type="dxa"/>
            <w:vAlign w:val="center"/>
          </w:tcPr>
          <w:p>
            <w:pPr>
              <w:pStyle w:val="335"/>
              <w:spacing w:line="240" w:lineRule="atLeast"/>
              <w:rPr>
                <w:rFonts w:ascii="宋体" w:hAnsi="宋体"/>
                <w:b/>
                <w:bCs/>
                <w:sz w:val="24"/>
                <w:szCs w:val="24"/>
              </w:rPr>
            </w:pPr>
            <w:r>
              <w:rPr>
                <w:rFonts w:hint="eastAsia" w:ascii="宋体" w:hAnsi="宋体"/>
                <w:b/>
                <w:bCs/>
                <w:sz w:val="24"/>
                <w:szCs w:val="24"/>
              </w:rPr>
              <w:t>名称</w:t>
            </w:r>
          </w:p>
        </w:tc>
        <w:tc>
          <w:tcPr>
            <w:tcW w:w="2092" w:type="dxa"/>
            <w:vAlign w:val="center"/>
          </w:tcPr>
          <w:p>
            <w:pPr>
              <w:pStyle w:val="335"/>
              <w:spacing w:line="240" w:lineRule="atLeast"/>
              <w:rPr>
                <w:rFonts w:ascii="宋体" w:hAnsi="宋体"/>
                <w:b/>
                <w:bCs/>
                <w:sz w:val="24"/>
                <w:szCs w:val="24"/>
              </w:rPr>
            </w:pPr>
            <w:r>
              <w:rPr>
                <w:rFonts w:hint="eastAsia" w:ascii="宋体" w:hAnsi="宋体"/>
                <w:b/>
                <w:bCs/>
                <w:sz w:val="24"/>
                <w:szCs w:val="24"/>
              </w:rPr>
              <w:t>维修内容</w:t>
            </w:r>
          </w:p>
        </w:tc>
        <w:tc>
          <w:tcPr>
            <w:tcW w:w="3372" w:type="dxa"/>
            <w:vAlign w:val="center"/>
          </w:tcPr>
          <w:p>
            <w:pPr>
              <w:pStyle w:val="335"/>
              <w:spacing w:line="240" w:lineRule="atLeast"/>
              <w:rPr>
                <w:rFonts w:ascii="宋体" w:hAnsi="宋体"/>
                <w:b/>
                <w:bCs/>
                <w:sz w:val="24"/>
                <w:szCs w:val="24"/>
              </w:rPr>
            </w:pPr>
            <w:r>
              <w:rPr>
                <w:rFonts w:hint="eastAsia" w:ascii="宋体" w:hAnsi="宋体"/>
                <w:b/>
                <w:bCs/>
                <w:sz w:val="24"/>
                <w:szCs w:val="24"/>
              </w:rPr>
              <w:t>维修价格（元）</w:t>
            </w:r>
          </w:p>
        </w:tc>
        <w:tc>
          <w:tcPr>
            <w:tcW w:w="1237" w:type="dxa"/>
            <w:vAlign w:val="center"/>
          </w:tcPr>
          <w:p>
            <w:pPr>
              <w:spacing w:line="240" w:lineRule="atLeast"/>
              <w:jc w:val="center"/>
              <w:rPr>
                <w:rFonts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6" w:type="dxa"/>
            <w:vAlign w:val="center"/>
          </w:tcPr>
          <w:p>
            <w:pPr>
              <w:pStyle w:val="19"/>
              <w:spacing w:line="240" w:lineRule="atLeast"/>
              <w:jc w:val="center"/>
              <w:rPr>
                <w:rFonts w:ascii="宋体" w:hAnsi="宋体" w:eastAsia="宋体"/>
                <w:b w:val="0"/>
                <w:sz w:val="24"/>
                <w:szCs w:val="24"/>
              </w:rPr>
            </w:pPr>
            <w:r>
              <w:rPr>
                <w:rFonts w:ascii="宋体" w:hAnsi="宋体" w:eastAsia="宋体"/>
                <w:b w:val="0"/>
                <w:sz w:val="24"/>
                <w:szCs w:val="24"/>
              </w:rPr>
              <w:t>1</w:t>
            </w:r>
          </w:p>
        </w:tc>
        <w:tc>
          <w:tcPr>
            <w:tcW w:w="1237" w:type="dxa"/>
            <w:vAlign w:val="center"/>
          </w:tcPr>
          <w:p>
            <w:pPr>
              <w:spacing w:line="240" w:lineRule="atLeast"/>
              <w:jc w:val="center"/>
              <w:rPr>
                <w:rFonts w:ascii="宋体" w:hAnsi="宋体"/>
                <w:bCs/>
                <w:sz w:val="24"/>
                <w:szCs w:val="24"/>
              </w:rPr>
            </w:pPr>
          </w:p>
        </w:tc>
        <w:tc>
          <w:tcPr>
            <w:tcW w:w="2092" w:type="dxa"/>
            <w:vAlign w:val="center"/>
          </w:tcPr>
          <w:p>
            <w:pPr>
              <w:spacing w:line="240" w:lineRule="atLeast"/>
              <w:jc w:val="center"/>
              <w:rPr>
                <w:rFonts w:ascii="宋体" w:hAnsi="宋体"/>
                <w:bCs/>
                <w:sz w:val="24"/>
                <w:szCs w:val="24"/>
              </w:rPr>
            </w:pPr>
          </w:p>
        </w:tc>
        <w:tc>
          <w:tcPr>
            <w:tcW w:w="3372" w:type="dxa"/>
            <w:vAlign w:val="center"/>
          </w:tcPr>
          <w:p>
            <w:pPr>
              <w:spacing w:line="240" w:lineRule="atLeast"/>
              <w:jc w:val="center"/>
              <w:rPr>
                <w:rFonts w:ascii="宋体" w:hAnsi="宋体"/>
                <w:bCs/>
                <w:sz w:val="24"/>
                <w:szCs w:val="24"/>
              </w:rPr>
            </w:pPr>
          </w:p>
        </w:tc>
        <w:tc>
          <w:tcPr>
            <w:tcW w:w="1237" w:type="dxa"/>
            <w:vAlign w:val="center"/>
          </w:tcPr>
          <w:p>
            <w:pPr>
              <w:spacing w:line="24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6" w:type="dxa"/>
            <w:vAlign w:val="center"/>
          </w:tcPr>
          <w:p>
            <w:pPr>
              <w:pStyle w:val="19"/>
              <w:spacing w:line="240" w:lineRule="atLeast"/>
              <w:jc w:val="center"/>
              <w:rPr>
                <w:rFonts w:ascii="宋体" w:hAnsi="宋体" w:eastAsia="宋体"/>
                <w:b w:val="0"/>
                <w:sz w:val="24"/>
                <w:szCs w:val="24"/>
              </w:rPr>
            </w:pPr>
            <w:r>
              <w:rPr>
                <w:rFonts w:ascii="宋体" w:hAnsi="宋体" w:eastAsia="宋体"/>
                <w:b w:val="0"/>
                <w:sz w:val="24"/>
                <w:szCs w:val="24"/>
              </w:rPr>
              <w:t>2</w:t>
            </w:r>
          </w:p>
        </w:tc>
        <w:tc>
          <w:tcPr>
            <w:tcW w:w="1237" w:type="dxa"/>
            <w:vAlign w:val="center"/>
          </w:tcPr>
          <w:p>
            <w:pPr>
              <w:spacing w:line="240" w:lineRule="atLeast"/>
              <w:jc w:val="center"/>
              <w:rPr>
                <w:rFonts w:ascii="宋体" w:hAnsi="宋体"/>
                <w:bCs/>
                <w:sz w:val="24"/>
                <w:szCs w:val="24"/>
              </w:rPr>
            </w:pPr>
          </w:p>
        </w:tc>
        <w:tc>
          <w:tcPr>
            <w:tcW w:w="2092" w:type="dxa"/>
            <w:vAlign w:val="center"/>
          </w:tcPr>
          <w:p>
            <w:pPr>
              <w:spacing w:line="240" w:lineRule="atLeast"/>
              <w:jc w:val="center"/>
              <w:rPr>
                <w:rFonts w:ascii="宋体" w:hAnsi="宋体"/>
                <w:bCs/>
                <w:sz w:val="24"/>
                <w:szCs w:val="24"/>
              </w:rPr>
            </w:pPr>
          </w:p>
        </w:tc>
        <w:tc>
          <w:tcPr>
            <w:tcW w:w="3372" w:type="dxa"/>
            <w:vAlign w:val="center"/>
          </w:tcPr>
          <w:p>
            <w:pPr>
              <w:spacing w:line="240" w:lineRule="atLeast"/>
              <w:jc w:val="center"/>
              <w:rPr>
                <w:rFonts w:ascii="宋体" w:hAnsi="宋体"/>
                <w:bCs/>
                <w:sz w:val="24"/>
                <w:szCs w:val="24"/>
              </w:rPr>
            </w:pPr>
          </w:p>
        </w:tc>
        <w:tc>
          <w:tcPr>
            <w:tcW w:w="1237" w:type="dxa"/>
            <w:vAlign w:val="center"/>
          </w:tcPr>
          <w:p>
            <w:pPr>
              <w:spacing w:line="240" w:lineRule="atLeas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6" w:type="dxa"/>
            <w:vAlign w:val="center"/>
          </w:tcPr>
          <w:p>
            <w:pPr>
              <w:spacing w:line="240" w:lineRule="atLeast"/>
              <w:jc w:val="center"/>
              <w:rPr>
                <w:rFonts w:ascii="宋体" w:hAnsi="宋体"/>
                <w:sz w:val="24"/>
                <w:szCs w:val="24"/>
              </w:rPr>
            </w:pPr>
            <w:r>
              <w:rPr>
                <w:rFonts w:hint="eastAsia" w:ascii="宋体" w:hAnsi="宋体"/>
                <w:sz w:val="24"/>
                <w:szCs w:val="24"/>
              </w:rPr>
              <w:t>…</w:t>
            </w:r>
          </w:p>
        </w:tc>
        <w:tc>
          <w:tcPr>
            <w:tcW w:w="1237" w:type="dxa"/>
            <w:vAlign w:val="center"/>
          </w:tcPr>
          <w:p>
            <w:pPr>
              <w:spacing w:line="240" w:lineRule="atLeast"/>
              <w:jc w:val="center"/>
              <w:rPr>
                <w:rFonts w:ascii="宋体" w:hAnsi="宋体"/>
                <w:bCs/>
                <w:sz w:val="24"/>
                <w:szCs w:val="24"/>
              </w:rPr>
            </w:pPr>
          </w:p>
        </w:tc>
        <w:tc>
          <w:tcPr>
            <w:tcW w:w="2092" w:type="dxa"/>
            <w:vAlign w:val="center"/>
          </w:tcPr>
          <w:p>
            <w:pPr>
              <w:spacing w:line="240" w:lineRule="atLeast"/>
              <w:jc w:val="center"/>
              <w:rPr>
                <w:rFonts w:ascii="宋体" w:hAnsi="宋体"/>
                <w:bCs/>
                <w:sz w:val="24"/>
                <w:szCs w:val="24"/>
              </w:rPr>
            </w:pPr>
          </w:p>
        </w:tc>
        <w:tc>
          <w:tcPr>
            <w:tcW w:w="3372" w:type="dxa"/>
            <w:vAlign w:val="center"/>
          </w:tcPr>
          <w:p>
            <w:pPr>
              <w:spacing w:line="240" w:lineRule="atLeast"/>
              <w:jc w:val="center"/>
              <w:rPr>
                <w:rFonts w:ascii="宋体" w:hAnsi="宋体"/>
                <w:bCs/>
                <w:sz w:val="24"/>
                <w:szCs w:val="24"/>
              </w:rPr>
            </w:pPr>
          </w:p>
        </w:tc>
        <w:tc>
          <w:tcPr>
            <w:tcW w:w="1237" w:type="dxa"/>
            <w:vAlign w:val="center"/>
          </w:tcPr>
          <w:p>
            <w:pPr>
              <w:spacing w:line="240" w:lineRule="atLeast"/>
              <w:jc w:val="center"/>
              <w:rPr>
                <w:rFonts w:ascii="宋体" w:hAnsi="宋体"/>
                <w:bCs/>
                <w:sz w:val="24"/>
                <w:szCs w:val="24"/>
              </w:rPr>
            </w:pPr>
          </w:p>
        </w:tc>
      </w:tr>
    </w:tbl>
    <w:p>
      <w:pPr>
        <w:pStyle w:val="28"/>
        <w:spacing w:line="540" w:lineRule="exact"/>
        <w:ind w:firstLine="560" w:firstLineChars="200"/>
        <w:rPr>
          <w:rFonts w:ascii="新宋体" w:hAnsi="新宋体" w:eastAsia="新宋体"/>
          <w:sz w:val="28"/>
          <w:szCs w:val="28"/>
        </w:rPr>
      </w:pPr>
      <w:r>
        <w:rPr>
          <w:rFonts w:hint="eastAsia" w:ascii="新宋体" w:hAnsi="新宋体" w:eastAsia="新宋体"/>
          <w:sz w:val="28"/>
          <w:szCs w:val="28"/>
        </w:rPr>
        <w:t>(4)免费质保期以后的零配件、易损件内容及收费标准</w:t>
      </w:r>
    </w:p>
    <w:tbl>
      <w:tblPr>
        <w:tblStyle w:val="4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76"/>
        <w:gridCol w:w="1989"/>
        <w:gridCol w:w="1325"/>
        <w:gridCol w:w="510"/>
        <w:gridCol w:w="739"/>
        <w:gridCol w:w="534"/>
        <w:gridCol w:w="14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22" w:type="dxa"/>
            <w:vAlign w:val="center"/>
          </w:tcPr>
          <w:p>
            <w:pPr>
              <w:spacing w:line="320" w:lineRule="exact"/>
              <w:jc w:val="center"/>
              <w:rPr>
                <w:rFonts w:ascii="宋体" w:hAnsi="宋体" w:cs="Arial"/>
                <w:b/>
                <w:sz w:val="24"/>
                <w:szCs w:val="24"/>
              </w:rPr>
            </w:pPr>
            <w:r>
              <w:rPr>
                <w:rFonts w:ascii="宋体" w:hAnsi="宋体" w:cs="Arial"/>
                <w:b/>
                <w:sz w:val="24"/>
                <w:szCs w:val="24"/>
              </w:rPr>
              <w:t>序</w:t>
            </w:r>
          </w:p>
          <w:p>
            <w:pPr>
              <w:spacing w:line="320" w:lineRule="exact"/>
              <w:jc w:val="center"/>
              <w:rPr>
                <w:rFonts w:ascii="宋体" w:hAnsi="宋体" w:cs="Arial"/>
                <w:b/>
                <w:sz w:val="24"/>
                <w:szCs w:val="24"/>
              </w:rPr>
            </w:pPr>
            <w:r>
              <w:rPr>
                <w:rFonts w:ascii="宋体" w:hAnsi="宋体" w:cs="Arial"/>
                <w:b/>
                <w:sz w:val="24"/>
                <w:szCs w:val="24"/>
              </w:rPr>
              <w:t>号</w:t>
            </w:r>
          </w:p>
        </w:tc>
        <w:tc>
          <w:tcPr>
            <w:tcW w:w="1776" w:type="dxa"/>
            <w:vAlign w:val="center"/>
          </w:tcPr>
          <w:p>
            <w:pPr>
              <w:spacing w:line="320" w:lineRule="exact"/>
              <w:jc w:val="center"/>
              <w:rPr>
                <w:rFonts w:ascii="宋体" w:hAnsi="宋体" w:cs="Arial"/>
                <w:b/>
                <w:sz w:val="24"/>
                <w:szCs w:val="24"/>
              </w:rPr>
            </w:pPr>
            <w:r>
              <w:rPr>
                <w:rFonts w:ascii="宋体" w:hAnsi="宋体" w:cs="Arial"/>
                <w:b/>
                <w:sz w:val="24"/>
                <w:szCs w:val="24"/>
              </w:rPr>
              <w:t>零配件</w:t>
            </w:r>
            <w:r>
              <w:rPr>
                <w:rFonts w:hint="eastAsia" w:ascii="宋体" w:hAnsi="宋体" w:cs="Arial"/>
                <w:b/>
                <w:sz w:val="24"/>
                <w:szCs w:val="24"/>
              </w:rPr>
              <w:t>、易损件</w:t>
            </w:r>
            <w:r>
              <w:rPr>
                <w:rFonts w:ascii="宋体" w:hAnsi="宋体" w:cs="Arial"/>
                <w:b/>
                <w:sz w:val="24"/>
                <w:szCs w:val="24"/>
              </w:rPr>
              <w:t>名称</w:t>
            </w:r>
          </w:p>
        </w:tc>
        <w:tc>
          <w:tcPr>
            <w:tcW w:w="1989" w:type="dxa"/>
            <w:vAlign w:val="center"/>
          </w:tcPr>
          <w:p>
            <w:pPr>
              <w:spacing w:line="320" w:lineRule="exact"/>
              <w:jc w:val="center"/>
              <w:rPr>
                <w:rFonts w:ascii="宋体" w:hAnsi="宋体" w:cs="Arial"/>
                <w:b/>
                <w:sz w:val="24"/>
                <w:szCs w:val="24"/>
              </w:rPr>
            </w:pPr>
            <w:r>
              <w:rPr>
                <w:rFonts w:hint="eastAsia" w:ascii="宋体" w:hAnsi="宋体" w:cs="Arial"/>
                <w:b/>
                <w:sz w:val="24"/>
                <w:szCs w:val="24"/>
              </w:rPr>
              <w:t>规格</w:t>
            </w:r>
            <w:r>
              <w:rPr>
                <w:rFonts w:ascii="宋体" w:hAnsi="宋体" w:cs="Arial"/>
                <w:b/>
                <w:sz w:val="24"/>
                <w:szCs w:val="24"/>
              </w:rPr>
              <w:t>型号</w:t>
            </w:r>
          </w:p>
        </w:tc>
        <w:tc>
          <w:tcPr>
            <w:tcW w:w="1325" w:type="dxa"/>
            <w:vAlign w:val="center"/>
          </w:tcPr>
          <w:p>
            <w:pPr>
              <w:spacing w:line="320" w:lineRule="exact"/>
              <w:jc w:val="center"/>
              <w:rPr>
                <w:rFonts w:hint="eastAsia" w:ascii="宋体" w:hAnsi="宋体" w:cs="Arial"/>
                <w:b/>
                <w:sz w:val="24"/>
                <w:szCs w:val="24"/>
              </w:rPr>
            </w:pPr>
            <w:r>
              <w:rPr>
                <w:rFonts w:ascii="宋体" w:hAnsi="宋体" w:cs="Arial"/>
                <w:b/>
                <w:sz w:val="24"/>
                <w:szCs w:val="24"/>
              </w:rPr>
              <w:t>制造商</w:t>
            </w:r>
            <w:r>
              <w:rPr>
                <w:rFonts w:hint="eastAsia" w:ascii="宋体" w:hAnsi="宋体" w:cs="Arial"/>
                <w:b/>
                <w:sz w:val="24"/>
                <w:szCs w:val="24"/>
              </w:rPr>
              <w:t>、品牌</w:t>
            </w:r>
          </w:p>
        </w:tc>
        <w:tc>
          <w:tcPr>
            <w:tcW w:w="510" w:type="dxa"/>
            <w:vAlign w:val="center"/>
          </w:tcPr>
          <w:p>
            <w:pPr>
              <w:spacing w:line="320" w:lineRule="exact"/>
              <w:jc w:val="center"/>
              <w:rPr>
                <w:rFonts w:ascii="宋体" w:hAnsi="宋体" w:cs="Arial"/>
                <w:b/>
                <w:sz w:val="24"/>
                <w:szCs w:val="24"/>
              </w:rPr>
            </w:pPr>
            <w:r>
              <w:rPr>
                <w:rFonts w:ascii="宋体" w:hAnsi="宋体" w:cs="Arial"/>
                <w:b/>
                <w:sz w:val="24"/>
                <w:szCs w:val="24"/>
              </w:rPr>
              <w:t>单位</w:t>
            </w:r>
          </w:p>
        </w:tc>
        <w:tc>
          <w:tcPr>
            <w:tcW w:w="739" w:type="dxa"/>
            <w:vAlign w:val="center"/>
          </w:tcPr>
          <w:p>
            <w:pPr>
              <w:spacing w:line="320" w:lineRule="exact"/>
              <w:jc w:val="center"/>
              <w:rPr>
                <w:rFonts w:ascii="宋体" w:hAnsi="宋体" w:cs="Arial"/>
                <w:b/>
                <w:sz w:val="24"/>
                <w:szCs w:val="24"/>
              </w:rPr>
            </w:pPr>
            <w:r>
              <w:rPr>
                <w:rFonts w:ascii="宋体" w:hAnsi="宋体" w:cs="Arial"/>
                <w:b/>
                <w:sz w:val="24"/>
                <w:szCs w:val="24"/>
              </w:rPr>
              <w:t>单价</w:t>
            </w:r>
          </w:p>
          <w:p>
            <w:pPr>
              <w:spacing w:line="320" w:lineRule="exact"/>
              <w:jc w:val="center"/>
              <w:rPr>
                <w:rFonts w:ascii="宋体" w:hAnsi="宋体" w:cs="Arial"/>
                <w:b/>
                <w:sz w:val="24"/>
                <w:szCs w:val="24"/>
              </w:rPr>
            </w:pPr>
            <w:r>
              <w:rPr>
                <w:rFonts w:ascii="宋体" w:hAnsi="宋体" w:cs="Arial"/>
                <w:b/>
                <w:sz w:val="24"/>
                <w:szCs w:val="24"/>
              </w:rPr>
              <w:t>(元)</w:t>
            </w:r>
          </w:p>
        </w:tc>
        <w:tc>
          <w:tcPr>
            <w:tcW w:w="534" w:type="dxa"/>
            <w:vAlign w:val="center"/>
          </w:tcPr>
          <w:p>
            <w:pPr>
              <w:spacing w:line="320" w:lineRule="exact"/>
              <w:jc w:val="center"/>
              <w:rPr>
                <w:rFonts w:ascii="宋体" w:hAnsi="宋体" w:cs="Arial"/>
                <w:b/>
                <w:sz w:val="24"/>
                <w:szCs w:val="24"/>
              </w:rPr>
            </w:pPr>
            <w:r>
              <w:rPr>
                <w:rFonts w:ascii="宋体" w:hAnsi="宋体" w:cs="Arial"/>
                <w:b/>
                <w:sz w:val="24"/>
                <w:szCs w:val="24"/>
              </w:rPr>
              <w:t>数量</w:t>
            </w:r>
          </w:p>
        </w:tc>
        <w:tc>
          <w:tcPr>
            <w:tcW w:w="1479" w:type="dxa"/>
            <w:vAlign w:val="center"/>
          </w:tcPr>
          <w:p>
            <w:pPr>
              <w:spacing w:line="320" w:lineRule="exact"/>
              <w:jc w:val="center"/>
              <w:rPr>
                <w:rFonts w:ascii="宋体" w:hAnsi="宋体" w:cs="Arial"/>
                <w:b/>
                <w:sz w:val="24"/>
                <w:szCs w:val="24"/>
              </w:rPr>
            </w:pPr>
            <w:r>
              <w:rPr>
                <w:rFonts w:hint="eastAsia" w:ascii="宋体" w:hAnsi="宋体" w:cs="Arial"/>
                <w:b/>
                <w:sz w:val="24"/>
                <w:szCs w:val="24"/>
              </w:rPr>
              <w:t>小计</w:t>
            </w:r>
            <w:r>
              <w:rPr>
                <w:rFonts w:ascii="宋体" w:hAnsi="宋体" w:cs="Arial"/>
                <w:b/>
                <w:sz w:val="24"/>
                <w:szCs w:val="24"/>
              </w:rPr>
              <w:t>金额</w:t>
            </w:r>
          </w:p>
          <w:p>
            <w:pPr>
              <w:spacing w:line="320" w:lineRule="exact"/>
              <w:jc w:val="center"/>
              <w:rPr>
                <w:rFonts w:ascii="宋体" w:hAnsi="宋体" w:cs="Arial"/>
                <w:b/>
                <w:sz w:val="24"/>
                <w:szCs w:val="24"/>
              </w:rPr>
            </w:pPr>
            <w:r>
              <w:rPr>
                <w:rFonts w:ascii="宋体" w:hAnsi="宋体" w:cs="Arial"/>
                <w:b/>
                <w:sz w:val="24"/>
                <w:szCs w:val="24"/>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822" w:type="dxa"/>
            <w:vAlign w:val="center"/>
          </w:tcPr>
          <w:p>
            <w:pPr>
              <w:spacing w:line="320" w:lineRule="exact"/>
              <w:jc w:val="center"/>
              <w:rPr>
                <w:rFonts w:ascii="新宋体" w:hAnsi="新宋体" w:eastAsia="新宋体" w:cs="Arial"/>
                <w:sz w:val="28"/>
                <w:szCs w:val="28"/>
              </w:rPr>
            </w:pPr>
            <w:r>
              <w:rPr>
                <w:rFonts w:hint="eastAsia" w:ascii="新宋体" w:hAnsi="新宋体" w:eastAsia="新宋体" w:cs="Arial"/>
                <w:sz w:val="28"/>
                <w:szCs w:val="28"/>
              </w:rPr>
              <w:t>1</w:t>
            </w:r>
          </w:p>
        </w:tc>
        <w:tc>
          <w:tcPr>
            <w:tcW w:w="1776" w:type="dxa"/>
          </w:tcPr>
          <w:p>
            <w:pPr>
              <w:spacing w:line="320" w:lineRule="exact"/>
              <w:jc w:val="center"/>
              <w:rPr>
                <w:rFonts w:ascii="新宋体" w:hAnsi="新宋体" w:eastAsia="新宋体" w:cs="Arial"/>
                <w:sz w:val="28"/>
                <w:szCs w:val="28"/>
              </w:rPr>
            </w:pPr>
          </w:p>
        </w:tc>
        <w:tc>
          <w:tcPr>
            <w:tcW w:w="1989" w:type="dxa"/>
            <w:vAlign w:val="center"/>
          </w:tcPr>
          <w:p>
            <w:pPr>
              <w:spacing w:line="320" w:lineRule="exact"/>
              <w:jc w:val="center"/>
              <w:rPr>
                <w:rFonts w:ascii="新宋体" w:hAnsi="新宋体" w:eastAsia="新宋体" w:cs="Arial"/>
                <w:sz w:val="28"/>
                <w:szCs w:val="28"/>
              </w:rPr>
            </w:pPr>
          </w:p>
        </w:tc>
        <w:tc>
          <w:tcPr>
            <w:tcW w:w="1325" w:type="dxa"/>
            <w:vAlign w:val="center"/>
          </w:tcPr>
          <w:p>
            <w:pPr>
              <w:spacing w:line="320" w:lineRule="exact"/>
              <w:jc w:val="center"/>
              <w:rPr>
                <w:rFonts w:ascii="新宋体" w:hAnsi="新宋体" w:eastAsia="新宋体" w:cs="Arial"/>
                <w:sz w:val="28"/>
                <w:szCs w:val="28"/>
              </w:rPr>
            </w:pPr>
          </w:p>
        </w:tc>
        <w:tc>
          <w:tcPr>
            <w:tcW w:w="510" w:type="dxa"/>
            <w:vAlign w:val="center"/>
          </w:tcPr>
          <w:p>
            <w:pPr>
              <w:spacing w:line="320" w:lineRule="exact"/>
              <w:jc w:val="center"/>
              <w:rPr>
                <w:rFonts w:ascii="新宋体" w:hAnsi="新宋体" w:eastAsia="新宋体" w:cs="Arial"/>
                <w:sz w:val="28"/>
                <w:szCs w:val="28"/>
              </w:rPr>
            </w:pPr>
          </w:p>
        </w:tc>
        <w:tc>
          <w:tcPr>
            <w:tcW w:w="739" w:type="dxa"/>
            <w:vAlign w:val="center"/>
          </w:tcPr>
          <w:p>
            <w:pPr>
              <w:spacing w:line="320" w:lineRule="exact"/>
              <w:jc w:val="center"/>
              <w:rPr>
                <w:rFonts w:ascii="新宋体" w:hAnsi="新宋体" w:eastAsia="新宋体" w:cs="Arial"/>
                <w:sz w:val="28"/>
                <w:szCs w:val="28"/>
              </w:rPr>
            </w:pPr>
          </w:p>
        </w:tc>
        <w:tc>
          <w:tcPr>
            <w:tcW w:w="534" w:type="dxa"/>
            <w:vAlign w:val="center"/>
          </w:tcPr>
          <w:p>
            <w:pPr>
              <w:spacing w:line="320" w:lineRule="exact"/>
              <w:jc w:val="center"/>
              <w:rPr>
                <w:rFonts w:ascii="新宋体" w:hAnsi="新宋体" w:eastAsia="新宋体" w:cs="Arial"/>
                <w:sz w:val="28"/>
                <w:szCs w:val="28"/>
              </w:rPr>
            </w:pPr>
          </w:p>
        </w:tc>
        <w:tc>
          <w:tcPr>
            <w:tcW w:w="1479" w:type="dxa"/>
            <w:vAlign w:val="center"/>
          </w:tcPr>
          <w:p>
            <w:pPr>
              <w:spacing w:line="320" w:lineRule="exact"/>
              <w:jc w:val="center"/>
              <w:rPr>
                <w:rFonts w:ascii="新宋体" w:hAnsi="新宋体" w:eastAsia="新宋体" w:cs="Arial"/>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822" w:type="dxa"/>
            <w:vAlign w:val="center"/>
          </w:tcPr>
          <w:p>
            <w:pPr>
              <w:spacing w:line="320" w:lineRule="exact"/>
              <w:jc w:val="center"/>
              <w:rPr>
                <w:rFonts w:ascii="新宋体" w:hAnsi="新宋体" w:eastAsia="新宋体" w:cs="Arial"/>
                <w:sz w:val="28"/>
                <w:szCs w:val="28"/>
              </w:rPr>
            </w:pPr>
            <w:r>
              <w:rPr>
                <w:rFonts w:hint="eastAsia" w:ascii="新宋体" w:hAnsi="新宋体" w:eastAsia="新宋体" w:cs="Arial"/>
                <w:sz w:val="28"/>
                <w:szCs w:val="28"/>
              </w:rPr>
              <w:t>2</w:t>
            </w:r>
          </w:p>
        </w:tc>
        <w:tc>
          <w:tcPr>
            <w:tcW w:w="1776" w:type="dxa"/>
          </w:tcPr>
          <w:p>
            <w:pPr>
              <w:spacing w:line="320" w:lineRule="exact"/>
              <w:jc w:val="center"/>
              <w:rPr>
                <w:rFonts w:ascii="新宋体" w:hAnsi="新宋体" w:eastAsia="新宋体" w:cs="Arial"/>
                <w:sz w:val="28"/>
                <w:szCs w:val="28"/>
              </w:rPr>
            </w:pPr>
          </w:p>
        </w:tc>
        <w:tc>
          <w:tcPr>
            <w:tcW w:w="1989" w:type="dxa"/>
            <w:vAlign w:val="center"/>
          </w:tcPr>
          <w:p>
            <w:pPr>
              <w:spacing w:line="320" w:lineRule="exact"/>
              <w:jc w:val="center"/>
              <w:rPr>
                <w:rFonts w:ascii="新宋体" w:hAnsi="新宋体" w:eastAsia="新宋体" w:cs="Arial"/>
                <w:sz w:val="28"/>
                <w:szCs w:val="28"/>
              </w:rPr>
            </w:pPr>
          </w:p>
        </w:tc>
        <w:tc>
          <w:tcPr>
            <w:tcW w:w="1325" w:type="dxa"/>
            <w:vAlign w:val="center"/>
          </w:tcPr>
          <w:p>
            <w:pPr>
              <w:spacing w:line="320" w:lineRule="exact"/>
              <w:jc w:val="center"/>
              <w:rPr>
                <w:rFonts w:ascii="新宋体" w:hAnsi="新宋体" w:eastAsia="新宋体" w:cs="Arial"/>
                <w:sz w:val="28"/>
                <w:szCs w:val="28"/>
              </w:rPr>
            </w:pPr>
          </w:p>
        </w:tc>
        <w:tc>
          <w:tcPr>
            <w:tcW w:w="510" w:type="dxa"/>
            <w:vAlign w:val="center"/>
          </w:tcPr>
          <w:p>
            <w:pPr>
              <w:spacing w:line="320" w:lineRule="exact"/>
              <w:jc w:val="center"/>
              <w:rPr>
                <w:rFonts w:ascii="新宋体" w:hAnsi="新宋体" w:eastAsia="新宋体" w:cs="Arial"/>
                <w:sz w:val="28"/>
                <w:szCs w:val="28"/>
              </w:rPr>
            </w:pPr>
          </w:p>
        </w:tc>
        <w:tc>
          <w:tcPr>
            <w:tcW w:w="739" w:type="dxa"/>
            <w:vAlign w:val="center"/>
          </w:tcPr>
          <w:p>
            <w:pPr>
              <w:spacing w:line="320" w:lineRule="exact"/>
              <w:jc w:val="center"/>
              <w:rPr>
                <w:rFonts w:ascii="新宋体" w:hAnsi="新宋体" w:eastAsia="新宋体" w:cs="Arial"/>
                <w:sz w:val="28"/>
                <w:szCs w:val="28"/>
              </w:rPr>
            </w:pPr>
          </w:p>
        </w:tc>
        <w:tc>
          <w:tcPr>
            <w:tcW w:w="534" w:type="dxa"/>
            <w:vAlign w:val="center"/>
          </w:tcPr>
          <w:p>
            <w:pPr>
              <w:spacing w:line="320" w:lineRule="exact"/>
              <w:jc w:val="center"/>
              <w:rPr>
                <w:rFonts w:ascii="新宋体" w:hAnsi="新宋体" w:eastAsia="新宋体" w:cs="Arial"/>
                <w:sz w:val="28"/>
                <w:szCs w:val="28"/>
              </w:rPr>
            </w:pPr>
          </w:p>
        </w:tc>
        <w:tc>
          <w:tcPr>
            <w:tcW w:w="1479" w:type="dxa"/>
            <w:vAlign w:val="center"/>
          </w:tcPr>
          <w:p>
            <w:pPr>
              <w:spacing w:line="320" w:lineRule="exact"/>
              <w:jc w:val="center"/>
              <w:rPr>
                <w:rFonts w:ascii="新宋体" w:hAnsi="新宋体" w:eastAsia="新宋体" w:cs="Arial"/>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2" w:type="dxa"/>
            <w:tcBorders>
              <w:top w:val="single" w:color="auto" w:sz="4" w:space="0"/>
              <w:bottom w:val="single" w:color="auto" w:sz="4" w:space="0"/>
            </w:tcBorders>
            <w:vAlign w:val="center"/>
          </w:tcPr>
          <w:p>
            <w:pPr>
              <w:spacing w:line="320" w:lineRule="exact"/>
              <w:jc w:val="center"/>
              <w:rPr>
                <w:rFonts w:ascii="新宋体" w:hAnsi="新宋体" w:eastAsia="新宋体" w:cs="Arial"/>
                <w:sz w:val="28"/>
                <w:szCs w:val="28"/>
              </w:rPr>
            </w:pPr>
            <w:r>
              <w:rPr>
                <w:rFonts w:ascii="新宋体" w:hAnsi="新宋体" w:eastAsia="新宋体" w:cs="Arial"/>
                <w:sz w:val="28"/>
                <w:szCs w:val="28"/>
              </w:rPr>
              <w:t>…</w:t>
            </w:r>
          </w:p>
        </w:tc>
        <w:tc>
          <w:tcPr>
            <w:tcW w:w="1776" w:type="dxa"/>
            <w:tcBorders>
              <w:top w:val="single" w:color="auto" w:sz="4" w:space="0"/>
              <w:bottom w:val="single" w:color="auto" w:sz="4" w:space="0"/>
            </w:tcBorders>
          </w:tcPr>
          <w:p>
            <w:pPr>
              <w:spacing w:line="320" w:lineRule="exact"/>
              <w:jc w:val="center"/>
              <w:rPr>
                <w:rFonts w:ascii="新宋体" w:hAnsi="新宋体" w:eastAsia="新宋体" w:cs="Arial"/>
                <w:sz w:val="28"/>
                <w:szCs w:val="28"/>
              </w:rPr>
            </w:pPr>
          </w:p>
        </w:tc>
        <w:tc>
          <w:tcPr>
            <w:tcW w:w="1989" w:type="dxa"/>
            <w:tcBorders>
              <w:top w:val="single" w:color="auto" w:sz="4" w:space="0"/>
              <w:bottom w:val="single" w:color="auto" w:sz="4" w:space="0"/>
            </w:tcBorders>
            <w:vAlign w:val="center"/>
          </w:tcPr>
          <w:p>
            <w:pPr>
              <w:spacing w:line="320" w:lineRule="exact"/>
              <w:jc w:val="center"/>
              <w:rPr>
                <w:rFonts w:ascii="新宋体" w:hAnsi="新宋体" w:eastAsia="新宋体" w:cs="Arial"/>
                <w:sz w:val="28"/>
                <w:szCs w:val="28"/>
              </w:rPr>
            </w:pPr>
          </w:p>
        </w:tc>
        <w:tc>
          <w:tcPr>
            <w:tcW w:w="1325" w:type="dxa"/>
            <w:tcBorders>
              <w:top w:val="single" w:color="auto" w:sz="4" w:space="0"/>
              <w:bottom w:val="single" w:color="auto" w:sz="4" w:space="0"/>
            </w:tcBorders>
            <w:vAlign w:val="center"/>
          </w:tcPr>
          <w:p>
            <w:pPr>
              <w:spacing w:line="320" w:lineRule="exact"/>
              <w:jc w:val="center"/>
              <w:rPr>
                <w:rFonts w:ascii="新宋体" w:hAnsi="新宋体" w:eastAsia="新宋体" w:cs="Arial"/>
                <w:sz w:val="28"/>
                <w:szCs w:val="28"/>
              </w:rPr>
            </w:pPr>
          </w:p>
        </w:tc>
        <w:tc>
          <w:tcPr>
            <w:tcW w:w="510" w:type="dxa"/>
            <w:tcBorders>
              <w:top w:val="single" w:color="auto" w:sz="4" w:space="0"/>
              <w:bottom w:val="single" w:color="auto" w:sz="4" w:space="0"/>
            </w:tcBorders>
            <w:vAlign w:val="center"/>
          </w:tcPr>
          <w:p>
            <w:pPr>
              <w:spacing w:line="320" w:lineRule="exact"/>
              <w:jc w:val="center"/>
              <w:rPr>
                <w:rFonts w:ascii="新宋体" w:hAnsi="新宋体" w:eastAsia="新宋体" w:cs="Arial"/>
                <w:sz w:val="28"/>
                <w:szCs w:val="28"/>
              </w:rPr>
            </w:pPr>
          </w:p>
        </w:tc>
        <w:tc>
          <w:tcPr>
            <w:tcW w:w="739" w:type="dxa"/>
            <w:tcBorders>
              <w:top w:val="single" w:color="auto" w:sz="4" w:space="0"/>
              <w:bottom w:val="single" w:color="auto" w:sz="4" w:space="0"/>
            </w:tcBorders>
            <w:vAlign w:val="center"/>
          </w:tcPr>
          <w:p>
            <w:pPr>
              <w:spacing w:line="320" w:lineRule="exact"/>
              <w:jc w:val="center"/>
              <w:rPr>
                <w:rFonts w:ascii="新宋体" w:hAnsi="新宋体" w:eastAsia="新宋体" w:cs="Arial"/>
                <w:sz w:val="28"/>
                <w:szCs w:val="28"/>
              </w:rPr>
            </w:pPr>
          </w:p>
        </w:tc>
        <w:tc>
          <w:tcPr>
            <w:tcW w:w="534" w:type="dxa"/>
            <w:tcBorders>
              <w:top w:val="single" w:color="auto" w:sz="4" w:space="0"/>
              <w:bottom w:val="single" w:color="auto" w:sz="4" w:space="0"/>
            </w:tcBorders>
            <w:vAlign w:val="center"/>
          </w:tcPr>
          <w:p>
            <w:pPr>
              <w:spacing w:line="320" w:lineRule="exact"/>
              <w:jc w:val="center"/>
              <w:rPr>
                <w:rFonts w:ascii="新宋体" w:hAnsi="新宋体" w:eastAsia="新宋体" w:cs="Arial"/>
                <w:sz w:val="28"/>
                <w:szCs w:val="28"/>
              </w:rPr>
            </w:pPr>
          </w:p>
        </w:tc>
        <w:tc>
          <w:tcPr>
            <w:tcW w:w="1479" w:type="dxa"/>
            <w:tcBorders>
              <w:top w:val="single" w:color="auto" w:sz="4" w:space="0"/>
              <w:bottom w:val="single" w:color="auto" w:sz="4" w:space="0"/>
            </w:tcBorders>
            <w:vAlign w:val="center"/>
          </w:tcPr>
          <w:p>
            <w:pPr>
              <w:spacing w:line="320" w:lineRule="exact"/>
              <w:jc w:val="center"/>
              <w:rPr>
                <w:rFonts w:ascii="新宋体" w:hAnsi="新宋体" w:eastAsia="新宋体" w:cs="Arial"/>
                <w:sz w:val="28"/>
                <w:szCs w:val="28"/>
              </w:rPr>
            </w:pPr>
          </w:p>
        </w:tc>
      </w:tr>
    </w:tbl>
    <w:p>
      <w:pPr>
        <w:spacing w:line="540" w:lineRule="exact"/>
        <w:ind w:firstLine="700" w:firstLineChars="250"/>
        <w:rPr>
          <w:rFonts w:hint="eastAsia" w:ascii="新宋体" w:hAnsi="新宋体" w:eastAsia="新宋体"/>
          <w:sz w:val="28"/>
          <w:szCs w:val="28"/>
        </w:rPr>
      </w:pPr>
    </w:p>
    <w:p>
      <w:pPr>
        <w:spacing w:line="540" w:lineRule="exact"/>
        <w:ind w:firstLine="700" w:firstLineChars="250"/>
        <w:rPr>
          <w:rFonts w:ascii="新宋体" w:hAnsi="新宋体" w:eastAsia="新宋体"/>
          <w:sz w:val="28"/>
          <w:szCs w:val="28"/>
        </w:rPr>
      </w:pPr>
      <w:r>
        <w:rPr>
          <w:rFonts w:hint="eastAsia" w:ascii="新宋体" w:hAnsi="新宋体" w:eastAsia="新宋体"/>
          <w:sz w:val="28"/>
          <w:szCs w:val="28"/>
        </w:rPr>
        <w:t>4、售后服务能力一览表</w:t>
      </w:r>
    </w:p>
    <w:tbl>
      <w:tblPr>
        <w:tblStyle w:val="4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38"/>
        <w:gridCol w:w="1694"/>
        <w:gridCol w:w="2057"/>
        <w:gridCol w:w="2385"/>
        <w:gridCol w:w="1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2038" w:type="dxa"/>
            <w:vAlign w:val="center"/>
          </w:tcPr>
          <w:p>
            <w:pPr>
              <w:jc w:val="center"/>
              <w:rPr>
                <w:rFonts w:ascii="新宋体" w:hAnsi="新宋体" w:eastAsia="新宋体"/>
                <w:b/>
                <w:sz w:val="24"/>
              </w:rPr>
            </w:pPr>
            <w:r>
              <w:rPr>
                <w:rFonts w:hint="eastAsia" w:ascii="新宋体" w:hAnsi="新宋体" w:eastAsia="新宋体"/>
                <w:b/>
                <w:sz w:val="24"/>
              </w:rPr>
              <w:t>售后服务点</w:t>
            </w:r>
          </w:p>
        </w:tc>
        <w:tc>
          <w:tcPr>
            <w:tcW w:w="1694" w:type="dxa"/>
            <w:vAlign w:val="center"/>
          </w:tcPr>
          <w:p>
            <w:pPr>
              <w:jc w:val="center"/>
              <w:rPr>
                <w:rFonts w:ascii="新宋体" w:hAnsi="新宋体" w:eastAsia="新宋体"/>
                <w:b/>
                <w:sz w:val="24"/>
              </w:rPr>
            </w:pPr>
            <w:r>
              <w:rPr>
                <w:rFonts w:hint="eastAsia" w:ascii="新宋体" w:hAnsi="新宋体" w:eastAsia="新宋体"/>
                <w:b/>
                <w:sz w:val="24"/>
              </w:rPr>
              <w:t>详细地址</w:t>
            </w:r>
          </w:p>
        </w:tc>
        <w:tc>
          <w:tcPr>
            <w:tcW w:w="2057" w:type="dxa"/>
            <w:vAlign w:val="center"/>
          </w:tcPr>
          <w:p>
            <w:pPr>
              <w:ind w:left="103" w:leftChars="49"/>
              <w:jc w:val="center"/>
              <w:rPr>
                <w:rFonts w:ascii="新宋体" w:hAnsi="新宋体" w:eastAsia="新宋体"/>
                <w:b/>
                <w:sz w:val="24"/>
              </w:rPr>
            </w:pPr>
            <w:r>
              <w:rPr>
                <w:rFonts w:hint="eastAsia" w:ascii="新宋体" w:hAnsi="新宋体" w:eastAsia="新宋体"/>
                <w:b/>
                <w:sz w:val="24"/>
              </w:rPr>
              <w:t>技术人员名单</w:t>
            </w:r>
          </w:p>
        </w:tc>
        <w:tc>
          <w:tcPr>
            <w:tcW w:w="2385" w:type="dxa"/>
            <w:vAlign w:val="center"/>
          </w:tcPr>
          <w:p>
            <w:pPr>
              <w:jc w:val="center"/>
              <w:rPr>
                <w:rFonts w:ascii="新宋体" w:hAnsi="新宋体" w:eastAsia="新宋体"/>
                <w:b/>
                <w:sz w:val="24"/>
              </w:rPr>
            </w:pPr>
            <w:r>
              <w:rPr>
                <w:rFonts w:hint="eastAsia" w:ascii="新宋体" w:hAnsi="新宋体" w:eastAsia="新宋体"/>
                <w:b/>
                <w:sz w:val="24"/>
              </w:rPr>
              <w:t>固定联系电话</w:t>
            </w:r>
          </w:p>
        </w:tc>
        <w:tc>
          <w:tcPr>
            <w:tcW w:w="1000" w:type="dxa"/>
            <w:vAlign w:val="center"/>
          </w:tcPr>
          <w:p>
            <w:pPr>
              <w:jc w:val="center"/>
              <w:rPr>
                <w:rFonts w:ascii="新宋体" w:hAnsi="新宋体" w:eastAsia="新宋体"/>
                <w:b/>
                <w:sz w:val="24"/>
              </w:rPr>
            </w:pPr>
            <w:r>
              <w:rPr>
                <w:rFonts w:hint="eastAsia" w:ascii="新宋体" w:hAnsi="新宋体" w:eastAsia="新宋体"/>
                <w:b/>
                <w:sz w:val="24"/>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 w:hRule="atLeast"/>
        </w:trPr>
        <w:tc>
          <w:tcPr>
            <w:tcW w:w="2038" w:type="dxa"/>
            <w:vAlign w:val="center"/>
          </w:tcPr>
          <w:p>
            <w:pPr>
              <w:jc w:val="center"/>
              <w:rPr>
                <w:rFonts w:ascii="新宋体" w:hAnsi="新宋体" w:eastAsia="新宋体"/>
                <w:sz w:val="24"/>
              </w:rPr>
            </w:pPr>
          </w:p>
        </w:tc>
        <w:tc>
          <w:tcPr>
            <w:tcW w:w="1694" w:type="dxa"/>
            <w:vAlign w:val="center"/>
          </w:tcPr>
          <w:p>
            <w:pPr>
              <w:jc w:val="center"/>
              <w:rPr>
                <w:rFonts w:ascii="新宋体" w:hAnsi="新宋体" w:eastAsia="新宋体"/>
                <w:sz w:val="24"/>
              </w:rPr>
            </w:pPr>
          </w:p>
        </w:tc>
        <w:tc>
          <w:tcPr>
            <w:tcW w:w="2057" w:type="dxa"/>
            <w:vAlign w:val="center"/>
          </w:tcPr>
          <w:p>
            <w:pPr>
              <w:jc w:val="center"/>
              <w:rPr>
                <w:rFonts w:ascii="新宋体" w:hAnsi="新宋体" w:eastAsia="新宋体"/>
                <w:sz w:val="24"/>
              </w:rPr>
            </w:pPr>
          </w:p>
        </w:tc>
        <w:tc>
          <w:tcPr>
            <w:tcW w:w="2385" w:type="dxa"/>
            <w:vAlign w:val="center"/>
          </w:tcPr>
          <w:p>
            <w:pPr>
              <w:jc w:val="center"/>
              <w:rPr>
                <w:rFonts w:ascii="新宋体" w:hAnsi="新宋体" w:eastAsia="新宋体"/>
                <w:sz w:val="24"/>
              </w:rPr>
            </w:pPr>
          </w:p>
        </w:tc>
        <w:tc>
          <w:tcPr>
            <w:tcW w:w="1000" w:type="dxa"/>
            <w:vAlign w:val="center"/>
          </w:tcPr>
          <w:p>
            <w:pPr>
              <w:jc w:val="center"/>
              <w:rPr>
                <w:rFonts w:ascii="新宋体" w:hAnsi="新宋体" w:eastAsia="新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2038" w:type="dxa"/>
            <w:vAlign w:val="center"/>
          </w:tcPr>
          <w:p>
            <w:pPr>
              <w:jc w:val="center"/>
              <w:rPr>
                <w:rFonts w:ascii="新宋体" w:hAnsi="新宋体" w:eastAsia="新宋体"/>
                <w:sz w:val="24"/>
              </w:rPr>
            </w:pPr>
            <w:r>
              <w:rPr>
                <w:rFonts w:ascii="新宋体" w:hAnsi="新宋体" w:eastAsia="新宋体"/>
                <w:sz w:val="24"/>
              </w:rPr>
              <w:t>…</w:t>
            </w:r>
          </w:p>
        </w:tc>
        <w:tc>
          <w:tcPr>
            <w:tcW w:w="1694" w:type="dxa"/>
            <w:vAlign w:val="center"/>
          </w:tcPr>
          <w:p>
            <w:pPr>
              <w:jc w:val="center"/>
              <w:rPr>
                <w:rFonts w:ascii="新宋体" w:hAnsi="新宋体" w:eastAsia="新宋体"/>
                <w:sz w:val="24"/>
              </w:rPr>
            </w:pPr>
          </w:p>
        </w:tc>
        <w:tc>
          <w:tcPr>
            <w:tcW w:w="2057" w:type="dxa"/>
            <w:vAlign w:val="center"/>
          </w:tcPr>
          <w:p>
            <w:pPr>
              <w:jc w:val="center"/>
              <w:rPr>
                <w:rFonts w:ascii="新宋体" w:hAnsi="新宋体" w:eastAsia="新宋体"/>
                <w:sz w:val="24"/>
              </w:rPr>
            </w:pPr>
          </w:p>
        </w:tc>
        <w:tc>
          <w:tcPr>
            <w:tcW w:w="2385" w:type="dxa"/>
            <w:vAlign w:val="center"/>
          </w:tcPr>
          <w:p>
            <w:pPr>
              <w:jc w:val="center"/>
              <w:rPr>
                <w:rFonts w:ascii="新宋体" w:hAnsi="新宋体" w:eastAsia="新宋体"/>
                <w:sz w:val="24"/>
              </w:rPr>
            </w:pPr>
          </w:p>
        </w:tc>
        <w:tc>
          <w:tcPr>
            <w:tcW w:w="1000" w:type="dxa"/>
            <w:vAlign w:val="center"/>
          </w:tcPr>
          <w:p>
            <w:pPr>
              <w:jc w:val="center"/>
              <w:rPr>
                <w:rFonts w:ascii="新宋体" w:hAnsi="新宋体" w:eastAsia="新宋体"/>
                <w:sz w:val="24"/>
              </w:rPr>
            </w:pPr>
          </w:p>
        </w:tc>
      </w:tr>
    </w:tbl>
    <w:p>
      <w:pPr>
        <w:spacing w:line="360" w:lineRule="auto"/>
        <w:ind w:firstLine="600" w:firstLineChars="250"/>
        <w:rPr>
          <w:rFonts w:hint="eastAsia" w:ascii="新宋体" w:hAnsi="新宋体" w:eastAsia="新宋体"/>
          <w:sz w:val="28"/>
          <w:szCs w:val="28"/>
        </w:rPr>
      </w:pPr>
      <w:r>
        <w:rPr>
          <w:rFonts w:hint="eastAsia" w:ascii="宋体" w:hAnsi="宋体"/>
          <w:sz w:val="24"/>
          <w:szCs w:val="24"/>
        </w:rPr>
        <w:t>投标人分公司提供售后服务的，提供分公司营业执照复印件</w:t>
      </w:r>
    </w:p>
    <w:p>
      <w:pPr>
        <w:numPr>
          <w:ilvl w:val="0"/>
          <w:numId w:val="10"/>
        </w:numPr>
        <w:spacing w:line="360" w:lineRule="auto"/>
        <w:ind w:firstLine="700" w:firstLineChars="250"/>
        <w:rPr>
          <w:rFonts w:hint="eastAsia" w:ascii="新宋体" w:hAnsi="新宋体" w:eastAsia="新宋体"/>
          <w:sz w:val="28"/>
          <w:szCs w:val="28"/>
        </w:rPr>
      </w:pPr>
      <w:r>
        <w:rPr>
          <w:rFonts w:hint="eastAsia" w:ascii="新宋体" w:hAnsi="新宋体" w:eastAsia="新宋体"/>
          <w:sz w:val="28"/>
          <w:szCs w:val="28"/>
        </w:rPr>
        <w:t>其他（如有）</w:t>
      </w:r>
    </w:p>
    <w:p>
      <w:pPr>
        <w:pStyle w:val="19"/>
        <w:numPr>
          <w:ilvl w:val="0"/>
          <w:numId w:val="0"/>
        </w:numPr>
        <w:rPr>
          <w:rFonts w:hint="eastAsia"/>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p>
    <w:p>
      <w:pPr>
        <w:spacing w:line="720" w:lineRule="auto"/>
        <w:jc w:val="center"/>
        <w:rPr>
          <w:rFonts w:hint="eastAsia" w:ascii="宋体" w:hAnsi="宋体"/>
          <w:b/>
          <w:color w:val="000000"/>
          <w:sz w:val="32"/>
          <w:szCs w:val="32"/>
        </w:rPr>
      </w:pPr>
      <w:r>
        <w:rPr>
          <w:rFonts w:hint="eastAsia" w:ascii="宋体" w:hAnsi="宋体"/>
          <w:b/>
          <w:color w:val="000000"/>
          <w:sz w:val="32"/>
          <w:szCs w:val="32"/>
        </w:rPr>
        <w:t>七、资格证明文件</w:t>
      </w:r>
      <w:bookmarkEnd w:id="72"/>
      <w:bookmarkEnd w:id="73"/>
      <w:bookmarkEnd w:id="74"/>
      <w:r>
        <w:rPr>
          <w:rFonts w:hint="eastAsia" w:ascii="宋体" w:hAnsi="宋体"/>
          <w:b/>
          <w:color w:val="000000"/>
          <w:sz w:val="32"/>
          <w:szCs w:val="32"/>
        </w:rPr>
        <w:t>及其他重要资料</w:t>
      </w:r>
      <w:bookmarkEnd w:id="75"/>
      <w:bookmarkEnd w:id="76"/>
      <w:bookmarkEnd w:id="77"/>
    </w:p>
    <w:p>
      <w:pPr>
        <w:spacing w:line="720" w:lineRule="auto"/>
        <w:rPr>
          <w:rFonts w:ascii="宋体" w:hAnsi="宋体"/>
          <w:b/>
          <w:color w:val="000000"/>
          <w:sz w:val="32"/>
          <w:szCs w:val="32"/>
        </w:rPr>
      </w:pPr>
      <w:r>
        <w:rPr>
          <w:rFonts w:hint="eastAsia" w:ascii="宋体" w:hAnsi="宋体"/>
          <w:b/>
          <w:color w:val="000000"/>
          <w:sz w:val="32"/>
          <w:szCs w:val="32"/>
        </w:rPr>
        <w:t>一、资格证明文件</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1、营业执照复印件、税务登记证复印件（若投标人提供了 “三证合一”或“五证合一”的新版营业执照，无需另行提供税务登记证）；</w:t>
      </w:r>
    </w:p>
    <w:p>
      <w:pPr>
        <w:widowControl/>
        <w:numPr>
          <w:ilvl w:val="0"/>
          <w:numId w:val="0"/>
        </w:numPr>
        <w:shd w:val="clear" w:color="auto" w:fill="FFFFFF"/>
        <w:spacing w:line="500" w:lineRule="exact"/>
        <w:ind w:leftChars="0" w:firstLine="560" w:firstLineChars="200"/>
        <w:rPr>
          <w:rFonts w:hint="eastAsia" w:ascii="宋体" w:hAnsi="宋体"/>
          <w:color w:val="000000"/>
          <w:sz w:val="28"/>
          <w:szCs w:val="28"/>
        </w:rPr>
      </w:pPr>
      <w:r>
        <w:rPr>
          <w:rFonts w:hint="eastAsia" w:ascii="宋体" w:hAnsi="宋体"/>
          <w:color w:val="000000"/>
          <w:sz w:val="28"/>
          <w:szCs w:val="28"/>
        </w:rPr>
        <w:t>2、提供</w:t>
      </w:r>
      <w:r>
        <w:rPr>
          <w:rFonts w:ascii="宋体" w:hAnsi="宋体"/>
          <w:color w:val="000000"/>
          <w:sz w:val="28"/>
          <w:szCs w:val="28"/>
        </w:rPr>
        <w:t>有效的省级及以上卫生部门颁发的涉及饮用水卫生生产许可证批件</w:t>
      </w:r>
      <w:r>
        <w:rPr>
          <w:rFonts w:hint="eastAsia" w:ascii="宋体" w:hAnsi="宋体"/>
          <w:color w:val="000000"/>
          <w:sz w:val="28"/>
          <w:szCs w:val="28"/>
        </w:rPr>
        <w:t>复印件</w:t>
      </w:r>
      <w:r>
        <w:rPr>
          <w:rFonts w:hint="eastAsia"/>
          <w:color w:val="auto"/>
          <w:sz w:val="28"/>
          <w:szCs w:val="28"/>
          <w:highlight w:val="none"/>
          <w:lang w:val="en-US" w:eastAsia="zh-CN"/>
        </w:rPr>
        <w:t>或省下放审批权到地级市卫生部门颁发的设计饮用水卫生生产许可证批件</w:t>
      </w:r>
      <w:r>
        <w:rPr>
          <w:color w:val="auto"/>
          <w:sz w:val="28"/>
          <w:szCs w:val="28"/>
          <w:highlight w:val="none"/>
        </w:rPr>
        <w:t>；</w:t>
      </w:r>
    </w:p>
    <w:p>
      <w:pPr>
        <w:snapToGrid w:val="0"/>
        <w:spacing w:line="480" w:lineRule="exact"/>
        <w:ind w:firstLine="280" w:firstLineChars="100"/>
        <w:rPr>
          <w:rFonts w:hint="eastAsia"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提供生产厂家的投标产品地市级及以上质量技术监督部门</w:t>
      </w:r>
      <w:r>
        <w:rPr>
          <w:rFonts w:hint="eastAsia" w:ascii="宋体" w:hAnsi="宋体"/>
          <w:color w:val="000000"/>
          <w:sz w:val="28"/>
          <w:szCs w:val="28"/>
          <w:lang w:val="en-US" w:eastAsia="zh-CN"/>
        </w:rPr>
        <w:t>或具有资质第三方检测单位出具</w:t>
      </w:r>
      <w:r>
        <w:rPr>
          <w:rFonts w:hint="eastAsia" w:ascii="宋体" w:hAnsi="宋体"/>
          <w:color w:val="000000"/>
          <w:sz w:val="28"/>
          <w:szCs w:val="28"/>
        </w:rPr>
        <w:t>的产品质量检测报告；</w:t>
      </w:r>
    </w:p>
    <w:p>
      <w:pPr>
        <w:widowControl/>
        <w:shd w:val="clear" w:color="auto" w:fill="FFFFFF"/>
        <w:spacing w:line="500" w:lineRule="exact"/>
        <w:ind w:firstLine="280" w:firstLineChars="100"/>
        <w:rPr>
          <w:rFonts w:hint="eastAsia" w:ascii="宋体" w:hAnsi="宋体"/>
          <w:bCs/>
          <w:color w:val="000000"/>
          <w:sz w:val="28"/>
          <w:szCs w:val="28"/>
        </w:rPr>
      </w:pPr>
      <w:r>
        <w:rPr>
          <w:rFonts w:hint="eastAsia" w:ascii="宋体" w:hAnsi="宋体"/>
          <w:bCs/>
          <w:color w:val="000000"/>
          <w:sz w:val="28"/>
          <w:szCs w:val="28"/>
        </w:rPr>
        <w:t>二、其他重要资料</w:t>
      </w:r>
    </w:p>
    <w:p>
      <w:pPr>
        <w:snapToGrid w:val="0"/>
        <w:spacing w:line="480" w:lineRule="exact"/>
        <w:ind w:firstLine="280" w:firstLineChars="100"/>
        <w:rPr>
          <w:rFonts w:ascii="宋体" w:hAnsi="宋体"/>
          <w:sz w:val="28"/>
          <w:szCs w:val="28"/>
        </w:rPr>
      </w:pPr>
      <w:r>
        <w:rPr>
          <w:rFonts w:hint="eastAsia" w:ascii="宋体" w:hAnsi="宋体"/>
          <w:bCs/>
          <w:color w:val="000000"/>
          <w:sz w:val="28"/>
          <w:szCs w:val="28"/>
        </w:rPr>
        <w:t>1、</w:t>
      </w:r>
      <w:r>
        <w:rPr>
          <w:rFonts w:hint="eastAsia" w:ascii="宋体" w:hAnsi="宋体"/>
          <w:color w:val="000000"/>
          <w:sz w:val="28"/>
          <w:szCs w:val="28"/>
        </w:rPr>
        <w:t>法定代表人</w:t>
      </w:r>
      <w:r>
        <w:rPr>
          <w:rFonts w:hint="eastAsia" w:ascii="宋体" w:hAnsi="宋体"/>
          <w:sz w:val="28"/>
          <w:szCs w:val="28"/>
        </w:rPr>
        <w:t>身份证明</w:t>
      </w:r>
    </w:p>
    <w:p>
      <w:pPr>
        <w:snapToGrid w:val="0"/>
        <w:spacing w:line="440" w:lineRule="exact"/>
        <w:jc w:val="center"/>
        <w:rPr>
          <w:rFonts w:hint="eastAsia" w:ascii="宋体" w:hAnsi="宋体"/>
          <w:b/>
          <w:sz w:val="28"/>
          <w:szCs w:val="28"/>
        </w:rPr>
      </w:pPr>
    </w:p>
    <w:p>
      <w:pPr>
        <w:snapToGrid w:val="0"/>
        <w:spacing w:line="440" w:lineRule="exact"/>
        <w:jc w:val="center"/>
        <w:rPr>
          <w:rFonts w:ascii="宋体" w:hAnsi="宋体"/>
          <w:b/>
          <w:sz w:val="28"/>
          <w:szCs w:val="28"/>
        </w:rPr>
      </w:pPr>
      <w:r>
        <w:rPr>
          <w:rFonts w:hint="eastAsia" w:ascii="宋体" w:hAnsi="宋体"/>
          <w:b/>
          <w:sz w:val="28"/>
          <w:szCs w:val="28"/>
        </w:rPr>
        <w:t>法定代表人身份证明</w:t>
      </w:r>
    </w:p>
    <w:p>
      <w:pPr>
        <w:spacing w:line="520" w:lineRule="exact"/>
        <w:ind w:firstLine="560" w:firstLineChars="200"/>
        <w:rPr>
          <w:rFonts w:ascii="宋体" w:hAnsi="宋体"/>
          <w:sz w:val="28"/>
          <w:szCs w:val="28"/>
        </w:rPr>
      </w:pPr>
      <w:r>
        <w:rPr>
          <w:rFonts w:hint="eastAsia" w:ascii="宋体" w:hAnsi="宋体"/>
          <w:sz w:val="28"/>
          <w:szCs w:val="28"/>
        </w:rPr>
        <w:t>投标人名称：</w:t>
      </w:r>
      <w:r>
        <w:rPr>
          <w:rFonts w:hint="eastAsia" w:ascii="宋体" w:hAnsi="宋体"/>
          <w:sz w:val="28"/>
          <w:szCs w:val="28"/>
          <w:u w:val="single"/>
        </w:rPr>
        <w:t xml:space="preserve">                                 </w:t>
      </w:r>
    </w:p>
    <w:p>
      <w:pPr>
        <w:spacing w:line="520" w:lineRule="exact"/>
        <w:ind w:firstLine="560" w:firstLineChars="200"/>
        <w:rPr>
          <w:rFonts w:ascii="宋体" w:hAnsi="宋体"/>
          <w:sz w:val="28"/>
          <w:szCs w:val="28"/>
        </w:rPr>
      </w:pPr>
      <w:r>
        <w:rPr>
          <w:rFonts w:hint="eastAsia" w:ascii="宋体" w:hAnsi="宋体"/>
          <w:sz w:val="28"/>
          <w:szCs w:val="28"/>
        </w:rPr>
        <w:t xml:space="preserve">单位性质： </w:t>
      </w:r>
      <w:r>
        <w:rPr>
          <w:rFonts w:hint="eastAsia" w:ascii="宋体" w:hAnsi="宋体"/>
          <w:sz w:val="28"/>
          <w:szCs w:val="28"/>
          <w:u w:val="single"/>
        </w:rPr>
        <w:t xml:space="preserve">                                  </w:t>
      </w:r>
    </w:p>
    <w:p>
      <w:pPr>
        <w:spacing w:line="520" w:lineRule="exact"/>
        <w:ind w:firstLine="560" w:firstLineChars="20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p>
    <w:p>
      <w:pPr>
        <w:spacing w:line="520" w:lineRule="exact"/>
        <w:ind w:firstLine="560" w:firstLineChars="200"/>
        <w:rPr>
          <w:rFonts w:ascii="宋体" w:hAnsi="宋体"/>
          <w:sz w:val="28"/>
          <w:szCs w:val="28"/>
        </w:rPr>
      </w:pPr>
      <w:r>
        <w:rPr>
          <w:rFonts w:ascii="宋体" w:hAnsi="宋体" w:cs="Arial"/>
          <w:bCs/>
          <w:kern w:val="0"/>
          <w:sz w:val="28"/>
          <w:szCs w:val="28"/>
        </w:rPr>
        <w:t>所属区县</w:t>
      </w:r>
      <w:r>
        <w:rPr>
          <w:rFonts w:hint="eastAsia" w:ascii="宋体" w:hAnsi="宋体" w:cs="Arial"/>
          <w:bCs/>
          <w:kern w:val="0"/>
          <w:sz w:val="28"/>
          <w:szCs w:val="28"/>
        </w:rPr>
        <w:t>(省、市、区)：</w:t>
      </w:r>
      <w:r>
        <w:rPr>
          <w:rFonts w:hint="eastAsia" w:ascii="宋体" w:hAnsi="宋体"/>
          <w:sz w:val="28"/>
          <w:szCs w:val="28"/>
          <w:u w:val="single"/>
        </w:rPr>
        <w:t xml:space="preserve">                                   </w:t>
      </w:r>
      <w:r>
        <w:rPr>
          <w:rFonts w:hint="eastAsia" w:ascii="宋体" w:hAnsi="宋体"/>
          <w:sz w:val="28"/>
          <w:szCs w:val="28"/>
        </w:rPr>
        <w:t xml:space="preserve"> </w:t>
      </w:r>
    </w:p>
    <w:p>
      <w:pPr>
        <w:spacing w:line="520" w:lineRule="exact"/>
        <w:ind w:firstLine="560" w:firstLineChars="200"/>
        <w:rPr>
          <w:rFonts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520" w:lineRule="exact"/>
        <w:ind w:firstLine="560" w:firstLineChars="200"/>
        <w:rPr>
          <w:rFonts w:ascii="宋体" w:hAnsi="宋体"/>
          <w:sz w:val="28"/>
          <w:szCs w:val="28"/>
        </w:rPr>
      </w:pPr>
      <w:r>
        <w:rPr>
          <w:rFonts w:hint="eastAsia" w:ascii="宋体" w:hAnsi="宋体"/>
          <w:sz w:val="28"/>
          <w:szCs w:val="28"/>
        </w:rPr>
        <w:t>经营期限：</w:t>
      </w:r>
      <w:r>
        <w:rPr>
          <w:rFonts w:hint="eastAsia" w:ascii="宋体" w:hAnsi="宋体"/>
          <w:sz w:val="28"/>
          <w:szCs w:val="28"/>
          <w:u w:val="single"/>
        </w:rPr>
        <w:t xml:space="preserve">                                </w:t>
      </w:r>
    </w:p>
    <w:p>
      <w:pPr>
        <w:spacing w:line="520" w:lineRule="exact"/>
        <w:ind w:firstLine="560" w:firstLineChars="200"/>
        <w:rPr>
          <w:rFonts w:ascii="宋体" w:hAnsi="宋体"/>
          <w:sz w:val="28"/>
          <w:szCs w:val="28"/>
        </w:rPr>
      </w:pPr>
      <w:r>
        <w:rPr>
          <w:rFonts w:hint="eastAsia" w:ascii="宋体" w:hAnsi="宋体"/>
          <w:sz w:val="28"/>
          <w:szCs w:val="28"/>
        </w:rPr>
        <w:t>投标人</w:t>
      </w:r>
      <w:r>
        <w:rPr>
          <w:rFonts w:ascii="宋体" w:hAnsi="宋体"/>
          <w:sz w:val="28"/>
          <w:szCs w:val="28"/>
        </w:rPr>
        <w:t>纳税人识别号</w:t>
      </w:r>
      <w:r>
        <w:rPr>
          <w:rFonts w:hint="eastAsia" w:ascii="宋体" w:hAnsi="宋体"/>
          <w:sz w:val="28"/>
          <w:szCs w:val="28"/>
        </w:rPr>
        <w:t>：</w:t>
      </w:r>
      <w:r>
        <w:rPr>
          <w:rFonts w:hint="eastAsia" w:ascii="宋体" w:hAnsi="宋体"/>
          <w:sz w:val="28"/>
          <w:szCs w:val="28"/>
          <w:u w:val="single"/>
        </w:rPr>
        <w:t xml:space="preserve">                                </w:t>
      </w:r>
    </w:p>
    <w:p>
      <w:pPr>
        <w:spacing w:line="520" w:lineRule="exact"/>
        <w:ind w:firstLine="560" w:firstLineChars="200"/>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_</w:t>
      </w:r>
    </w:p>
    <w:p>
      <w:pPr>
        <w:spacing w:line="520" w:lineRule="exact"/>
        <w:ind w:firstLine="560" w:firstLineChars="200"/>
        <w:rPr>
          <w:rFonts w:ascii="宋体" w:hAnsi="宋体"/>
          <w:sz w:val="28"/>
          <w:szCs w:val="28"/>
        </w:rPr>
      </w:pP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（投标人名称）的法定代表人。</w:t>
      </w:r>
    </w:p>
    <w:p>
      <w:pPr>
        <w:spacing w:line="520" w:lineRule="exact"/>
        <w:ind w:firstLine="1120" w:firstLineChars="400"/>
        <w:rPr>
          <w:rFonts w:ascii="宋体" w:hAnsi="宋体"/>
          <w:color w:val="000000"/>
          <w:sz w:val="28"/>
          <w:szCs w:val="28"/>
        </w:rPr>
      </w:pPr>
      <w:r>
        <w:rPr>
          <w:rFonts w:hint="eastAsia" w:ascii="宋体" w:hAnsi="宋体"/>
          <w:sz w:val="28"/>
          <w:szCs w:val="28"/>
        </w:rPr>
        <w:t>特此证明。</w:t>
      </w:r>
    </w:p>
    <w:p>
      <w:pPr>
        <w:ind w:firstLine="560" w:firstLineChars="200"/>
        <w:rPr>
          <w:rFonts w:hint="eastAsia"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（盖单位公章）</w:t>
      </w:r>
    </w:p>
    <w:p>
      <w:pPr>
        <w:ind w:firstLine="560" w:firstLineChars="200"/>
        <w:rPr>
          <w:rFonts w:hint="eastAsia"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rPr>
          <w:rFonts w:hint="eastAsia"/>
        </w:rPr>
      </w:pPr>
    </w:p>
    <w:p>
      <w:pPr>
        <w:snapToGrid w:val="0"/>
        <w:spacing w:line="440" w:lineRule="exact"/>
        <w:ind w:firstLine="280" w:firstLineChars="1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、授权委托书</w:t>
      </w:r>
    </w:p>
    <w:p>
      <w:pPr>
        <w:ind w:firstLine="645"/>
        <w:jc w:val="center"/>
        <w:rPr>
          <w:rFonts w:hint="eastAsia" w:ascii="宋体" w:hAnsi="宋体"/>
          <w:b/>
          <w:sz w:val="28"/>
          <w:szCs w:val="28"/>
        </w:rPr>
      </w:pPr>
    </w:p>
    <w:p>
      <w:pPr>
        <w:ind w:firstLine="645"/>
        <w:jc w:val="center"/>
        <w:rPr>
          <w:rFonts w:hint="eastAsia" w:ascii="宋体" w:hAnsi="宋体"/>
          <w:b/>
          <w:sz w:val="28"/>
          <w:szCs w:val="28"/>
        </w:rPr>
      </w:pPr>
      <w:r>
        <w:rPr>
          <w:rFonts w:hint="eastAsia" w:ascii="宋体" w:hAnsi="宋体"/>
          <w:b/>
          <w:sz w:val="28"/>
          <w:szCs w:val="28"/>
        </w:rPr>
        <w:t>授权委托书</w:t>
      </w:r>
    </w:p>
    <w:p>
      <w:pPr>
        <w:tabs>
          <w:tab w:val="left" w:pos="7560"/>
        </w:tabs>
        <w:spacing w:line="560" w:lineRule="exact"/>
        <w:jc w:val="center"/>
        <w:rPr>
          <w:rFonts w:ascii="宋体" w:hAnsi="宋体"/>
          <w:color w:val="000000"/>
          <w:sz w:val="28"/>
        </w:rPr>
      </w:pPr>
      <w:r>
        <w:rPr>
          <w:rFonts w:hint="eastAsia" w:ascii="宋体" w:hAnsi="宋体"/>
          <w:color w:val="000000"/>
          <w:sz w:val="28"/>
        </w:rPr>
        <w:t>本授权书声明：</w:t>
      </w:r>
      <w:r>
        <w:rPr>
          <w:rFonts w:hint="eastAsia" w:ascii="宋体" w:hAnsi="宋体"/>
          <w:color w:val="000000"/>
          <w:sz w:val="28"/>
          <w:u w:val="single"/>
        </w:rPr>
        <w:t xml:space="preserve">             </w:t>
      </w:r>
      <w:r>
        <w:rPr>
          <w:rFonts w:hint="eastAsia" w:ascii="宋体" w:hAnsi="宋体" w:cs="Arial"/>
          <w:color w:val="000000"/>
          <w:sz w:val="28"/>
        </w:rPr>
        <w:t>（投标人名称）</w:t>
      </w:r>
      <w:r>
        <w:rPr>
          <w:rFonts w:hint="eastAsia" w:ascii="宋体" w:hAnsi="宋体"/>
          <w:color w:val="000000"/>
          <w:sz w:val="28"/>
        </w:rPr>
        <w:t>的</w:t>
      </w:r>
      <w:r>
        <w:rPr>
          <w:rFonts w:hint="eastAsia" w:ascii="宋体" w:hAnsi="宋体"/>
          <w:color w:val="000000"/>
          <w:sz w:val="28"/>
          <w:u w:val="single"/>
        </w:rPr>
        <w:t xml:space="preserve">         </w:t>
      </w:r>
      <w:r>
        <w:rPr>
          <w:rFonts w:hint="eastAsia" w:ascii="宋体" w:hAnsi="宋体"/>
          <w:color w:val="000000"/>
          <w:sz w:val="28"/>
        </w:rPr>
        <w:t>（法定代表人姓名、职务）代表本单位委托</w:t>
      </w:r>
      <w:r>
        <w:rPr>
          <w:rFonts w:hint="eastAsia" w:ascii="宋体" w:hAnsi="宋体"/>
          <w:color w:val="000000"/>
          <w:sz w:val="28"/>
          <w:u w:val="single"/>
        </w:rPr>
        <w:t xml:space="preserve">           </w:t>
      </w:r>
      <w:r>
        <w:rPr>
          <w:rFonts w:hint="eastAsia" w:ascii="宋体" w:hAnsi="宋体"/>
          <w:color w:val="000000"/>
          <w:sz w:val="28"/>
        </w:rPr>
        <w:t>（委托代理人的姓名、职务）为我方的合法代理人，参加</w:t>
      </w:r>
      <w:r>
        <w:rPr>
          <w:rFonts w:hint="eastAsia" w:ascii="宋体" w:hAnsi="宋体"/>
          <w:color w:val="000000"/>
          <w:sz w:val="28"/>
          <w:u w:val="single"/>
          <w:lang w:eastAsia="zh-CN"/>
        </w:rPr>
        <w:t>宁国水务有限公司2024年度PE、PPR管材、管件采购项目</w:t>
      </w:r>
      <w:r>
        <w:rPr>
          <w:rFonts w:hint="eastAsia" w:ascii="宋体" w:hAnsi="宋体"/>
          <w:color w:val="000000"/>
          <w:sz w:val="28"/>
        </w:rPr>
        <w:t>投标、评审答疑、合同签订以及合同执行等，可以用我方名义全权处理一切与之有关的事</w:t>
      </w:r>
      <w:r>
        <w:rPr>
          <w:rFonts w:hint="eastAsia" w:ascii="宋体" w:hAnsi="宋体"/>
          <w:color w:val="000000"/>
          <w:sz w:val="28"/>
          <w:szCs w:val="28"/>
        </w:rPr>
        <w:t>宜，其法律后果由我方承担。</w:t>
      </w:r>
    </w:p>
    <w:p>
      <w:pPr>
        <w:ind w:firstLine="560" w:firstLineChars="200"/>
        <w:rPr>
          <w:rFonts w:ascii="宋体" w:hAnsi="宋体"/>
          <w:color w:val="000000"/>
          <w:sz w:val="28"/>
          <w:szCs w:val="28"/>
        </w:rPr>
      </w:pPr>
      <w:r>
        <w:rPr>
          <w:rFonts w:hint="eastAsia" w:ascii="宋体" w:hAnsi="宋体"/>
          <w:color w:val="000000"/>
          <w:sz w:val="28"/>
          <w:szCs w:val="28"/>
        </w:rPr>
        <w:t>代理人无转委托权。</w:t>
      </w:r>
    </w:p>
    <w:p>
      <w:pPr>
        <w:ind w:firstLine="560" w:firstLineChars="200"/>
        <w:rPr>
          <w:rFonts w:ascii="宋体" w:hAnsi="宋体"/>
          <w:sz w:val="28"/>
          <w:szCs w:val="28"/>
        </w:rPr>
      </w:pPr>
      <w:r>
        <w:rPr>
          <w:rFonts w:hint="eastAsia" w:ascii="宋体" w:hAnsi="宋体"/>
          <w:sz w:val="28"/>
          <w:szCs w:val="28"/>
        </w:rPr>
        <w:t>法定代表人签字：</w:t>
      </w:r>
      <w:r>
        <w:rPr>
          <w:rFonts w:hint="eastAsia" w:ascii="宋体" w:hAnsi="宋体"/>
          <w:sz w:val="28"/>
          <w:szCs w:val="28"/>
          <w:u w:val="single"/>
        </w:rPr>
        <w:t xml:space="preserve">      </w:t>
      </w:r>
      <w:r>
        <w:rPr>
          <w:rFonts w:hint="eastAsia" w:ascii="宋体" w:hAnsi="宋体"/>
          <w:sz w:val="28"/>
          <w:szCs w:val="28"/>
        </w:rPr>
        <w:t>；委托代理人签字：</w:t>
      </w:r>
      <w:r>
        <w:rPr>
          <w:rFonts w:hint="eastAsia" w:ascii="宋体" w:hAnsi="宋体"/>
          <w:sz w:val="28"/>
          <w:szCs w:val="28"/>
          <w:u w:val="single"/>
        </w:rPr>
        <w:t xml:space="preserve">     </w:t>
      </w:r>
    </w:p>
    <w:p>
      <w:pPr>
        <w:ind w:firstLine="560" w:firstLineChars="200"/>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（盖单位公章）</w:t>
      </w:r>
    </w:p>
    <w:p>
      <w:pPr>
        <w:ind w:firstLine="560" w:firstLineChars="200"/>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ind w:firstLine="560" w:firstLineChars="200"/>
        <w:rPr>
          <w:rFonts w:ascii="宋体" w:hAnsi="宋体"/>
          <w:color w:val="000000"/>
          <w:sz w:val="28"/>
          <w:szCs w:val="28"/>
        </w:rPr>
      </w:pPr>
      <w:r>
        <w:rPr>
          <w:rFonts w:hint="eastAsia" w:ascii="宋体" w:hAnsi="宋体"/>
          <w:color w:val="000000"/>
          <w:sz w:val="28"/>
          <w:szCs w:val="28"/>
        </w:rPr>
        <w:t>附： 1、委托代理人有效身份证正、反面复印件</w:t>
      </w:r>
    </w:p>
    <w:p>
      <w:pPr>
        <w:ind w:firstLine="1260" w:firstLineChars="450"/>
        <w:rPr>
          <w:rFonts w:ascii="宋体" w:hAnsi="宋体"/>
          <w:color w:val="000000"/>
          <w:sz w:val="28"/>
          <w:szCs w:val="28"/>
        </w:rPr>
      </w:pPr>
      <w:r>
        <w:rPr>
          <w:rFonts w:hint="eastAsia" w:ascii="宋体" w:hAnsi="宋体"/>
          <w:color w:val="000000"/>
          <w:sz w:val="28"/>
          <w:szCs w:val="28"/>
        </w:rPr>
        <w:t>2、委托代理人联系方式（手机）：</w:t>
      </w:r>
    </w:p>
    <w:p>
      <w:pPr>
        <w:spacing w:line="460" w:lineRule="exact"/>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、法定代表人有效身份证正、反面复印件</w:t>
      </w:r>
    </w:p>
    <w:p>
      <w:pPr>
        <w:spacing w:line="460" w:lineRule="exac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、按照国家规定生产所报价货物必备的其他各种文件（如有）</w:t>
      </w:r>
    </w:p>
    <w:p>
      <w:pPr>
        <w:spacing w:line="460" w:lineRule="exac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、招标文件规定的和投标人认为需要提交的其他资料（如有）</w:t>
      </w:r>
    </w:p>
    <w:p>
      <w:pPr>
        <w:spacing w:line="460" w:lineRule="exact"/>
        <w:rPr>
          <w:rFonts w:hint="eastAsia" w:ascii="宋体" w:hAnsi="宋体"/>
          <w:sz w:val="28"/>
          <w:szCs w:val="28"/>
        </w:rPr>
      </w:pPr>
    </w:p>
    <w:p>
      <w:pPr>
        <w:spacing w:line="560" w:lineRule="exact"/>
        <w:jc w:val="center"/>
        <w:rPr>
          <w:rFonts w:hint="eastAsia" w:ascii="方正小标宋简体" w:eastAsia="方正小标宋简体" w:cs="方正小标宋简体"/>
          <w:sz w:val="44"/>
          <w:szCs w:val="44"/>
        </w:rPr>
      </w:pPr>
    </w:p>
    <w:p>
      <w:pPr>
        <w:spacing w:line="560" w:lineRule="exact"/>
        <w:jc w:val="center"/>
        <w:rPr>
          <w:rFonts w:hint="eastAsia" w:ascii="方正小标宋简体" w:eastAsia="方正小标宋简体" w:cs="方正小标宋简体"/>
          <w:sz w:val="44"/>
          <w:szCs w:val="44"/>
        </w:rPr>
      </w:pPr>
    </w:p>
    <w:p>
      <w:pPr>
        <w:spacing w:line="560" w:lineRule="exact"/>
        <w:jc w:val="center"/>
        <w:rPr>
          <w:rFonts w:hint="eastAsia" w:ascii="方正小标宋简体" w:eastAsia="方正小标宋简体" w:cs="方正小标宋简体"/>
          <w:sz w:val="44"/>
          <w:szCs w:val="44"/>
        </w:rPr>
      </w:pPr>
    </w:p>
    <w:p>
      <w:pPr>
        <w:spacing w:line="560" w:lineRule="exact"/>
        <w:jc w:val="center"/>
        <w:rPr>
          <w:rFonts w:hint="eastAsia" w:ascii="方正小标宋简体" w:eastAsia="方正小标宋简体" w:cs="方正小标宋简体"/>
          <w:sz w:val="44"/>
          <w:szCs w:val="44"/>
        </w:rPr>
      </w:pPr>
    </w:p>
    <w:p>
      <w:pPr>
        <w:spacing w:line="560" w:lineRule="exact"/>
        <w:jc w:val="center"/>
        <w:rPr>
          <w:rFonts w:hint="eastAsia" w:ascii="方正小标宋简体" w:eastAsia="方正小标宋简体" w:cs="方正小标宋简体"/>
          <w:sz w:val="44"/>
          <w:szCs w:val="44"/>
        </w:rPr>
      </w:pPr>
    </w:p>
    <w:p>
      <w:pPr>
        <w:spacing w:line="560" w:lineRule="exact"/>
        <w:jc w:val="center"/>
        <w:rPr>
          <w:rFonts w:hint="eastAsia" w:ascii="方正小标宋简体" w:eastAsia="方正小标宋简体" w:cs="方正小标宋简体"/>
          <w:sz w:val="44"/>
          <w:szCs w:val="44"/>
        </w:rPr>
      </w:pPr>
    </w:p>
    <w:p>
      <w:pPr>
        <w:spacing w:line="560" w:lineRule="exact"/>
        <w:jc w:val="center"/>
        <w:rPr>
          <w:rFonts w:hint="eastAsia" w:ascii="方正小标宋简体" w:eastAsia="方正小标宋简体" w:cs="方正小标宋简体"/>
          <w:sz w:val="44"/>
          <w:szCs w:val="44"/>
        </w:rPr>
      </w:pPr>
    </w:p>
    <w:p>
      <w:pPr>
        <w:spacing w:line="560" w:lineRule="exact"/>
        <w:jc w:val="both"/>
        <w:rPr>
          <w:rFonts w:hint="eastAsia" w:ascii="方正小标宋简体" w:eastAsia="宋体" w:cs="方正小标宋简体"/>
          <w:sz w:val="44"/>
          <w:szCs w:val="44"/>
          <w:lang w:val="en-US" w:eastAsia="zh-CN"/>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sz w:val="28"/>
          <w:szCs w:val="28"/>
          <w:lang w:val="en-US" w:eastAsia="zh-CN"/>
        </w:rPr>
        <w:t>承诺函</w:t>
      </w:r>
    </w:p>
    <w:p>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承诺函</w:t>
      </w:r>
    </w:p>
    <w:p>
      <w:pPr>
        <w:spacing w:line="560" w:lineRule="exact"/>
        <w:rPr>
          <w:rFonts w:ascii="仿宋_GB2312" w:eastAsia="仿宋_GB2312" w:cs="仿宋_GB2312"/>
          <w:sz w:val="32"/>
          <w:szCs w:val="32"/>
          <w:u w:val="single"/>
        </w:rPr>
      </w:pP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本人</w:t>
      </w:r>
      <w:r>
        <w:rPr>
          <w:rFonts w:hint="eastAsia" w:ascii="仿宋_GB2312" w:eastAsia="仿宋_GB2312" w:cs="仿宋_GB2312"/>
          <w:sz w:val="32"/>
          <w:szCs w:val="32"/>
          <w:u w:val="single"/>
        </w:rPr>
        <w:t>XXX</w:t>
      </w:r>
      <w:r>
        <w:rPr>
          <w:rFonts w:hint="eastAsia" w:ascii="仿宋_GB2312" w:eastAsia="仿宋_GB2312" w:cs="仿宋_GB2312"/>
          <w:sz w:val="32"/>
          <w:szCs w:val="32"/>
        </w:rPr>
        <w:t>（身份证号码：</w:t>
      </w:r>
      <w:r>
        <w:rPr>
          <w:rFonts w:hint="eastAsia" w:ascii="仿宋_GB2312" w:eastAsia="仿宋_GB2312" w:cs="仿宋_GB2312"/>
          <w:sz w:val="32"/>
          <w:szCs w:val="32"/>
          <w:u w:val="single"/>
        </w:rPr>
        <w:t>XXXXXXXXXXXXXXXXXX</w:t>
      </w:r>
      <w:r>
        <w:rPr>
          <w:rFonts w:hint="eastAsia" w:ascii="仿宋_GB2312" w:eastAsia="仿宋_GB2312" w:cs="仿宋_GB2312"/>
          <w:sz w:val="32"/>
          <w:szCs w:val="32"/>
        </w:rPr>
        <w:t>）代表</w:t>
      </w:r>
      <w:r>
        <w:rPr>
          <w:rFonts w:hint="eastAsia" w:ascii="仿宋_GB2312" w:eastAsia="仿宋_GB2312" w:cs="仿宋_GB2312"/>
          <w:sz w:val="32"/>
          <w:szCs w:val="32"/>
          <w:u w:val="single"/>
        </w:rPr>
        <w:t>XX公司</w:t>
      </w:r>
      <w:r>
        <w:rPr>
          <w:rFonts w:hint="eastAsia" w:ascii="仿宋_GB2312" w:eastAsia="仿宋_GB2312" w:cs="仿宋_GB2312"/>
          <w:sz w:val="32"/>
          <w:szCs w:val="32"/>
        </w:rPr>
        <w:t>参加</w:t>
      </w:r>
      <w:r>
        <w:rPr>
          <w:rFonts w:hint="eastAsia" w:ascii="仿宋_GB2312" w:eastAsia="仿宋_GB2312" w:cs="仿宋_GB2312"/>
          <w:sz w:val="32"/>
          <w:szCs w:val="32"/>
          <w:u w:val="single"/>
        </w:rPr>
        <w:t>XX项目</w:t>
      </w:r>
      <w:r>
        <w:rPr>
          <w:rFonts w:hint="eastAsia" w:ascii="仿宋_GB2312" w:eastAsia="仿宋_GB2312" w:cs="仿宋_GB2312"/>
          <w:sz w:val="32"/>
          <w:szCs w:val="32"/>
        </w:rPr>
        <w:t>（项目编号：</w:t>
      </w:r>
      <w:r>
        <w:rPr>
          <w:rFonts w:hint="eastAsia" w:ascii="仿宋_GB2312" w:eastAsia="仿宋_GB2312" w:cs="仿宋_GB2312"/>
          <w:sz w:val="32"/>
          <w:szCs w:val="32"/>
          <w:u w:val="single"/>
        </w:rPr>
        <w:t>XXXXXX</w:t>
      </w:r>
      <w:r>
        <w:rPr>
          <w:rFonts w:hint="eastAsia" w:ascii="仿宋_GB2312" w:eastAsia="仿宋_GB2312" w:cs="仿宋_GB2312"/>
          <w:sz w:val="32"/>
          <w:szCs w:val="32"/>
        </w:rPr>
        <w:t>）</w:t>
      </w:r>
      <w:r>
        <w:rPr>
          <w:rFonts w:ascii="仿宋_GB2312" w:eastAsia="仿宋_GB2312" w:cs="仿宋_GB2312"/>
          <w:sz w:val="32"/>
          <w:szCs w:val="32"/>
        </w:rPr>
        <w:t>投标</w:t>
      </w:r>
      <w:r>
        <w:rPr>
          <w:rFonts w:hint="eastAsia" w:ascii="仿宋_GB2312" w:eastAsia="仿宋_GB2312" w:cs="仿宋_GB2312"/>
          <w:sz w:val="32"/>
          <w:szCs w:val="32"/>
        </w:rPr>
        <w:t>。在此，本人郑重承诺，本人与本项目其他投标方不存在</w:t>
      </w:r>
      <w:r>
        <w:rPr>
          <w:rFonts w:ascii="仿宋_GB2312" w:eastAsia="仿宋_GB2312" w:cs="仿宋_GB2312"/>
          <w:sz w:val="32"/>
          <w:szCs w:val="32"/>
        </w:rPr>
        <w:t>雇佣关系或其他</w:t>
      </w:r>
      <w:r>
        <w:rPr>
          <w:rFonts w:hint="eastAsia" w:ascii="仿宋_GB2312" w:eastAsia="仿宋_GB2312" w:cs="仿宋_GB2312"/>
          <w:sz w:val="32"/>
          <w:szCs w:val="32"/>
        </w:rPr>
        <w:t>可能影响采购活动公平、公正进行的关系。</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u w:val="single"/>
        </w:rPr>
        <w:t>XX公司</w:t>
      </w:r>
      <w:r>
        <w:rPr>
          <w:rFonts w:hint="eastAsia" w:ascii="仿宋_GB2312" w:eastAsia="仿宋_GB2312" w:cs="仿宋_GB2312"/>
          <w:sz w:val="32"/>
          <w:szCs w:val="32"/>
        </w:rPr>
        <w:t>已核实上述承诺内容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如承诺不属实，</w:t>
      </w:r>
      <w:r>
        <w:rPr>
          <w:rFonts w:hint="eastAsia" w:ascii="仿宋_GB2312" w:eastAsia="仿宋_GB2312" w:cs="仿宋_GB2312"/>
          <w:sz w:val="32"/>
          <w:szCs w:val="32"/>
          <w:u w:val="single"/>
        </w:rPr>
        <w:t>XX公司</w:t>
      </w:r>
      <w:r>
        <w:rPr>
          <w:rFonts w:hint="eastAsia" w:ascii="仿宋_GB2312" w:eastAsia="仿宋_GB2312" w:cs="仿宋_GB2312"/>
          <w:sz w:val="32"/>
          <w:szCs w:val="32"/>
        </w:rPr>
        <w:t>愿意无条件接受：</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1.宣布</w:t>
      </w:r>
      <w:r>
        <w:rPr>
          <w:rFonts w:hint="eastAsia" w:ascii="仿宋_GB2312" w:eastAsia="仿宋_GB2312" w:cs="仿宋_GB2312"/>
          <w:sz w:val="32"/>
          <w:szCs w:val="32"/>
          <w:u w:val="single"/>
        </w:rPr>
        <w:t>XX公司</w:t>
      </w:r>
      <w:r>
        <w:rPr>
          <w:rFonts w:hint="eastAsia" w:ascii="仿宋_GB2312" w:eastAsia="仿宋_GB2312" w:cs="仿宋_GB2312"/>
          <w:sz w:val="32"/>
          <w:szCs w:val="32"/>
        </w:rPr>
        <w:t>投标废标。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2.取消</w:t>
      </w:r>
      <w:r>
        <w:rPr>
          <w:rFonts w:hint="eastAsia" w:ascii="仿宋_GB2312" w:eastAsia="仿宋_GB2312" w:cs="仿宋_GB2312"/>
          <w:sz w:val="32"/>
          <w:szCs w:val="32"/>
          <w:u w:val="single"/>
        </w:rPr>
        <w:t>XX公司</w:t>
      </w:r>
      <w:r>
        <w:rPr>
          <w:rFonts w:hint="eastAsia" w:ascii="仿宋_GB2312" w:eastAsia="仿宋_GB2312" w:cs="仿宋_GB2312"/>
          <w:sz w:val="32"/>
          <w:szCs w:val="32"/>
        </w:rPr>
        <w:t>的中标资格。</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3.列入投标黑名单。</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4.不予退还投标保证金。</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特此承诺。</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tbl>
      <w:tblPr>
        <w:tblStyle w:val="49"/>
        <w:tblW w:w="670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投标人(盖章):</w:t>
            </w:r>
          </w:p>
        </w:tc>
        <w:tc>
          <w:tcPr>
            <w:tcW w:w="3532" w:type="dxa"/>
            <w:tcBorders>
              <w:top w:val="nil"/>
              <w:left w:val="nil"/>
              <w:bottom w:val="single" w:color="auto" w:sz="4" w:space="0"/>
              <w:right w:val="nil"/>
            </w:tcBorders>
          </w:tcPr>
          <w:p>
            <w:pPr>
              <w:spacing w:line="560" w:lineRule="exact"/>
              <w:rPr>
                <w:rFonts w:ascii="仿宋_GB2312" w:eastAsia="仿宋_GB2312" w:cs="仿宋_GB2312"/>
                <w:spacing w:val="-3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法定代表人(签字/</w:t>
            </w:r>
            <w:r>
              <w:rPr>
                <w:rFonts w:ascii="仿宋_GB2312" w:eastAsia="仿宋_GB2312" w:cs="仿宋_GB2312"/>
                <w:spacing w:val="-34"/>
                <w:sz w:val="32"/>
                <w:szCs w:val="32"/>
              </w:rPr>
              <w:t>盖章</w:t>
            </w:r>
            <w:r>
              <w:rPr>
                <w:rFonts w:hint="eastAsia" w:ascii="仿宋_GB2312" w:eastAsia="仿宋_GB2312" w:cs="仿宋_GB2312"/>
                <w:spacing w:val="-34"/>
                <w:sz w:val="32"/>
                <w:szCs w:val="32"/>
              </w:rPr>
              <w:t>):</w:t>
            </w:r>
          </w:p>
        </w:tc>
        <w:tc>
          <w:tcPr>
            <w:tcW w:w="3532" w:type="dxa"/>
            <w:tcBorders>
              <w:top w:val="single" w:color="auto" w:sz="4" w:space="0"/>
              <w:left w:val="nil"/>
              <w:bottom w:val="single" w:color="auto" w:sz="4" w:space="0"/>
              <w:right w:val="nil"/>
            </w:tcBorders>
          </w:tcPr>
          <w:p>
            <w:pPr>
              <w:spacing w:line="560" w:lineRule="exact"/>
              <w:rPr>
                <w:rFonts w:ascii="仿宋_GB2312" w:eastAsia="仿宋_GB2312" w:cs="仿宋_GB2312"/>
                <w:spacing w:val="-3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投标人代表(签字):</w:t>
            </w:r>
          </w:p>
        </w:tc>
        <w:tc>
          <w:tcPr>
            <w:tcW w:w="3532" w:type="dxa"/>
            <w:tcBorders>
              <w:top w:val="single" w:color="auto" w:sz="4" w:space="0"/>
              <w:left w:val="nil"/>
              <w:bottom w:val="single" w:color="auto" w:sz="4" w:space="0"/>
              <w:right w:val="nil"/>
            </w:tcBorders>
          </w:tcPr>
          <w:p>
            <w:pPr>
              <w:spacing w:line="560" w:lineRule="exact"/>
              <w:rPr>
                <w:rFonts w:ascii="仿宋_GB2312" w:eastAsia="仿宋_GB2312" w:cs="仿宋_GB2312"/>
                <w:spacing w:val="-3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175" w:type="dxa"/>
            <w:tcBorders>
              <w:top w:val="nil"/>
              <w:left w:val="nil"/>
              <w:bottom w:val="nil"/>
              <w:right w:val="nil"/>
            </w:tcBorders>
          </w:tcPr>
          <w:p>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出具日期:</w:t>
            </w:r>
          </w:p>
        </w:tc>
        <w:tc>
          <w:tcPr>
            <w:tcW w:w="3532" w:type="dxa"/>
            <w:tcBorders>
              <w:top w:val="single" w:color="auto" w:sz="4" w:space="0"/>
              <w:left w:val="nil"/>
              <w:bottom w:val="single" w:color="auto" w:sz="4" w:space="0"/>
              <w:right w:val="nil"/>
            </w:tcBorders>
          </w:tcPr>
          <w:p>
            <w:pPr>
              <w:spacing w:line="560" w:lineRule="exact"/>
              <w:jc w:val="right"/>
              <w:rPr>
                <w:rFonts w:ascii="仿宋_GB2312" w:eastAsia="仿宋_GB2312" w:cs="仿宋_GB2312"/>
                <w:spacing w:val="-34"/>
                <w:sz w:val="32"/>
                <w:szCs w:val="32"/>
              </w:rPr>
            </w:pPr>
            <w:r>
              <w:rPr>
                <w:rFonts w:hint="eastAsia" w:ascii="仿宋_GB2312" w:eastAsia="仿宋_GB2312" w:cs="仿宋_GB2312"/>
                <w:spacing w:val="-34"/>
                <w:sz w:val="32"/>
                <w:szCs w:val="32"/>
              </w:rPr>
              <w:t>年       月       日</w:t>
            </w:r>
          </w:p>
        </w:tc>
      </w:tr>
    </w:tbl>
    <w:p>
      <w:pPr>
        <w:spacing w:line="460" w:lineRule="exact"/>
        <w:rPr>
          <w:rFonts w:hint="eastAsia" w:ascii="宋体" w:hAnsi="宋体"/>
          <w:sz w:val="28"/>
          <w:szCs w:val="28"/>
        </w:rPr>
      </w:pPr>
    </w:p>
    <w:p>
      <w:pPr>
        <w:spacing w:line="460" w:lineRule="exact"/>
        <w:rPr>
          <w:rFonts w:hint="eastAsia" w:ascii="宋体" w:hAnsi="宋体"/>
          <w:sz w:val="28"/>
          <w:szCs w:val="28"/>
        </w:rPr>
      </w:pPr>
    </w:p>
    <w:p>
      <w:pPr>
        <w:pStyle w:val="19"/>
        <w:rPr>
          <w:rFonts w:hint="eastAsia" w:ascii="宋体" w:hAnsi="宋体"/>
          <w:sz w:val="28"/>
          <w:szCs w:val="28"/>
        </w:rPr>
      </w:pPr>
    </w:p>
    <w:p>
      <w:pPr>
        <w:pStyle w:val="19"/>
        <w:rPr>
          <w:rFonts w:hint="eastAsia" w:ascii="宋体" w:hAnsi="宋体"/>
          <w:sz w:val="28"/>
          <w:szCs w:val="28"/>
        </w:rPr>
      </w:pPr>
    </w:p>
    <w:p>
      <w:pPr>
        <w:spacing w:line="720" w:lineRule="auto"/>
        <w:jc w:val="both"/>
        <w:rPr>
          <w:rFonts w:hint="eastAsia" w:ascii="宋体" w:hAnsi="宋体"/>
          <w:b/>
          <w:color w:val="000000"/>
          <w:sz w:val="32"/>
          <w:szCs w:val="32"/>
        </w:rPr>
      </w:pPr>
      <w:bookmarkStart w:id="78" w:name="_Toc433274961"/>
      <w:bookmarkStart w:id="79" w:name="_Toc433183060"/>
      <w:bookmarkStart w:id="80" w:name="_Toc435773309"/>
    </w:p>
    <w:p>
      <w:pPr>
        <w:spacing w:line="720" w:lineRule="auto"/>
        <w:jc w:val="center"/>
        <w:rPr>
          <w:rFonts w:ascii="宋体" w:hAnsi="宋体"/>
          <w:b/>
          <w:color w:val="000000"/>
          <w:sz w:val="32"/>
          <w:szCs w:val="32"/>
        </w:rPr>
      </w:pPr>
      <w:r>
        <w:rPr>
          <w:rFonts w:hint="eastAsia" w:ascii="宋体" w:hAnsi="宋体"/>
          <w:b/>
          <w:color w:val="000000"/>
          <w:sz w:val="32"/>
          <w:szCs w:val="32"/>
        </w:rPr>
        <w:t>八、货物服务报价一览表</w:t>
      </w:r>
      <w:bookmarkEnd w:id="78"/>
      <w:bookmarkEnd w:id="79"/>
      <w:bookmarkEnd w:id="80"/>
    </w:p>
    <w:tbl>
      <w:tblPr>
        <w:tblStyle w:val="49"/>
        <w:tblpPr w:leftFromText="180" w:rightFromText="180" w:vertAnchor="text" w:horzAnchor="page" w:tblpX="737" w:tblpY="1394"/>
        <w:tblOverlap w:val="never"/>
        <w:tblW w:w="1013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628"/>
        <w:gridCol w:w="847"/>
        <w:gridCol w:w="825"/>
        <w:gridCol w:w="1762"/>
        <w:gridCol w:w="821"/>
        <w:gridCol w:w="821"/>
        <w:gridCol w:w="1692"/>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606" w:type="dxa"/>
            <w:vAlign w:val="center"/>
          </w:tcPr>
          <w:p>
            <w:pPr>
              <w:spacing w:line="300" w:lineRule="exact"/>
              <w:jc w:val="center"/>
              <w:rPr>
                <w:rFonts w:ascii="宋体" w:hAnsi="宋体" w:cs="Arial"/>
                <w:b/>
                <w:sz w:val="24"/>
                <w:szCs w:val="24"/>
              </w:rPr>
            </w:pPr>
            <w:bookmarkStart w:id="81" w:name="_Toc468376378"/>
            <w:bookmarkStart w:id="82" w:name="_Toc435956288"/>
            <w:bookmarkStart w:id="83" w:name="_Toc474919105"/>
            <w:bookmarkStart w:id="84" w:name="_Toc435956244"/>
            <w:bookmarkStart w:id="85" w:name="_Toc476643921"/>
            <w:r>
              <w:rPr>
                <w:rFonts w:hint="eastAsia" w:ascii="宋体" w:hAnsi="宋体" w:cs="Arial"/>
                <w:b/>
                <w:sz w:val="24"/>
                <w:szCs w:val="24"/>
              </w:rPr>
              <w:t>序号</w:t>
            </w:r>
          </w:p>
        </w:tc>
        <w:tc>
          <w:tcPr>
            <w:tcW w:w="1628" w:type="dxa"/>
            <w:vAlign w:val="center"/>
          </w:tcPr>
          <w:p>
            <w:pPr>
              <w:spacing w:line="300" w:lineRule="exact"/>
              <w:jc w:val="center"/>
              <w:rPr>
                <w:rFonts w:ascii="宋体" w:hAnsi="宋体" w:cs="Arial"/>
                <w:b/>
                <w:sz w:val="24"/>
                <w:szCs w:val="24"/>
              </w:rPr>
            </w:pPr>
            <w:r>
              <w:rPr>
                <w:rFonts w:hint="eastAsia" w:ascii="宋体" w:hAnsi="宋体" w:cs="Arial"/>
                <w:b/>
                <w:sz w:val="24"/>
                <w:szCs w:val="24"/>
              </w:rPr>
              <w:t>货物名称</w:t>
            </w:r>
          </w:p>
        </w:tc>
        <w:tc>
          <w:tcPr>
            <w:tcW w:w="847" w:type="dxa"/>
            <w:vAlign w:val="center"/>
          </w:tcPr>
          <w:p>
            <w:pPr>
              <w:spacing w:line="300" w:lineRule="exact"/>
              <w:jc w:val="center"/>
              <w:rPr>
                <w:rFonts w:ascii="宋体" w:hAnsi="宋体" w:cs="Arial"/>
                <w:b/>
                <w:sz w:val="24"/>
                <w:szCs w:val="24"/>
              </w:rPr>
            </w:pPr>
            <w:r>
              <w:rPr>
                <w:rFonts w:hint="eastAsia" w:ascii="宋体" w:hAnsi="宋体" w:cs="Arial"/>
                <w:b/>
                <w:sz w:val="24"/>
                <w:szCs w:val="24"/>
              </w:rPr>
              <w:t>品牌</w:t>
            </w:r>
          </w:p>
        </w:tc>
        <w:tc>
          <w:tcPr>
            <w:tcW w:w="825" w:type="dxa"/>
            <w:vAlign w:val="center"/>
          </w:tcPr>
          <w:p>
            <w:pPr>
              <w:spacing w:line="300" w:lineRule="exact"/>
              <w:jc w:val="center"/>
              <w:rPr>
                <w:rFonts w:ascii="宋体" w:hAnsi="宋体" w:cs="Arial"/>
                <w:b/>
                <w:sz w:val="24"/>
                <w:szCs w:val="24"/>
              </w:rPr>
            </w:pPr>
            <w:r>
              <w:rPr>
                <w:rFonts w:hint="eastAsia" w:ascii="宋体" w:hAnsi="宋体" w:cs="Arial"/>
                <w:b/>
                <w:sz w:val="24"/>
                <w:szCs w:val="24"/>
              </w:rPr>
              <w:t>规格型号</w:t>
            </w:r>
          </w:p>
        </w:tc>
        <w:tc>
          <w:tcPr>
            <w:tcW w:w="1762" w:type="dxa"/>
            <w:vAlign w:val="center"/>
          </w:tcPr>
          <w:p>
            <w:pPr>
              <w:spacing w:line="300" w:lineRule="exact"/>
              <w:jc w:val="center"/>
              <w:rPr>
                <w:rFonts w:ascii="宋体" w:hAnsi="宋体" w:cs="Arial"/>
                <w:b/>
                <w:sz w:val="24"/>
                <w:szCs w:val="24"/>
              </w:rPr>
            </w:pPr>
            <w:r>
              <w:rPr>
                <w:rFonts w:hint="eastAsia" w:ascii="宋体" w:hAnsi="宋体" w:cs="Arial"/>
                <w:b/>
                <w:sz w:val="24"/>
                <w:szCs w:val="24"/>
              </w:rPr>
              <w:t>生产制造厂家</w:t>
            </w:r>
          </w:p>
        </w:tc>
        <w:tc>
          <w:tcPr>
            <w:tcW w:w="821" w:type="dxa"/>
            <w:vAlign w:val="center"/>
          </w:tcPr>
          <w:p>
            <w:pPr>
              <w:spacing w:line="300" w:lineRule="exact"/>
              <w:jc w:val="center"/>
              <w:rPr>
                <w:rFonts w:hint="eastAsia" w:ascii="宋体" w:hAnsi="宋体" w:eastAsia="宋体" w:cs="Arial"/>
                <w:b/>
                <w:color w:val="FF0000"/>
                <w:sz w:val="24"/>
                <w:szCs w:val="24"/>
                <w:lang w:val="en-US" w:eastAsia="zh-CN"/>
              </w:rPr>
            </w:pPr>
            <w:r>
              <w:rPr>
                <w:rFonts w:hint="eastAsia" w:ascii="宋体" w:hAnsi="宋体" w:cs="Arial"/>
                <w:b/>
                <w:color w:val="FF0000"/>
                <w:sz w:val="24"/>
                <w:szCs w:val="24"/>
                <w:lang w:val="en-US" w:eastAsia="zh-CN"/>
              </w:rPr>
              <w:t>数量</w:t>
            </w:r>
          </w:p>
        </w:tc>
        <w:tc>
          <w:tcPr>
            <w:tcW w:w="821" w:type="dxa"/>
            <w:vAlign w:val="center"/>
          </w:tcPr>
          <w:p>
            <w:pPr>
              <w:spacing w:line="300" w:lineRule="exact"/>
              <w:jc w:val="center"/>
              <w:rPr>
                <w:rFonts w:ascii="宋体" w:hAnsi="宋体" w:cs="Arial"/>
                <w:b/>
                <w:sz w:val="24"/>
                <w:szCs w:val="24"/>
              </w:rPr>
            </w:pPr>
            <w:r>
              <w:rPr>
                <w:rFonts w:hint="eastAsia" w:ascii="宋体" w:hAnsi="宋体" w:cs="Arial"/>
                <w:b/>
                <w:sz w:val="24"/>
                <w:szCs w:val="24"/>
              </w:rPr>
              <w:t>单位</w:t>
            </w:r>
          </w:p>
        </w:tc>
        <w:tc>
          <w:tcPr>
            <w:tcW w:w="1692" w:type="dxa"/>
            <w:vAlign w:val="center"/>
          </w:tcPr>
          <w:p>
            <w:pPr>
              <w:spacing w:line="300" w:lineRule="exact"/>
              <w:jc w:val="center"/>
              <w:rPr>
                <w:rFonts w:ascii="宋体" w:hAnsi="宋体" w:cs="Arial"/>
                <w:b/>
                <w:sz w:val="24"/>
                <w:szCs w:val="24"/>
              </w:rPr>
            </w:pPr>
            <w:r>
              <w:rPr>
                <w:rFonts w:hint="eastAsia" w:ascii="宋体" w:hAnsi="宋体" w:cs="Arial"/>
                <w:b/>
                <w:sz w:val="24"/>
                <w:szCs w:val="24"/>
              </w:rPr>
              <w:t>单价（元）</w:t>
            </w:r>
          </w:p>
        </w:tc>
        <w:tc>
          <w:tcPr>
            <w:tcW w:w="1134" w:type="dxa"/>
            <w:vAlign w:val="center"/>
          </w:tcPr>
          <w:p>
            <w:pPr>
              <w:spacing w:line="300" w:lineRule="exact"/>
              <w:jc w:val="center"/>
              <w:rPr>
                <w:rFonts w:hint="eastAsia" w:ascii="宋体" w:hAnsi="宋体" w:cs="Arial"/>
                <w:b/>
                <w:sz w:val="24"/>
                <w:szCs w:val="24"/>
              </w:rPr>
            </w:pPr>
            <w:r>
              <w:rPr>
                <w:rFonts w:hint="eastAsia" w:ascii="宋体" w:hAnsi="宋体" w:cs="Arial"/>
                <w:b/>
                <w:sz w:val="24"/>
                <w:szCs w:val="24"/>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06" w:type="dxa"/>
            <w:vAlign w:val="center"/>
          </w:tcPr>
          <w:p>
            <w:pPr>
              <w:jc w:val="center"/>
              <w:rPr>
                <w:rFonts w:ascii="宋体" w:hAnsi="宋体"/>
                <w:sz w:val="24"/>
                <w:szCs w:val="24"/>
              </w:rPr>
            </w:pPr>
            <w:r>
              <w:rPr>
                <w:rFonts w:hint="eastAsia" w:ascii="宋体" w:hAnsi="宋体"/>
                <w:sz w:val="24"/>
                <w:szCs w:val="24"/>
              </w:rPr>
              <w:t>1</w:t>
            </w:r>
          </w:p>
        </w:tc>
        <w:tc>
          <w:tcPr>
            <w:tcW w:w="1628" w:type="dxa"/>
            <w:vAlign w:val="center"/>
          </w:tcPr>
          <w:p>
            <w:pPr>
              <w:spacing w:line="360" w:lineRule="auto"/>
              <w:contextualSpacing/>
              <w:jc w:val="center"/>
              <w:rPr>
                <w:rFonts w:ascii="宋体" w:hAnsi="宋体"/>
                <w:sz w:val="18"/>
                <w:szCs w:val="18"/>
              </w:rPr>
            </w:pPr>
          </w:p>
        </w:tc>
        <w:tc>
          <w:tcPr>
            <w:tcW w:w="847" w:type="dxa"/>
            <w:vAlign w:val="center"/>
          </w:tcPr>
          <w:p>
            <w:pPr>
              <w:spacing w:line="360" w:lineRule="auto"/>
              <w:contextualSpacing/>
              <w:jc w:val="center"/>
              <w:rPr>
                <w:rFonts w:hint="eastAsia" w:ascii="宋体" w:hAnsi="宋体"/>
                <w:sz w:val="24"/>
                <w:szCs w:val="24"/>
              </w:rPr>
            </w:pPr>
          </w:p>
        </w:tc>
        <w:tc>
          <w:tcPr>
            <w:tcW w:w="825" w:type="dxa"/>
            <w:vAlign w:val="center"/>
          </w:tcPr>
          <w:p>
            <w:pPr>
              <w:spacing w:line="360" w:lineRule="auto"/>
              <w:contextualSpacing/>
              <w:jc w:val="center"/>
              <w:rPr>
                <w:rFonts w:hint="eastAsia" w:ascii="宋体" w:hAnsi="宋体"/>
                <w:sz w:val="24"/>
                <w:szCs w:val="24"/>
              </w:rPr>
            </w:pPr>
          </w:p>
        </w:tc>
        <w:tc>
          <w:tcPr>
            <w:tcW w:w="1762" w:type="dxa"/>
            <w:vAlign w:val="center"/>
          </w:tcPr>
          <w:p>
            <w:pPr>
              <w:jc w:val="right"/>
              <w:rPr>
                <w:rFonts w:ascii="宋体" w:hAnsi="宋体" w:cs="宋体"/>
                <w:szCs w:val="21"/>
              </w:rPr>
            </w:pPr>
          </w:p>
        </w:tc>
        <w:tc>
          <w:tcPr>
            <w:tcW w:w="821" w:type="dxa"/>
            <w:vAlign w:val="center"/>
          </w:tcPr>
          <w:p>
            <w:pPr>
              <w:jc w:val="center"/>
              <w:rPr>
                <w:rFonts w:ascii="宋体" w:hAnsi="宋体"/>
                <w:color w:val="FF0000"/>
                <w:sz w:val="24"/>
                <w:szCs w:val="24"/>
              </w:rPr>
            </w:pPr>
            <w:r>
              <w:commentReference w:id="8"/>
            </w:r>
          </w:p>
        </w:tc>
        <w:tc>
          <w:tcPr>
            <w:tcW w:w="821" w:type="dxa"/>
            <w:vAlign w:val="center"/>
          </w:tcPr>
          <w:p>
            <w:pPr>
              <w:jc w:val="center"/>
              <w:rPr>
                <w:rFonts w:ascii="宋体" w:hAnsi="宋体"/>
                <w:sz w:val="24"/>
                <w:szCs w:val="24"/>
              </w:rPr>
            </w:pPr>
          </w:p>
        </w:tc>
        <w:tc>
          <w:tcPr>
            <w:tcW w:w="1692" w:type="dxa"/>
            <w:vAlign w:val="center"/>
          </w:tcPr>
          <w:p>
            <w:pPr>
              <w:spacing w:line="360" w:lineRule="auto"/>
              <w:contextualSpacing/>
              <w:jc w:val="center"/>
              <w:rPr>
                <w:rFonts w:hint="eastAsia" w:ascii="宋体" w:hAnsi="宋体"/>
                <w:sz w:val="24"/>
                <w:szCs w:val="24"/>
              </w:rPr>
            </w:pPr>
          </w:p>
        </w:tc>
        <w:tc>
          <w:tcPr>
            <w:tcW w:w="1134" w:type="dxa"/>
            <w:vAlign w:val="center"/>
          </w:tcPr>
          <w:p>
            <w:pPr>
              <w:spacing w:line="360" w:lineRule="auto"/>
              <w:contextualSpacing/>
              <w:jc w:val="center"/>
              <w:rPr>
                <w:rFonts w:hint="eastAsia" w:ascii="宋体" w:hAnsi="宋体"/>
                <w:sz w:val="24"/>
                <w:szCs w:val="24"/>
              </w:rPr>
            </w:pPr>
          </w:p>
        </w:tc>
      </w:tr>
    </w:tbl>
    <w:p>
      <w:pPr>
        <w:outlineLvl w:val="1"/>
        <w:rPr>
          <w:rFonts w:hint="eastAsia" w:ascii="新宋体" w:hAnsi="新宋体" w:eastAsia="新宋体"/>
          <w:kern w:val="0"/>
          <w:sz w:val="24"/>
          <w:szCs w:val="24"/>
        </w:rPr>
      </w:pPr>
      <w:r>
        <w:rPr>
          <w:rFonts w:hint="eastAsia" w:ascii="宋体" w:hAnsi="宋体" w:cs="宋体"/>
          <w:kern w:val="0"/>
          <w:sz w:val="24"/>
          <w:szCs w:val="24"/>
        </w:rPr>
        <w:t>项目名称：</w:t>
      </w:r>
      <w:bookmarkEnd w:id="81"/>
      <w:bookmarkEnd w:id="82"/>
      <w:bookmarkEnd w:id="83"/>
      <w:bookmarkEnd w:id="84"/>
      <w:bookmarkEnd w:id="85"/>
    </w:p>
    <w:p>
      <w:pPr>
        <w:pStyle w:val="48"/>
      </w:pPr>
    </w:p>
    <w:p>
      <w:pPr>
        <w:snapToGrid w:val="0"/>
        <w:spacing w:before="332" w:beforeLines="100" w:after="332" w:afterLines="100" w:line="300" w:lineRule="exact"/>
        <w:jc w:val="right"/>
        <w:rPr>
          <w:rFonts w:ascii="宋体" w:hAnsi="宋体"/>
          <w:sz w:val="28"/>
          <w:szCs w:val="28"/>
        </w:rPr>
      </w:pPr>
      <w:r>
        <w:rPr>
          <w:rFonts w:hint="eastAsia" w:ascii="宋体" w:hAnsi="宋体"/>
          <w:b/>
          <w:sz w:val="28"/>
          <w:szCs w:val="28"/>
        </w:rPr>
        <w:t>投标人（盖单位公章）：</w:t>
      </w:r>
    </w:p>
    <w:p>
      <w:pPr>
        <w:adjustRightInd w:val="0"/>
        <w:snapToGrid w:val="0"/>
        <w:rPr>
          <w:rFonts w:ascii="宋体" w:hAnsi="宋体"/>
          <w:b/>
          <w:bCs/>
          <w:color w:val="000000"/>
          <w:sz w:val="24"/>
          <w:szCs w:val="24"/>
        </w:rPr>
      </w:pPr>
      <w:r>
        <w:rPr>
          <w:rFonts w:hint="eastAsia" w:ascii="宋体" w:hAnsi="宋体"/>
          <w:b/>
          <w:bCs/>
          <w:color w:val="000000"/>
          <w:sz w:val="24"/>
          <w:szCs w:val="24"/>
        </w:rPr>
        <w:t>备注：</w:t>
      </w:r>
    </w:p>
    <w:p>
      <w:pPr>
        <w:adjustRightInd w:val="0"/>
        <w:snapToGrid w:val="0"/>
        <w:rPr>
          <w:rFonts w:ascii="宋体" w:hAnsi="宋体"/>
          <w:bCs/>
          <w:color w:val="000000"/>
          <w:sz w:val="24"/>
          <w:szCs w:val="24"/>
        </w:rPr>
      </w:pPr>
      <w:r>
        <w:rPr>
          <w:rFonts w:hint="eastAsia" w:ascii="宋体" w:hAnsi="宋体"/>
          <w:bCs/>
          <w:color w:val="000000"/>
          <w:sz w:val="24"/>
          <w:szCs w:val="24"/>
        </w:rPr>
        <w:t>1、所报价格保留小数点后两位，第三位四舍五入。</w:t>
      </w:r>
    </w:p>
    <w:p>
      <w:pPr>
        <w:adjustRightInd w:val="0"/>
        <w:snapToGrid w:val="0"/>
        <w:rPr>
          <w:rFonts w:hint="eastAsia" w:ascii="宋体" w:hAnsi="宋体"/>
          <w:bCs/>
          <w:color w:val="000000"/>
          <w:sz w:val="24"/>
          <w:szCs w:val="24"/>
        </w:rPr>
      </w:pPr>
      <w:r>
        <w:rPr>
          <w:rFonts w:hint="eastAsia" w:ascii="宋体" w:hAnsi="宋体"/>
          <w:bCs/>
          <w:color w:val="000000"/>
          <w:sz w:val="24"/>
          <w:szCs w:val="24"/>
        </w:rPr>
        <w:t>2、表中所列货物或服务为对应本项目需求的全部货物或服务。如有漏项或缺项，投标人承担全部责任。</w:t>
      </w:r>
    </w:p>
    <w:p>
      <w:pPr>
        <w:adjustRightInd w:val="0"/>
        <w:snapToGrid w:val="0"/>
        <w:rPr>
          <w:rFonts w:hint="eastAsia" w:ascii="宋体" w:hAnsi="宋体"/>
          <w:bCs/>
          <w:color w:val="000000"/>
          <w:sz w:val="24"/>
          <w:szCs w:val="24"/>
        </w:rPr>
      </w:pPr>
    </w:p>
    <w:p>
      <w:pPr>
        <w:spacing w:line="460" w:lineRule="exact"/>
        <w:ind w:left="480" w:hanging="480" w:hangingChars="200"/>
        <w:rPr>
          <w:rFonts w:hint="eastAsia" w:ascii="宋体" w:hAnsi="宋体"/>
          <w:sz w:val="24"/>
          <w:szCs w:val="24"/>
        </w:rPr>
      </w:pPr>
    </w:p>
    <w:sectPr>
      <w:headerReference r:id="rId8" w:type="first"/>
      <w:footerReference r:id="rId11" w:type="first"/>
      <w:headerReference r:id="rId6" w:type="default"/>
      <w:footerReference r:id="rId9" w:type="default"/>
      <w:headerReference r:id="rId7" w:type="even"/>
      <w:footerReference r:id="rId10" w:type="even"/>
      <w:pgSz w:w="11906" w:h="16838"/>
      <w:pgMar w:top="907" w:right="1474" w:bottom="680" w:left="1474" w:header="851" w:footer="992" w:gutter="0"/>
      <w:pgNumType w:start="0"/>
      <w:cols w:space="720" w:num="1"/>
      <w:titlePg/>
      <w:docGrid w:type="lines" w:linePitch="33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涛" w:date="2022-12-07T09:24:57Z" w:initials="">
    <w:p w14:paraId="01080707">
      <w:pPr>
        <w:pStyle w:val="18"/>
        <w:rPr>
          <w:rFonts w:hint="eastAsia" w:eastAsia="宋体"/>
          <w:lang w:val="en-US" w:eastAsia="zh-CN"/>
        </w:rPr>
      </w:pPr>
      <w:r>
        <w:rPr>
          <w:rFonts w:hint="eastAsia"/>
          <w:lang w:val="en-US" w:eastAsia="zh-CN"/>
        </w:rPr>
        <w:t>新增</w:t>
      </w:r>
    </w:p>
  </w:comment>
  <w:comment w:id="1" w:author="陈涛" w:date="2022-12-07T09:24:44Z" w:initials="">
    <w:p w14:paraId="6A44759D">
      <w:pPr>
        <w:pStyle w:val="18"/>
        <w:rPr>
          <w:rFonts w:hint="eastAsia" w:eastAsia="宋体"/>
          <w:lang w:val="en-US" w:eastAsia="zh-CN"/>
        </w:rPr>
      </w:pPr>
      <w:r>
        <w:rPr>
          <w:rFonts w:hint="eastAsia"/>
          <w:lang w:val="en-US" w:eastAsia="zh-CN"/>
        </w:rPr>
        <w:t>新增</w:t>
      </w:r>
    </w:p>
  </w:comment>
  <w:comment w:id="2" w:author="陈涛" w:date="2022-12-07T09:24:33Z" w:initials="">
    <w:p w14:paraId="2EA4668D">
      <w:pPr>
        <w:pStyle w:val="18"/>
        <w:rPr>
          <w:rFonts w:hint="eastAsia" w:eastAsia="宋体"/>
          <w:lang w:val="en-US" w:eastAsia="zh-CN"/>
        </w:rPr>
      </w:pPr>
      <w:r>
        <w:rPr>
          <w:rFonts w:hint="eastAsia"/>
          <w:lang w:val="en-US" w:eastAsia="zh-CN"/>
        </w:rPr>
        <w:t>新增</w:t>
      </w:r>
    </w:p>
  </w:comment>
  <w:comment w:id="3" w:author="陈涛" w:date="2022-12-07T09:23:14Z" w:initials="">
    <w:p w14:paraId="49E17C78">
      <w:pPr>
        <w:pStyle w:val="18"/>
        <w:rPr>
          <w:rFonts w:hint="default" w:eastAsia="宋体"/>
          <w:lang w:val="en-US" w:eastAsia="zh-CN"/>
        </w:rPr>
      </w:pPr>
      <w:r>
        <w:rPr>
          <w:rFonts w:hint="eastAsia"/>
          <w:lang w:val="en-US" w:eastAsia="zh-CN"/>
        </w:rPr>
        <w:t>3日改为7日</w:t>
      </w:r>
    </w:p>
  </w:comment>
  <w:comment w:id="4" w:author="陈涛" w:date="2022-12-07T09:26:01Z" w:initials="">
    <w:p w14:paraId="6E570163">
      <w:pPr>
        <w:pStyle w:val="18"/>
        <w:rPr>
          <w:rFonts w:hint="eastAsia" w:eastAsia="宋体"/>
          <w:lang w:val="en-US" w:eastAsia="zh-CN"/>
        </w:rPr>
      </w:pPr>
      <w:r>
        <w:rPr>
          <w:rFonts w:hint="eastAsia"/>
          <w:lang w:val="en-US" w:eastAsia="zh-CN"/>
        </w:rPr>
        <w:t>附加</w:t>
      </w:r>
    </w:p>
  </w:comment>
  <w:comment w:id="5" w:author="陈涛" w:date="2022-12-08T11:09:15Z" w:initials="">
    <w:p w14:paraId="20AA54FF">
      <w:pPr>
        <w:pStyle w:val="18"/>
        <w:rPr>
          <w:rFonts w:hint="default" w:eastAsia="宋体"/>
          <w:lang w:val="en-US" w:eastAsia="zh-CN"/>
        </w:rPr>
      </w:pPr>
      <w:r>
        <w:rPr>
          <w:rFonts w:hint="eastAsia"/>
          <w:lang w:val="en-US" w:eastAsia="zh-CN"/>
        </w:rPr>
        <w:t>删除了单价总价，加了数量</w:t>
      </w:r>
    </w:p>
  </w:comment>
  <w:comment w:id="6" w:author="陈涛" w:date="2022-12-07T09:27:11Z" w:initials="">
    <w:p w14:paraId="65BC662F">
      <w:pPr>
        <w:pStyle w:val="18"/>
        <w:rPr>
          <w:rFonts w:hint="default" w:eastAsia="宋体"/>
          <w:lang w:val="en-US" w:eastAsia="zh-CN"/>
        </w:rPr>
      </w:pPr>
      <w:r>
        <w:rPr>
          <w:rFonts w:hint="eastAsia"/>
          <w:lang w:val="en-US" w:eastAsia="zh-CN"/>
        </w:rPr>
        <w:t>地市级改为区县级</w:t>
      </w:r>
    </w:p>
  </w:comment>
  <w:comment w:id="7" w:author="陈涛" w:date="2022-12-07T09:28:03Z" w:initials="">
    <w:p w14:paraId="3D2E59B2">
      <w:pPr>
        <w:pStyle w:val="18"/>
        <w:rPr>
          <w:rFonts w:hint="eastAsia" w:eastAsia="宋体"/>
          <w:lang w:val="en-US" w:eastAsia="zh-CN"/>
        </w:rPr>
      </w:pPr>
      <w:r>
        <w:rPr>
          <w:rFonts w:hint="eastAsia"/>
          <w:lang w:val="en-US" w:eastAsia="zh-CN"/>
        </w:rPr>
        <w:t>附加说明</w:t>
      </w:r>
    </w:p>
  </w:comment>
  <w:comment w:id="8" w:author="陈涛" w:date="2022-12-08T11:04:33Z" w:initials="">
    <w:p w14:paraId="34FC4F15">
      <w:pPr>
        <w:pStyle w:val="18"/>
        <w:rPr>
          <w:rFonts w:hint="eastAsia" w:eastAsia="宋体"/>
          <w:lang w:val="en-US" w:eastAsia="zh-CN"/>
        </w:rPr>
      </w:pPr>
      <w:r>
        <w:rPr>
          <w:rFonts w:hint="eastAsia"/>
          <w:lang w:val="en-US" w:eastAsia="zh-CN"/>
        </w:rPr>
        <w:t>新增</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080707" w15:done="0"/>
  <w15:commentEx w15:paraId="6A44759D" w15:done="0"/>
  <w15:commentEx w15:paraId="2EA4668D" w15:done="0"/>
  <w15:commentEx w15:paraId="49E17C78" w15:done="0"/>
  <w15:commentEx w15:paraId="6E570163" w15:done="0"/>
  <w15:commentEx w15:paraId="20AA54FF" w15:done="0"/>
  <w15:commentEx w15:paraId="65BC662F" w15:done="0"/>
  <w15:commentEx w15:paraId="3D2E59B2" w15:done="0"/>
  <w15:commentEx w15:paraId="34FC4F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before="100" w:beforeAutospacing="1" w:after="100" w:afterAutospacing="1"/>
      <w:ind w:right="360"/>
      <w:jc w:val="both"/>
      <w:rPr>
        <w:rFonts w:ascii="新宋体" w:hAnsi="新宋体" w:eastAsia="新宋体"/>
        <w:sz w:val="21"/>
        <w:szCs w:val="21"/>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3"/>
                            </w:rPr>
                          </w:pPr>
                          <w:r>
                            <w:rPr>
                              <w:rStyle w:val="53"/>
                              <w:rFonts w:hint="eastAsia"/>
                            </w:rPr>
                            <w:t>—</w:t>
                          </w:r>
                          <w:r>
                            <w:rPr>
                              <w:rFonts w:ascii="Arial" w:hAnsi="Arial" w:cs="Arial"/>
                              <w:b/>
                              <w:i/>
                              <w:sz w:val="21"/>
                              <w:szCs w:val="21"/>
                            </w:rPr>
                            <w:fldChar w:fldCharType="begin"/>
                          </w:r>
                          <w:r>
                            <w:rPr>
                              <w:rStyle w:val="53"/>
                              <w:rFonts w:ascii="Arial" w:hAnsi="Arial" w:cs="Arial"/>
                              <w:b/>
                              <w:i/>
                              <w:sz w:val="21"/>
                              <w:szCs w:val="21"/>
                            </w:rPr>
                            <w:instrText xml:space="preserve">PAGE  </w:instrText>
                          </w:r>
                          <w:r>
                            <w:rPr>
                              <w:rFonts w:ascii="Arial" w:hAnsi="Arial" w:cs="Arial"/>
                              <w:b/>
                              <w:i/>
                              <w:sz w:val="21"/>
                              <w:szCs w:val="21"/>
                            </w:rPr>
                            <w:fldChar w:fldCharType="separate"/>
                          </w:r>
                          <w:r>
                            <w:rPr>
                              <w:rStyle w:val="53"/>
                              <w:rFonts w:ascii="Arial" w:hAnsi="Arial" w:cs="Arial"/>
                              <w:b/>
                              <w:i/>
                              <w:sz w:val="21"/>
                              <w:szCs w:val="21"/>
                              <w:lang w:val="en-US" w:eastAsia="zh-CN"/>
                            </w:rPr>
                            <w:t>1</w:t>
                          </w:r>
                          <w:r>
                            <w:rPr>
                              <w:rFonts w:ascii="Arial" w:hAnsi="Arial" w:cs="Arial"/>
                              <w:b/>
                              <w:i/>
                              <w:sz w:val="21"/>
                              <w:szCs w:val="21"/>
                            </w:rPr>
                            <w:fldChar w:fldCharType="end"/>
                          </w:r>
                          <w:r>
                            <w:rPr>
                              <w:rStyle w:val="53"/>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rPr>
                        <w:rStyle w:val="53"/>
                      </w:rPr>
                    </w:pPr>
                    <w:r>
                      <w:rPr>
                        <w:rStyle w:val="53"/>
                        <w:rFonts w:hint="eastAsia"/>
                      </w:rPr>
                      <w:t>—</w:t>
                    </w:r>
                    <w:r>
                      <w:rPr>
                        <w:rFonts w:ascii="Arial" w:hAnsi="Arial" w:cs="Arial"/>
                        <w:b/>
                        <w:i/>
                        <w:sz w:val="21"/>
                        <w:szCs w:val="21"/>
                      </w:rPr>
                      <w:fldChar w:fldCharType="begin"/>
                    </w:r>
                    <w:r>
                      <w:rPr>
                        <w:rStyle w:val="53"/>
                        <w:rFonts w:ascii="Arial" w:hAnsi="Arial" w:cs="Arial"/>
                        <w:b/>
                        <w:i/>
                        <w:sz w:val="21"/>
                        <w:szCs w:val="21"/>
                      </w:rPr>
                      <w:instrText xml:space="preserve">PAGE  </w:instrText>
                    </w:r>
                    <w:r>
                      <w:rPr>
                        <w:rFonts w:ascii="Arial" w:hAnsi="Arial" w:cs="Arial"/>
                        <w:b/>
                        <w:i/>
                        <w:sz w:val="21"/>
                        <w:szCs w:val="21"/>
                      </w:rPr>
                      <w:fldChar w:fldCharType="separate"/>
                    </w:r>
                    <w:r>
                      <w:rPr>
                        <w:rStyle w:val="53"/>
                        <w:rFonts w:ascii="Arial" w:hAnsi="Arial" w:cs="Arial"/>
                        <w:b/>
                        <w:i/>
                        <w:sz w:val="21"/>
                        <w:szCs w:val="21"/>
                        <w:lang w:val="en-US" w:eastAsia="zh-CN"/>
                      </w:rPr>
                      <w:t>1</w:t>
                    </w:r>
                    <w:r>
                      <w:rPr>
                        <w:rFonts w:ascii="Arial" w:hAnsi="Arial" w:cs="Arial"/>
                        <w:b/>
                        <w:i/>
                        <w:sz w:val="21"/>
                        <w:szCs w:val="21"/>
                      </w:rPr>
                      <w:fldChar w:fldCharType="end"/>
                    </w:r>
                    <w:r>
                      <w:rPr>
                        <w:rStyle w:val="53"/>
                        <w:rFonts w:hint="eastAsia"/>
                      </w:rPr>
                      <w:t>—</w:t>
                    </w:r>
                  </w:p>
                </w:txbxContent>
              </v:textbox>
            </v:shape>
          </w:pict>
        </mc:Fallback>
      </mc:AlternateContent>
    </w:r>
    <w:r>
      <w:rPr>
        <w:rFonts w:hint="eastAsia" w:ascii="Arial" w:hAnsi="Arial"/>
        <w:b/>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3"/>
      </w:rPr>
    </w:pPr>
    <w:r>
      <w:fldChar w:fldCharType="begin"/>
    </w:r>
    <w:r>
      <w:rPr>
        <w:rStyle w:val="53"/>
      </w:rPr>
      <w:instrText xml:space="preserve">PAGE  </w:instrText>
    </w:r>
    <w:r>
      <w:fldChar w:fldCharType="separate"/>
    </w:r>
    <w:r>
      <w:rPr>
        <w:rStyle w:val="53"/>
      </w:rPr>
      <w:t>1</w:t>
    </w:r>
    <w:r>
      <w:fldChar w:fldCharType="end"/>
    </w:r>
  </w:p>
  <w:p>
    <w:pPr>
      <w:pStyle w:val="3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before="100" w:beforeAutospacing="1" w:after="100" w:afterAutospacing="1"/>
      <w:ind w:right="32"/>
      <w:jc w:val="both"/>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- 0 -</w:t>
                    </w:r>
                    <w:r>
                      <w:fldChar w:fldCharType="end"/>
                    </w:r>
                  </w:p>
                </w:txbxContent>
              </v:textbox>
            </v:shape>
          </w:pict>
        </mc:Fallback>
      </mc:AlternateContent>
    </w:r>
    <w:r>
      <w:rPr>
        <w:rFonts w:hint="eastAsia" w:ascii="Arial" w:hAnsi="Arial"/>
        <w:b/>
        <w:sz w:val="24"/>
        <w:u w:val="single"/>
      </w:rPr>
      <w:t xml:space="preserve">                                                                                                                    </w:t>
    </w:r>
    <w:r>
      <w:rPr>
        <w:rFonts w:hint="eastAsia" w:ascii="Arial" w:hAnsi="Arial"/>
        <w:b/>
        <w:sz w:val="24"/>
        <w:u w:val="single"/>
      </w:rPr>
      <w:c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0F96E"/>
    <w:multiLevelType w:val="singleLevel"/>
    <w:tmpl w:val="C0F0F96E"/>
    <w:lvl w:ilvl="0" w:tentative="0">
      <w:start w:val="1"/>
      <w:numFmt w:val="decimal"/>
      <w:suff w:val="nothing"/>
      <w:lvlText w:val="%1、"/>
      <w:lvlJc w:val="left"/>
    </w:lvl>
  </w:abstractNum>
  <w:abstractNum w:abstractNumId="1">
    <w:nsid w:val="0516FFFE"/>
    <w:multiLevelType w:val="singleLevel"/>
    <w:tmpl w:val="0516FFFE"/>
    <w:lvl w:ilvl="0" w:tentative="0">
      <w:start w:val="1"/>
      <w:numFmt w:val="chineseCounting"/>
      <w:suff w:val="space"/>
      <w:lvlText w:val="第%1章"/>
      <w:lvlJc w:val="left"/>
      <w:rPr>
        <w:rFonts w:hint="eastAsia"/>
      </w:rPr>
    </w:lvl>
  </w:abstractNum>
  <w:abstractNum w:abstractNumId="2">
    <w:nsid w:val="06C2666C"/>
    <w:multiLevelType w:val="multilevel"/>
    <w:tmpl w:val="06C2666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A34698"/>
    <w:multiLevelType w:val="singleLevel"/>
    <w:tmpl w:val="11A34698"/>
    <w:lvl w:ilvl="0" w:tentative="0">
      <w:start w:val="4"/>
      <w:numFmt w:val="chineseCounting"/>
      <w:suff w:val="space"/>
      <w:lvlText w:val="第%1章"/>
      <w:lvlJc w:val="left"/>
      <w:rPr>
        <w:rFonts w:hint="eastAsia"/>
      </w:rPr>
    </w:lvl>
  </w:abstractNum>
  <w:abstractNum w:abstractNumId="4">
    <w:nsid w:val="3E72618B"/>
    <w:multiLevelType w:val="multilevel"/>
    <w:tmpl w:val="3E72618B"/>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AB1CBA"/>
    <w:multiLevelType w:val="singleLevel"/>
    <w:tmpl w:val="40AB1CBA"/>
    <w:lvl w:ilvl="0" w:tentative="0">
      <w:start w:val="2"/>
      <w:numFmt w:val="upperLetter"/>
      <w:pStyle w:val="2"/>
      <w:lvlText w:val="%1."/>
      <w:lvlJc w:val="left"/>
      <w:pPr>
        <w:tabs>
          <w:tab w:val="left" w:pos="1830"/>
        </w:tabs>
        <w:ind w:left="1830" w:hanging="360"/>
      </w:pPr>
      <w:rPr>
        <w:rFonts w:hint="eastAsia"/>
      </w:rPr>
    </w:lvl>
  </w:abstractNum>
  <w:abstractNum w:abstractNumId="6">
    <w:nsid w:val="470C6C36"/>
    <w:multiLevelType w:val="multilevel"/>
    <w:tmpl w:val="470C6C3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730C2B0"/>
    <w:multiLevelType w:val="singleLevel"/>
    <w:tmpl w:val="4730C2B0"/>
    <w:lvl w:ilvl="0" w:tentative="0">
      <w:start w:val="5"/>
      <w:numFmt w:val="decimal"/>
      <w:suff w:val="nothing"/>
      <w:lvlText w:val="%1、"/>
      <w:lvlJc w:val="left"/>
    </w:lvl>
  </w:abstractNum>
  <w:abstractNum w:abstractNumId="8">
    <w:nsid w:val="58CDF0CD"/>
    <w:multiLevelType w:val="singleLevel"/>
    <w:tmpl w:val="58CDF0CD"/>
    <w:lvl w:ilvl="0" w:tentative="0">
      <w:start w:val="2"/>
      <w:numFmt w:val="chineseCounting"/>
      <w:suff w:val="nothing"/>
      <w:lvlText w:val="%1、"/>
      <w:lvlJc w:val="left"/>
    </w:lvl>
  </w:abstractNum>
  <w:abstractNum w:abstractNumId="9">
    <w:nsid w:val="7F51216C"/>
    <w:multiLevelType w:val="multilevel"/>
    <w:tmpl w:val="7F51216C"/>
    <w:lvl w:ilvl="0" w:tentative="0">
      <w:start w:val="1"/>
      <w:numFmt w:val="bullet"/>
      <w:pStyle w:val="347"/>
      <w:lvlText w:val=""/>
      <w:lvlJc w:val="left"/>
      <w:pPr>
        <w:tabs>
          <w:tab w:val="left" w:pos="984"/>
        </w:tabs>
        <w:ind w:left="984" w:hanging="420"/>
      </w:pPr>
      <w:rPr>
        <w:rFonts w:hint="default" w:ascii="Wingdings" w:hAnsi="Wingdings"/>
      </w:rPr>
    </w:lvl>
    <w:lvl w:ilvl="1" w:tentative="0">
      <w:start w:val="1"/>
      <w:numFmt w:val="bullet"/>
      <w:lvlText w:val=""/>
      <w:lvlJc w:val="left"/>
      <w:pPr>
        <w:tabs>
          <w:tab w:val="left" w:pos="1404"/>
        </w:tabs>
        <w:ind w:left="1404" w:hanging="420"/>
      </w:pPr>
      <w:rPr>
        <w:rFonts w:hint="default" w:ascii="Wingdings" w:hAnsi="Wingdings"/>
      </w:rPr>
    </w:lvl>
    <w:lvl w:ilvl="2" w:tentative="0">
      <w:start w:val="1"/>
      <w:numFmt w:val="bullet"/>
      <w:lvlText w:val=""/>
      <w:lvlJc w:val="left"/>
      <w:pPr>
        <w:tabs>
          <w:tab w:val="left" w:pos="1824"/>
        </w:tabs>
        <w:ind w:left="1824" w:hanging="420"/>
      </w:pPr>
      <w:rPr>
        <w:rFonts w:hint="default" w:ascii="Wingdings" w:hAnsi="Wingdings"/>
      </w:rPr>
    </w:lvl>
    <w:lvl w:ilvl="3" w:tentative="0">
      <w:start w:val="1"/>
      <w:numFmt w:val="bullet"/>
      <w:lvlText w:val=""/>
      <w:lvlJc w:val="left"/>
      <w:pPr>
        <w:tabs>
          <w:tab w:val="left" w:pos="2244"/>
        </w:tabs>
        <w:ind w:left="2244" w:hanging="420"/>
      </w:pPr>
      <w:rPr>
        <w:rFonts w:hint="default" w:ascii="Wingdings" w:hAnsi="Wingdings"/>
      </w:rPr>
    </w:lvl>
    <w:lvl w:ilvl="4" w:tentative="0">
      <w:start w:val="1"/>
      <w:numFmt w:val="bullet"/>
      <w:lvlText w:val=""/>
      <w:lvlJc w:val="left"/>
      <w:pPr>
        <w:tabs>
          <w:tab w:val="left" w:pos="2664"/>
        </w:tabs>
        <w:ind w:left="2664" w:hanging="420"/>
      </w:pPr>
      <w:rPr>
        <w:rFonts w:hint="default" w:ascii="Wingdings" w:hAnsi="Wingdings"/>
      </w:rPr>
    </w:lvl>
    <w:lvl w:ilvl="5" w:tentative="0">
      <w:start w:val="1"/>
      <w:numFmt w:val="bullet"/>
      <w:lvlText w:val=""/>
      <w:lvlJc w:val="left"/>
      <w:pPr>
        <w:tabs>
          <w:tab w:val="left" w:pos="3084"/>
        </w:tabs>
        <w:ind w:left="3084" w:hanging="420"/>
      </w:pPr>
      <w:rPr>
        <w:rFonts w:hint="default" w:ascii="Wingdings" w:hAnsi="Wingdings"/>
      </w:rPr>
    </w:lvl>
    <w:lvl w:ilvl="6" w:tentative="0">
      <w:start w:val="1"/>
      <w:numFmt w:val="bullet"/>
      <w:lvlText w:val=""/>
      <w:lvlJc w:val="left"/>
      <w:pPr>
        <w:tabs>
          <w:tab w:val="left" w:pos="3504"/>
        </w:tabs>
        <w:ind w:left="3504" w:hanging="420"/>
      </w:pPr>
      <w:rPr>
        <w:rFonts w:hint="default" w:ascii="Wingdings" w:hAnsi="Wingdings"/>
      </w:rPr>
    </w:lvl>
    <w:lvl w:ilvl="7" w:tentative="0">
      <w:start w:val="1"/>
      <w:numFmt w:val="bullet"/>
      <w:lvlText w:val=""/>
      <w:lvlJc w:val="left"/>
      <w:pPr>
        <w:tabs>
          <w:tab w:val="left" w:pos="3924"/>
        </w:tabs>
        <w:ind w:left="3924" w:hanging="420"/>
      </w:pPr>
      <w:rPr>
        <w:rFonts w:hint="default" w:ascii="Wingdings" w:hAnsi="Wingdings"/>
      </w:rPr>
    </w:lvl>
    <w:lvl w:ilvl="8" w:tentative="0">
      <w:start w:val="1"/>
      <w:numFmt w:val="bullet"/>
      <w:lvlText w:val=""/>
      <w:lvlJc w:val="left"/>
      <w:pPr>
        <w:tabs>
          <w:tab w:val="left" w:pos="4344"/>
        </w:tabs>
        <w:ind w:left="4344" w:hanging="420"/>
      </w:pPr>
      <w:rPr>
        <w:rFonts w:hint="default" w:ascii="Wingdings" w:hAnsi="Wingdings"/>
      </w:rPr>
    </w:lvl>
  </w:abstractNum>
  <w:num w:numId="1">
    <w:abstractNumId w:val="5"/>
  </w:num>
  <w:num w:numId="2">
    <w:abstractNumId w:val="9"/>
  </w:num>
  <w:num w:numId="3">
    <w:abstractNumId w:val="1"/>
  </w:num>
  <w:num w:numId="4">
    <w:abstractNumId w:val="4"/>
  </w:num>
  <w:num w:numId="5">
    <w:abstractNumId w:val="6"/>
  </w:num>
  <w:num w:numId="6">
    <w:abstractNumId w:val="2"/>
  </w:num>
  <w:num w:numId="7">
    <w:abstractNumId w:val="3"/>
  </w:num>
  <w:num w:numId="8">
    <w:abstractNumId w:val="0"/>
  </w:num>
  <w:num w:numId="9">
    <w:abstractNumId w:val="8"/>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涛">
    <w15:presenceInfo w15:providerId="WPS Office" w15:userId="2284917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5MWYzZDAzMjViNWRkNThhN2Y0ODA5MjQ3N2UzMjQifQ=="/>
  </w:docVars>
  <w:rsids>
    <w:rsidRoot w:val="00172A27"/>
    <w:rsid w:val="00000349"/>
    <w:rsid w:val="0000105F"/>
    <w:rsid w:val="0000152B"/>
    <w:rsid w:val="0000197F"/>
    <w:rsid w:val="00001D9E"/>
    <w:rsid w:val="000020EB"/>
    <w:rsid w:val="000024D3"/>
    <w:rsid w:val="00002CB9"/>
    <w:rsid w:val="0000363C"/>
    <w:rsid w:val="00003774"/>
    <w:rsid w:val="0000408C"/>
    <w:rsid w:val="00004360"/>
    <w:rsid w:val="00004F30"/>
    <w:rsid w:val="000062C4"/>
    <w:rsid w:val="00006D4C"/>
    <w:rsid w:val="00006DF6"/>
    <w:rsid w:val="00006E14"/>
    <w:rsid w:val="00007577"/>
    <w:rsid w:val="000078A3"/>
    <w:rsid w:val="00007A3B"/>
    <w:rsid w:val="000105C7"/>
    <w:rsid w:val="00010631"/>
    <w:rsid w:val="00010F58"/>
    <w:rsid w:val="0001175D"/>
    <w:rsid w:val="00012BCB"/>
    <w:rsid w:val="00012BFE"/>
    <w:rsid w:val="00014519"/>
    <w:rsid w:val="000148AB"/>
    <w:rsid w:val="00015855"/>
    <w:rsid w:val="00015CD9"/>
    <w:rsid w:val="00016131"/>
    <w:rsid w:val="000176F0"/>
    <w:rsid w:val="000202EE"/>
    <w:rsid w:val="00020994"/>
    <w:rsid w:val="0002170B"/>
    <w:rsid w:val="000236D2"/>
    <w:rsid w:val="0002391F"/>
    <w:rsid w:val="00024008"/>
    <w:rsid w:val="000242D4"/>
    <w:rsid w:val="000258FA"/>
    <w:rsid w:val="000265B5"/>
    <w:rsid w:val="0002662C"/>
    <w:rsid w:val="00027CBD"/>
    <w:rsid w:val="000306C5"/>
    <w:rsid w:val="00030F72"/>
    <w:rsid w:val="000318A4"/>
    <w:rsid w:val="00031B1A"/>
    <w:rsid w:val="00031D1C"/>
    <w:rsid w:val="00032677"/>
    <w:rsid w:val="00033013"/>
    <w:rsid w:val="000334C4"/>
    <w:rsid w:val="00033B2F"/>
    <w:rsid w:val="00035861"/>
    <w:rsid w:val="0003590B"/>
    <w:rsid w:val="00035ACC"/>
    <w:rsid w:val="000369B3"/>
    <w:rsid w:val="00036A52"/>
    <w:rsid w:val="000400C3"/>
    <w:rsid w:val="000412B5"/>
    <w:rsid w:val="0004283A"/>
    <w:rsid w:val="000428B3"/>
    <w:rsid w:val="000429CF"/>
    <w:rsid w:val="000442DF"/>
    <w:rsid w:val="000446D6"/>
    <w:rsid w:val="00045122"/>
    <w:rsid w:val="0004626B"/>
    <w:rsid w:val="000462A3"/>
    <w:rsid w:val="0004642E"/>
    <w:rsid w:val="000466D6"/>
    <w:rsid w:val="00046856"/>
    <w:rsid w:val="00046D30"/>
    <w:rsid w:val="00047387"/>
    <w:rsid w:val="00050236"/>
    <w:rsid w:val="000511DA"/>
    <w:rsid w:val="0005147A"/>
    <w:rsid w:val="000521C1"/>
    <w:rsid w:val="000527FB"/>
    <w:rsid w:val="0005367D"/>
    <w:rsid w:val="00053A26"/>
    <w:rsid w:val="0005402A"/>
    <w:rsid w:val="000544D7"/>
    <w:rsid w:val="00054689"/>
    <w:rsid w:val="00054BCC"/>
    <w:rsid w:val="00055665"/>
    <w:rsid w:val="00055CDA"/>
    <w:rsid w:val="0005629C"/>
    <w:rsid w:val="000575BC"/>
    <w:rsid w:val="00060A66"/>
    <w:rsid w:val="00061086"/>
    <w:rsid w:val="000612A0"/>
    <w:rsid w:val="000617B3"/>
    <w:rsid w:val="000629A5"/>
    <w:rsid w:val="00063BB8"/>
    <w:rsid w:val="00063E99"/>
    <w:rsid w:val="00063F1B"/>
    <w:rsid w:val="00064104"/>
    <w:rsid w:val="0006431A"/>
    <w:rsid w:val="00065B6B"/>
    <w:rsid w:val="00066DEB"/>
    <w:rsid w:val="00066E34"/>
    <w:rsid w:val="00066E85"/>
    <w:rsid w:val="00067BD1"/>
    <w:rsid w:val="0007066A"/>
    <w:rsid w:val="000715D5"/>
    <w:rsid w:val="00071A1F"/>
    <w:rsid w:val="00071D85"/>
    <w:rsid w:val="00075758"/>
    <w:rsid w:val="000768BA"/>
    <w:rsid w:val="00076DFC"/>
    <w:rsid w:val="000803BE"/>
    <w:rsid w:val="000809DC"/>
    <w:rsid w:val="00080E87"/>
    <w:rsid w:val="00082E6D"/>
    <w:rsid w:val="00083F99"/>
    <w:rsid w:val="00084EF7"/>
    <w:rsid w:val="00085C17"/>
    <w:rsid w:val="000861CE"/>
    <w:rsid w:val="0008724A"/>
    <w:rsid w:val="000906C7"/>
    <w:rsid w:val="000909B1"/>
    <w:rsid w:val="00090E65"/>
    <w:rsid w:val="00091295"/>
    <w:rsid w:val="0009188D"/>
    <w:rsid w:val="00091C76"/>
    <w:rsid w:val="0009276D"/>
    <w:rsid w:val="000938FA"/>
    <w:rsid w:val="00093C56"/>
    <w:rsid w:val="00093F86"/>
    <w:rsid w:val="00094CAF"/>
    <w:rsid w:val="00095E75"/>
    <w:rsid w:val="00096393"/>
    <w:rsid w:val="00097A6F"/>
    <w:rsid w:val="00097B88"/>
    <w:rsid w:val="00097BE5"/>
    <w:rsid w:val="00097D4F"/>
    <w:rsid w:val="000A03A9"/>
    <w:rsid w:val="000A09D4"/>
    <w:rsid w:val="000A0A41"/>
    <w:rsid w:val="000A0A86"/>
    <w:rsid w:val="000A0E13"/>
    <w:rsid w:val="000A1902"/>
    <w:rsid w:val="000A238C"/>
    <w:rsid w:val="000A2511"/>
    <w:rsid w:val="000A4659"/>
    <w:rsid w:val="000A5FE1"/>
    <w:rsid w:val="000A661B"/>
    <w:rsid w:val="000A6E75"/>
    <w:rsid w:val="000A7683"/>
    <w:rsid w:val="000A7B2A"/>
    <w:rsid w:val="000A7B31"/>
    <w:rsid w:val="000B011B"/>
    <w:rsid w:val="000B08D2"/>
    <w:rsid w:val="000B0AF0"/>
    <w:rsid w:val="000B0DC4"/>
    <w:rsid w:val="000B1B34"/>
    <w:rsid w:val="000B22C9"/>
    <w:rsid w:val="000B28D7"/>
    <w:rsid w:val="000B31A3"/>
    <w:rsid w:val="000B3292"/>
    <w:rsid w:val="000B38FA"/>
    <w:rsid w:val="000B39B1"/>
    <w:rsid w:val="000B3D32"/>
    <w:rsid w:val="000B4094"/>
    <w:rsid w:val="000B4E31"/>
    <w:rsid w:val="000B59DE"/>
    <w:rsid w:val="000B669E"/>
    <w:rsid w:val="000B6A89"/>
    <w:rsid w:val="000B7480"/>
    <w:rsid w:val="000B7632"/>
    <w:rsid w:val="000C0487"/>
    <w:rsid w:val="000C1EF4"/>
    <w:rsid w:val="000C265C"/>
    <w:rsid w:val="000C2EAE"/>
    <w:rsid w:val="000C3BE2"/>
    <w:rsid w:val="000C3F45"/>
    <w:rsid w:val="000C45F6"/>
    <w:rsid w:val="000C529A"/>
    <w:rsid w:val="000C5345"/>
    <w:rsid w:val="000C540D"/>
    <w:rsid w:val="000C5E17"/>
    <w:rsid w:val="000C6EBA"/>
    <w:rsid w:val="000C6F5B"/>
    <w:rsid w:val="000C7102"/>
    <w:rsid w:val="000C710F"/>
    <w:rsid w:val="000C79A2"/>
    <w:rsid w:val="000D01C5"/>
    <w:rsid w:val="000D10C6"/>
    <w:rsid w:val="000D11A5"/>
    <w:rsid w:val="000D142B"/>
    <w:rsid w:val="000D1430"/>
    <w:rsid w:val="000D19AE"/>
    <w:rsid w:val="000D1A82"/>
    <w:rsid w:val="000D2DA6"/>
    <w:rsid w:val="000D48DE"/>
    <w:rsid w:val="000D4CD9"/>
    <w:rsid w:val="000D50BC"/>
    <w:rsid w:val="000D57D4"/>
    <w:rsid w:val="000D62E9"/>
    <w:rsid w:val="000D6D73"/>
    <w:rsid w:val="000D6E8B"/>
    <w:rsid w:val="000D78C6"/>
    <w:rsid w:val="000D7C2A"/>
    <w:rsid w:val="000E0554"/>
    <w:rsid w:val="000E068D"/>
    <w:rsid w:val="000E12D4"/>
    <w:rsid w:val="000E1C0E"/>
    <w:rsid w:val="000E2860"/>
    <w:rsid w:val="000E36BD"/>
    <w:rsid w:val="000E3BA1"/>
    <w:rsid w:val="000E46C2"/>
    <w:rsid w:val="000E5BDE"/>
    <w:rsid w:val="000E6057"/>
    <w:rsid w:val="000E6290"/>
    <w:rsid w:val="000E6505"/>
    <w:rsid w:val="000E71A6"/>
    <w:rsid w:val="000E73CF"/>
    <w:rsid w:val="000E74FF"/>
    <w:rsid w:val="000E7D0D"/>
    <w:rsid w:val="000F02F4"/>
    <w:rsid w:val="000F07D7"/>
    <w:rsid w:val="000F16DD"/>
    <w:rsid w:val="000F18D1"/>
    <w:rsid w:val="000F1D00"/>
    <w:rsid w:val="000F234A"/>
    <w:rsid w:val="000F2A75"/>
    <w:rsid w:val="000F2CC4"/>
    <w:rsid w:val="000F3525"/>
    <w:rsid w:val="000F5F2B"/>
    <w:rsid w:val="000F6694"/>
    <w:rsid w:val="000F6DA4"/>
    <w:rsid w:val="000F7804"/>
    <w:rsid w:val="000F7FD4"/>
    <w:rsid w:val="001006FD"/>
    <w:rsid w:val="001008DE"/>
    <w:rsid w:val="00100D5D"/>
    <w:rsid w:val="00101A8E"/>
    <w:rsid w:val="001020E8"/>
    <w:rsid w:val="0010292D"/>
    <w:rsid w:val="001029EE"/>
    <w:rsid w:val="00102C39"/>
    <w:rsid w:val="00103496"/>
    <w:rsid w:val="001039D4"/>
    <w:rsid w:val="00105407"/>
    <w:rsid w:val="0010639F"/>
    <w:rsid w:val="00106567"/>
    <w:rsid w:val="00106DD0"/>
    <w:rsid w:val="0010737C"/>
    <w:rsid w:val="00107B41"/>
    <w:rsid w:val="001111C9"/>
    <w:rsid w:val="00111A0D"/>
    <w:rsid w:val="00112C35"/>
    <w:rsid w:val="001132CB"/>
    <w:rsid w:val="0011384F"/>
    <w:rsid w:val="0011653F"/>
    <w:rsid w:val="00116700"/>
    <w:rsid w:val="001167B6"/>
    <w:rsid w:val="001169C1"/>
    <w:rsid w:val="00116DA9"/>
    <w:rsid w:val="001178BD"/>
    <w:rsid w:val="00117B23"/>
    <w:rsid w:val="001201AC"/>
    <w:rsid w:val="00120685"/>
    <w:rsid w:val="001209A3"/>
    <w:rsid w:val="00120B40"/>
    <w:rsid w:val="00120DAB"/>
    <w:rsid w:val="001210DE"/>
    <w:rsid w:val="0012155A"/>
    <w:rsid w:val="00121E47"/>
    <w:rsid w:val="00122465"/>
    <w:rsid w:val="001233C9"/>
    <w:rsid w:val="00123415"/>
    <w:rsid w:val="00123D1E"/>
    <w:rsid w:val="00123D33"/>
    <w:rsid w:val="00123DB6"/>
    <w:rsid w:val="001246DB"/>
    <w:rsid w:val="001252D5"/>
    <w:rsid w:val="0012550B"/>
    <w:rsid w:val="00126593"/>
    <w:rsid w:val="001269AC"/>
    <w:rsid w:val="00127481"/>
    <w:rsid w:val="001278AB"/>
    <w:rsid w:val="00127ACE"/>
    <w:rsid w:val="00127EB0"/>
    <w:rsid w:val="001311BA"/>
    <w:rsid w:val="00131423"/>
    <w:rsid w:val="00131C03"/>
    <w:rsid w:val="00131FB7"/>
    <w:rsid w:val="0013261B"/>
    <w:rsid w:val="00132B2B"/>
    <w:rsid w:val="00132C01"/>
    <w:rsid w:val="00133240"/>
    <w:rsid w:val="00136284"/>
    <w:rsid w:val="00137179"/>
    <w:rsid w:val="0013741B"/>
    <w:rsid w:val="0013777B"/>
    <w:rsid w:val="00137DDC"/>
    <w:rsid w:val="001401EC"/>
    <w:rsid w:val="00140C03"/>
    <w:rsid w:val="00140CD9"/>
    <w:rsid w:val="001438CB"/>
    <w:rsid w:val="00143D47"/>
    <w:rsid w:val="00144D36"/>
    <w:rsid w:val="001456FD"/>
    <w:rsid w:val="00145795"/>
    <w:rsid w:val="0014628D"/>
    <w:rsid w:val="00146EBF"/>
    <w:rsid w:val="00147A16"/>
    <w:rsid w:val="00150157"/>
    <w:rsid w:val="0015032E"/>
    <w:rsid w:val="00150B1B"/>
    <w:rsid w:val="00151E3C"/>
    <w:rsid w:val="00154157"/>
    <w:rsid w:val="001545BD"/>
    <w:rsid w:val="00154985"/>
    <w:rsid w:val="00154B2B"/>
    <w:rsid w:val="00154F2D"/>
    <w:rsid w:val="00155086"/>
    <w:rsid w:val="001558DF"/>
    <w:rsid w:val="001559D9"/>
    <w:rsid w:val="00155AA4"/>
    <w:rsid w:val="00155E4D"/>
    <w:rsid w:val="00156A13"/>
    <w:rsid w:val="00160A8B"/>
    <w:rsid w:val="00160D28"/>
    <w:rsid w:val="00161231"/>
    <w:rsid w:val="001622B8"/>
    <w:rsid w:val="001626C7"/>
    <w:rsid w:val="00162D98"/>
    <w:rsid w:val="00162FC2"/>
    <w:rsid w:val="0016357A"/>
    <w:rsid w:val="00165143"/>
    <w:rsid w:val="00165724"/>
    <w:rsid w:val="00165E7D"/>
    <w:rsid w:val="00165FC4"/>
    <w:rsid w:val="00165FD3"/>
    <w:rsid w:val="001663B9"/>
    <w:rsid w:val="00166606"/>
    <w:rsid w:val="001666CA"/>
    <w:rsid w:val="00166C7A"/>
    <w:rsid w:val="00166E77"/>
    <w:rsid w:val="001700EA"/>
    <w:rsid w:val="00170AA8"/>
    <w:rsid w:val="00170B1C"/>
    <w:rsid w:val="00170BDF"/>
    <w:rsid w:val="001713BC"/>
    <w:rsid w:val="00172000"/>
    <w:rsid w:val="001721C3"/>
    <w:rsid w:val="001728E3"/>
    <w:rsid w:val="00172A27"/>
    <w:rsid w:val="00174448"/>
    <w:rsid w:val="001744D3"/>
    <w:rsid w:val="001750C0"/>
    <w:rsid w:val="00175226"/>
    <w:rsid w:val="00175467"/>
    <w:rsid w:val="00175645"/>
    <w:rsid w:val="00175F37"/>
    <w:rsid w:val="00176A37"/>
    <w:rsid w:val="00181065"/>
    <w:rsid w:val="00181344"/>
    <w:rsid w:val="00181B15"/>
    <w:rsid w:val="00181C2F"/>
    <w:rsid w:val="00181EC0"/>
    <w:rsid w:val="001821FC"/>
    <w:rsid w:val="00182C4F"/>
    <w:rsid w:val="00182E27"/>
    <w:rsid w:val="001830A1"/>
    <w:rsid w:val="001849CD"/>
    <w:rsid w:val="00185561"/>
    <w:rsid w:val="00185C38"/>
    <w:rsid w:val="001869A5"/>
    <w:rsid w:val="00186C53"/>
    <w:rsid w:val="0019042E"/>
    <w:rsid w:val="001904D4"/>
    <w:rsid w:val="0019144F"/>
    <w:rsid w:val="001915F2"/>
    <w:rsid w:val="00191825"/>
    <w:rsid w:val="0019246A"/>
    <w:rsid w:val="00192A9D"/>
    <w:rsid w:val="0019333C"/>
    <w:rsid w:val="00194346"/>
    <w:rsid w:val="00194442"/>
    <w:rsid w:val="001954C3"/>
    <w:rsid w:val="001959B2"/>
    <w:rsid w:val="0019685C"/>
    <w:rsid w:val="00196BA7"/>
    <w:rsid w:val="00196EFF"/>
    <w:rsid w:val="001A0551"/>
    <w:rsid w:val="001A0F38"/>
    <w:rsid w:val="001A0F9B"/>
    <w:rsid w:val="001A1AF7"/>
    <w:rsid w:val="001A1BEF"/>
    <w:rsid w:val="001A1D43"/>
    <w:rsid w:val="001A25C0"/>
    <w:rsid w:val="001A2857"/>
    <w:rsid w:val="001A288D"/>
    <w:rsid w:val="001A30AF"/>
    <w:rsid w:val="001A3895"/>
    <w:rsid w:val="001A43F3"/>
    <w:rsid w:val="001A4962"/>
    <w:rsid w:val="001A4B45"/>
    <w:rsid w:val="001A5509"/>
    <w:rsid w:val="001A5621"/>
    <w:rsid w:val="001A5825"/>
    <w:rsid w:val="001A5B4A"/>
    <w:rsid w:val="001A5E4B"/>
    <w:rsid w:val="001A5EF6"/>
    <w:rsid w:val="001A71FE"/>
    <w:rsid w:val="001A75E4"/>
    <w:rsid w:val="001A7D7F"/>
    <w:rsid w:val="001B014C"/>
    <w:rsid w:val="001B0EE9"/>
    <w:rsid w:val="001B11B2"/>
    <w:rsid w:val="001B29F6"/>
    <w:rsid w:val="001B2FD6"/>
    <w:rsid w:val="001B3334"/>
    <w:rsid w:val="001B35A5"/>
    <w:rsid w:val="001B370D"/>
    <w:rsid w:val="001B3986"/>
    <w:rsid w:val="001B3F3A"/>
    <w:rsid w:val="001B3FC3"/>
    <w:rsid w:val="001B517F"/>
    <w:rsid w:val="001B52F7"/>
    <w:rsid w:val="001B5A7D"/>
    <w:rsid w:val="001B6417"/>
    <w:rsid w:val="001B6741"/>
    <w:rsid w:val="001B7386"/>
    <w:rsid w:val="001B7CA1"/>
    <w:rsid w:val="001C09D9"/>
    <w:rsid w:val="001C152B"/>
    <w:rsid w:val="001C16AA"/>
    <w:rsid w:val="001C1D6E"/>
    <w:rsid w:val="001C2EB0"/>
    <w:rsid w:val="001C34DE"/>
    <w:rsid w:val="001C3839"/>
    <w:rsid w:val="001C4282"/>
    <w:rsid w:val="001C4462"/>
    <w:rsid w:val="001C461A"/>
    <w:rsid w:val="001C5778"/>
    <w:rsid w:val="001C5B4B"/>
    <w:rsid w:val="001C62AC"/>
    <w:rsid w:val="001C6A4E"/>
    <w:rsid w:val="001C7681"/>
    <w:rsid w:val="001C77E0"/>
    <w:rsid w:val="001D0548"/>
    <w:rsid w:val="001D2F25"/>
    <w:rsid w:val="001D3011"/>
    <w:rsid w:val="001D3334"/>
    <w:rsid w:val="001D3495"/>
    <w:rsid w:val="001D3E45"/>
    <w:rsid w:val="001D3F27"/>
    <w:rsid w:val="001D452E"/>
    <w:rsid w:val="001D4B03"/>
    <w:rsid w:val="001D5142"/>
    <w:rsid w:val="001D5620"/>
    <w:rsid w:val="001D6080"/>
    <w:rsid w:val="001D6160"/>
    <w:rsid w:val="001D6DCF"/>
    <w:rsid w:val="001D72CB"/>
    <w:rsid w:val="001E0B85"/>
    <w:rsid w:val="001E0E4A"/>
    <w:rsid w:val="001E10CC"/>
    <w:rsid w:val="001E1A78"/>
    <w:rsid w:val="001E2387"/>
    <w:rsid w:val="001E24E7"/>
    <w:rsid w:val="001E39D6"/>
    <w:rsid w:val="001E3FA0"/>
    <w:rsid w:val="001E4BED"/>
    <w:rsid w:val="001E67D5"/>
    <w:rsid w:val="001E703F"/>
    <w:rsid w:val="001F004D"/>
    <w:rsid w:val="001F0172"/>
    <w:rsid w:val="001F08A8"/>
    <w:rsid w:val="001F177E"/>
    <w:rsid w:val="001F1931"/>
    <w:rsid w:val="001F2055"/>
    <w:rsid w:val="001F25E1"/>
    <w:rsid w:val="001F3BEC"/>
    <w:rsid w:val="001F3EEA"/>
    <w:rsid w:val="001F4AF7"/>
    <w:rsid w:val="001F4D97"/>
    <w:rsid w:val="001F5EAD"/>
    <w:rsid w:val="001F6783"/>
    <w:rsid w:val="001F6CC5"/>
    <w:rsid w:val="001F6E39"/>
    <w:rsid w:val="001F7189"/>
    <w:rsid w:val="001F7740"/>
    <w:rsid w:val="00200705"/>
    <w:rsid w:val="002013D3"/>
    <w:rsid w:val="00201EEC"/>
    <w:rsid w:val="00202171"/>
    <w:rsid w:val="0020229F"/>
    <w:rsid w:val="00202DEB"/>
    <w:rsid w:val="0020304E"/>
    <w:rsid w:val="00203CC2"/>
    <w:rsid w:val="00203D7B"/>
    <w:rsid w:val="00204B65"/>
    <w:rsid w:val="00205144"/>
    <w:rsid w:val="002064D4"/>
    <w:rsid w:val="002079AC"/>
    <w:rsid w:val="00207E28"/>
    <w:rsid w:val="00207F88"/>
    <w:rsid w:val="00210062"/>
    <w:rsid w:val="0021083D"/>
    <w:rsid w:val="00210DAA"/>
    <w:rsid w:val="00212990"/>
    <w:rsid w:val="00213053"/>
    <w:rsid w:val="002133A2"/>
    <w:rsid w:val="00213E43"/>
    <w:rsid w:val="002141E0"/>
    <w:rsid w:val="002143A3"/>
    <w:rsid w:val="002145B0"/>
    <w:rsid w:val="00214FB9"/>
    <w:rsid w:val="00215182"/>
    <w:rsid w:val="0021579B"/>
    <w:rsid w:val="0021584D"/>
    <w:rsid w:val="00216725"/>
    <w:rsid w:val="00216AB1"/>
    <w:rsid w:val="00216C15"/>
    <w:rsid w:val="002174B9"/>
    <w:rsid w:val="00217567"/>
    <w:rsid w:val="0021781D"/>
    <w:rsid w:val="002179D1"/>
    <w:rsid w:val="00217A23"/>
    <w:rsid w:val="00217C4D"/>
    <w:rsid w:val="00217C5E"/>
    <w:rsid w:val="002207C3"/>
    <w:rsid w:val="00220E17"/>
    <w:rsid w:val="00221464"/>
    <w:rsid w:val="00223C82"/>
    <w:rsid w:val="00223C84"/>
    <w:rsid w:val="00224415"/>
    <w:rsid w:val="0022441C"/>
    <w:rsid w:val="0022457A"/>
    <w:rsid w:val="002246A9"/>
    <w:rsid w:val="00224FE7"/>
    <w:rsid w:val="00225EA5"/>
    <w:rsid w:val="0022636E"/>
    <w:rsid w:val="002265D8"/>
    <w:rsid w:val="002267C6"/>
    <w:rsid w:val="00227018"/>
    <w:rsid w:val="002306D8"/>
    <w:rsid w:val="00231835"/>
    <w:rsid w:val="00231CD7"/>
    <w:rsid w:val="00232585"/>
    <w:rsid w:val="002329AB"/>
    <w:rsid w:val="00232D1E"/>
    <w:rsid w:val="00232E1F"/>
    <w:rsid w:val="0023328B"/>
    <w:rsid w:val="00234AA8"/>
    <w:rsid w:val="00235763"/>
    <w:rsid w:val="0023588A"/>
    <w:rsid w:val="0023634C"/>
    <w:rsid w:val="0023650B"/>
    <w:rsid w:val="00236819"/>
    <w:rsid w:val="002372E3"/>
    <w:rsid w:val="00237D9E"/>
    <w:rsid w:val="00237E3A"/>
    <w:rsid w:val="002420F6"/>
    <w:rsid w:val="00242803"/>
    <w:rsid w:val="00244A76"/>
    <w:rsid w:val="00245092"/>
    <w:rsid w:val="0024522B"/>
    <w:rsid w:val="00245A51"/>
    <w:rsid w:val="00245FDE"/>
    <w:rsid w:val="00246184"/>
    <w:rsid w:val="002468AA"/>
    <w:rsid w:val="00246B1B"/>
    <w:rsid w:val="00247E23"/>
    <w:rsid w:val="00250A9F"/>
    <w:rsid w:val="002511E4"/>
    <w:rsid w:val="002518C4"/>
    <w:rsid w:val="002519B7"/>
    <w:rsid w:val="00251BF0"/>
    <w:rsid w:val="00252C75"/>
    <w:rsid w:val="00253C3E"/>
    <w:rsid w:val="002552BA"/>
    <w:rsid w:val="002557D5"/>
    <w:rsid w:val="002568FD"/>
    <w:rsid w:val="00256FFE"/>
    <w:rsid w:val="00257149"/>
    <w:rsid w:val="00257CD5"/>
    <w:rsid w:val="00260039"/>
    <w:rsid w:val="0026087E"/>
    <w:rsid w:val="002609B3"/>
    <w:rsid w:val="00260CEB"/>
    <w:rsid w:val="00261042"/>
    <w:rsid w:val="00261155"/>
    <w:rsid w:val="002618D3"/>
    <w:rsid w:val="00261D28"/>
    <w:rsid w:val="00262AB2"/>
    <w:rsid w:val="00262F3B"/>
    <w:rsid w:val="00263803"/>
    <w:rsid w:val="002638B9"/>
    <w:rsid w:val="00264639"/>
    <w:rsid w:val="00265925"/>
    <w:rsid w:val="00265BCB"/>
    <w:rsid w:val="002662DF"/>
    <w:rsid w:val="0026643C"/>
    <w:rsid w:val="00266D37"/>
    <w:rsid w:val="00267730"/>
    <w:rsid w:val="00267B66"/>
    <w:rsid w:val="002701DF"/>
    <w:rsid w:val="002706EC"/>
    <w:rsid w:val="00271A81"/>
    <w:rsid w:val="00271DDE"/>
    <w:rsid w:val="00272341"/>
    <w:rsid w:val="00272622"/>
    <w:rsid w:val="00272802"/>
    <w:rsid w:val="00272B22"/>
    <w:rsid w:val="002740CB"/>
    <w:rsid w:val="00274364"/>
    <w:rsid w:val="00274597"/>
    <w:rsid w:val="002753AA"/>
    <w:rsid w:val="00275726"/>
    <w:rsid w:val="00275F21"/>
    <w:rsid w:val="002766C6"/>
    <w:rsid w:val="0027671A"/>
    <w:rsid w:val="00276736"/>
    <w:rsid w:val="0027779C"/>
    <w:rsid w:val="00280324"/>
    <w:rsid w:val="0028076C"/>
    <w:rsid w:val="00280B92"/>
    <w:rsid w:val="00280CA0"/>
    <w:rsid w:val="0028143E"/>
    <w:rsid w:val="00281660"/>
    <w:rsid w:val="00281E53"/>
    <w:rsid w:val="00282086"/>
    <w:rsid w:val="0028285B"/>
    <w:rsid w:val="0028324A"/>
    <w:rsid w:val="00284D94"/>
    <w:rsid w:val="002855CF"/>
    <w:rsid w:val="00285BDD"/>
    <w:rsid w:val="00286A2C"/>
    <w:rsid w:val="00286F7E"/>
    <w:rsid w:val="00287E03"/>
    <w:rsid w:val="00290173"/>
    <w:rsid w:val="00290953"/>
    <w:rsid w:val="00292422"/>
    <w:rsid w:val="00293175"/>
    <w:rsid w:val="002932E7"/>
    <w:rsid w:val="00294359"/>
    <w:rsid w:val="002955D3"/>
    <w:rsid w:val="002956FB"/>
    <w:rsid w:val="00295B06"/>
    <w:rsid w:val="002962AD"/>
    <w:rsid w:val="00296D80"/>
    <w:rsid w:val="002974F2"/>
    <w:rsid w:val="002A0E99"/>
    <w:rsid w:val="002A0ED3"/>
    <w:rsid w:val="002A1A7C"/>
    <w:rsid w:val="002A1A88"/>
    <w:rsid w:val="002A1CD7"/>
    <w:rsid w:val="002A3525"/>
    <w:rsid w:val="002A3F18"/>
    <w:rsid w:val="002A5C17"/>
    <w:rsid w:val="002A6CA6"/>
    <w:rsid w:val="002B0A0C"/>
    <w:rsid w:val="002B13A1"/>
    <w:rsid w:val="002B14D3"/>
    <w:rsid w:val="002B1926"/>
    <w:rsid w:val="002B247A"/>
    <w:rsid w:val="002B2D57"/>
    <w:rsid w:val="002B3490"/>
    <w:rsid w:val="002B3CEA"/>
    <w:rsid w:val="002B64BD"/>
    <w:rsid w:val="002B6A86"/>
    <w:rsid w:val="002B6EF6"/>
    <w:rsid w:val="002C2C1D"/>
    <w:rsid w:val="002C3185"/>
    <w:rsid w:val="002C34F7"/>
    <w:rsid w:val="002C3580"/>
    <w:rsid w:val="002C3697"/>
    <w:rsid w:val="002C3D1B"/>
    <w:rsid w:val="002C4A5B"/>
    <w:rsid w:val="002C4FE5"/>
    <w:rsid w:val="002C6377"/>
    <w:rsid w:val="002C6F5F"/>
    <w:rsid w:val="002C72EA"/>
    <w:rsid w:val="002C762A"/>
    <w:rsid w:val="002C7760"/>
    <w:rsid w:val="002C7F52"/>
    <w:rsid w:val="002D005C"/>
    <w:rsid w:val="002D0C41"/>
    <w:rsid w:val="002D102A"/>
    <w:rsid w:val="002D1257"/>
    <w:rsid w:val="002D1ECD"/>
    <w:rsid w:val="002D2AB4"/>
    <w:rsid w:val="002D4099"/>
    <w:rsid w:val="002D4354"/>
    <w:rsid w:val="002D4AD6"/>
    <w:rsid w:val="002D4DE9"/>
    <w:rsid w:val="002D5B07"/>
    <w:rsid w:val="002D6561"/>
    <w:rsid w:val="002D6ABE"/>
    <w:rsid w:val="002D7063"/>
    <w:rsid w:val="002D77CD"/>
    <w:rsid w:val="002E0060"/>
    <w:rsid w:val="002E00FE"/>
    <w:rsid w:val="002E01FF"/>
    <w:rsid w:val="002E095E"/>
    <w:rsid w:val="002E0E66"/>
    <w:rsid w:val="002E0F0B"/>
    <w:rsid w:val="002E1A31"/>
    <w:rsid w:val="002E24FD"/>
    <w:rsid w:val="002E487D"/>
    <w:rsid w:val="002E4B59"/>
    <w:rsid w:val="002E565B"/>
    <w:rsid w:val="002E5FE0"/>
    <w:rsid w:val="002E6B2F"/>
    <w:rsid w:val="002E6D06"/>
    <w:rsid w:val="002E6D56"/>
    <w:rsid w:val="002E7DE3"/>
    <w:rsid w:val="002F0ABF"/>
    <w:rsid w:val="002F15C7"/>
    <w:rsid w:val="002F190E"/>
    <w:rsid w:val="002F22BA"/>
    <w:rsid w:val="002F23F9"/>
    <w:rsid w:val="002F2410"/>
    <w:rsid w:val="002F249F"/>
    <w:rsid w:val="002F294F"/>
    <w:rsid w:val="002F333B"/>
    <w:rsid w:val="002F3822"/>
    <w:rsid w:val="002F3CCD"/>
    <w:rsid w:val="002F4066"/>
    <w:rsid w:val="002F43B7"/>
    <w:rsid w:val="002F4E3A"/>
    <w:rsid w:val="002F5B0E"/>
    <w:rsid w:val="002F5D79"/>
    <w:rsid w:val="002F5ECF"/>
    <w:rsid w:val="002F7B43"/>
    <w:rsid w:val="00300AA4"/>
    <w:rsid w:val="00300E61"/>
    <w:rsid w:val="003012EB"/>
    <w:rsid w:val="003017E5"/>
    <w:rsid w:val="00301B3C"/>
    <w:rsid w:val="00301E7B"/>
    <w:rsid w:val="00301F60"/>
    <w:rsid w:val="003021E7"/>
    <w:rsid w:val="00302458"/>
    <w:rsid w:val="0030246E"/>
    <w:rsid w:val="00302473"/>
    <w:rsid w:val="00302C84"/>
    <w:rsid w:val="003031EB"/>
    <w:rsid w:val="003044A7"/>
    <w:rsid w:val="003047A3"/>
    <w:rsid w:val="003048D9"/>
    <w:rsid w:val="00304EC3"/>
    <w:rsid w:val="0030612F"/>
    <w:rsid w:val="00306C2F"/>
    <w:rsid w:val="00307A00"/>
    <w:rsid w:val="003100BB"/>
    <w:rsid w:val="0031032B"/>
    <w:rsid w:val="003110D3"/>
    <w:rsid w:val="003110EC"/>
    <w:rsid w:val="00311BAF"/>
    <w:rsid w:val="0031254D"/>
    <w:rsid w:val="00312AD4"/>
    <w:rsid w:val="00312B01"/>
    <w:rsid w:val="00312FCC"/>
    <w:rsid w:val="00313A20"/>
    <w:rsid w:val="00313FCC"/>
    <w:rsid w:val="00314685"/>
    <w:rsid w:val="00314A4F"/>
    <w:rsid w:val="003153D5"/>
    <w:rsid w:val="0031604B"/>
    <w:rsid w:val="00316364"/>
    <w:rsid w:val="0031707F"/>
    <w:rsid w:val="003173EC"/>
    <w:rsid w:val="00317486"/>
    <w:rsid w:val="00317A39"/>
    <w:rsid w:val="00317DD3"/>
    <w:rsid w:val="00320031"/>
    <w:rsid w:val="00320A6A"/>
    <w:rsid w:val="00320FC5"/>
    <w:rsid w:val="00321478"/>
    <w:rsid w:val="00321987"/>
    <w:rsid w:val="0032304F"/>
    <w:rsid w:val="0032335C"/>
    <w:rsid w:val="00323EF2"/>
    <w:rsid w:val="00325C26"/>
    <w:rsid w:val="00326691"/>
    <w:rsid w:val="0032785C"/>
    <w:rsid w:val="00327A4E"/>
    <w:rsid w:val="00327C87"/>
    <w:rsid w:val="0033038F"/>
    <w:rsid w:val="00330F1E"/>
    <w:rsid w:val="003310D4"/>
    <w:rsid w:val="00331700"/>
    <w:rsid w:val="00331DA4"/>
    <w:rsid w:val="00332EFB"/>
    <w:rsid w:val="00333742"/>
    <w:rsid w:val="00337B82"/>
    <w:rsid w:val="00337D07"/>
    <w:rsid w:val="00337E09"/>
    <w:rsid w:val="00337F1A"/>
    <w:rsid w:val="003402B5"/>
    <w:rsid w:val="003404F1"/>
    <w:rsid w:val="00340F88"/>
    <w:rsid w:val="003426EB"/>
    <w:rsid w:val="003428AF"/>
    <w:rsid w:val="00342A9D"/>
    <w:rsid w:val="003436F4"/>
    <w:rsid w:val="003436FE"/>
    <w:rsid w:val="00343927"/>
    <w:rsid w:val="00343FDF"/>
    <w:rsid w:val="0034551B"/>
    <w:rsid w:val="00345885"/>
    <w:rsid w:val="00346148"/>
    <w:rsid w:val="0034738B"/>
    <w:rsid w:val="00350C6E"/>
    <w:rsid w:val="00350CF2"/>
    <w:rsid w:val="00350DD9"/>
    <w:rsid w:val="00352545"/>
    <w:rsid w:val="003532BD"/>
    <w:rsid w:val="0035442C"/>
    <w:rsid w:val="00355A4B"/>
    <w:rsid w:val="00356889"/>
    <w:rsid w:val="003572FE"/>
    <w:rsid w:val="003608C3"/>
    <w:rsid w:val="0036131A"/>
    <w:rsid w:val="003613F3"/>
    <w:rsid w:val="003618DF"/>
    <w:rsid w:val="00361C79"/>
    <w:rsid w:val="00362ED0"/>
    <w:rsid w:val="00363014"/>
    <w:rsid w:val="0036305E"/>
    <w:rsid w:val="0036357B"/>
    <w:rsid w:val="00363BBD"/>
    <w:rsid w:val="003649E5"/>
    <w:rsid w:val="00364EEA"/>
    <w:rsid w:val="00365094"/>
    <w:rsid w:val="00365E31"/>
    <w:rsid w:val="00366399"/>
    <w:rsid w:val="00366585"/>
    <w:rsid w:val="00367173"/>
    <w:rsid w:val="00370770"/>
    <w:rsid w:val="00370B89"/>
    <w:rsid w:val="0037118E"/>
    <w:rsid w:val="0037132B"/>
    <w:rsid w:val="003719A2"/>
    <w:rsid w:val="003720C7"/>
    <w:rsid w:val="00373074"/>
    <w:rsid w:val="0037368F"/>
    <w:rsid w:val="00373A11"/>
    <w:rsid w:val="00373BF4"/>
    <w:rsid w:val="00373C68"/>
    <w:rsid w:val="00375697"/>
    <w:rsid w:val="003759BE"/>
    <w:rsid w:val="003763B4"/>
    <w:rsid w:val="00376509"/>
    <w:rsid w:val="0037678A"/>
    <w:rsid w:val="00377259"/>
    <w:rsid w:val="00377A32"/>
    <w:rsid w:val="00377B00"/>
    <w:rsid w:val="00377D29"/>
    <w:rsid w:val="003803D9"/>
    <w:rsid w:val="00381085"/>
    <w:rsid w:val="00381788"/>
    <w:rsid w:val="0038178F"/>
    <w:rsid w:val="0038286A"/>
    <w:rsid w:val="003829C0"/>
    <w:rsid w:val="00382B6E"/>
    <w:rsid w:val="003831C8"/>
    <w:rsid w:val="00384F3C"/>
    <w:rsid w:val="00385B97"/>
    <w:rsid w:val="003864F5"/>
    <w:rsid w:val="003867AB"/>
    <w:rsid w:val="0038687A"/>
    <w:rsid w:val="003868EB"/>
    <w:rsid w:val="00387170"/>
    <w:rsid w:val="0038798A"/>
    <w:rsid w:val="003902B1"/>
    <w:rsid w:val="00391BA8"/>
    <w:rsid w:val="00393E74"/>
    <w:rsid w:val="0039478B"/>
    <w:rsid w:val="00395E83"/>
    <w:rsid w:val="00395ED2"/>
    <w:rsid w:val="00396172"/>
    <w:rsid w:val="003962A9"/>
    <w:rsid w:val="00396ADD"/>
    <w:rsid w:val="003A006A"/>
    <w:rsid w:val="003A04E2"/>
    <w:rsid w:val="003A0831"/>
    <w:rsid w:val="003A0C0E"/>
    <w:rsid w:val="003A14FF"/>
    <w:rsid w:val="003A152C"/>
    <w:rsid w:val="003A1A02"/>
    <w:rsid w:val="003A1AB4"/>
    <w:rsid w:val="003A2626"/>
    <w:rsid w:val="003A2BD7"/>
    <w:rsid w:val="003A35E2"/>
    <w:rsid w:val="003A4C5F"/>
    <w:rsid w:val="003A4FFD"/>
    <w:rsid w:val="003A5E09"/>
    <w:rsid w:val="003A5FA5"/>
    <w:rsid w:val="003A6CB8"/>
    <w:rsid w:val="003A7133"/>
    <w:rsid w:val="003A71E0"/>
    <w:rsid w:val="003A76F8"/>
    <w:rsid w:val="003A792C"/>
    <w:rsid w:val="003B01BA"/>
    <w:rsid w:val="003B054C"/>
    <w:rsid w:val="003B0821"/>
    <w:rsid w:val="003B10D3"/>
    <w:rsid w:val="003B216C"/>
    <w:rsid w:val="003B2728"/>
    <w:rsid w:val="003B29EF"/>
    <w:rsid w:val="003B2DD5"/>
    <w:rsid w:val="003B31C7"/>
    <w:rsid w:val="003B359B"/>
    <w:rsid w:val="003B3718"/>
    <w:rsid w:val="003B38C0"/>
    <w:rsid w:val="003B4374"/>
    <w:rsid w:val="003B4C58"/>
    <w:rsid w:val="003B5057"/>
    <w:rsid w:val="003B58E8"/>
    <w:rsid w:val="003B5BA8"/>
    <w:rsid w:val="003B622C"/>
    <w:rsid w:val="003B65D0"/>
    <w:rsid w:val="003B6E18"/>
    <w:rsid w:val="003B71BB"/>
    <w:rsid w:val="003C0764"/>
    <w:rsid w:val="003C11AF"/>
    <w:rsid w:val="003C15A7"/>
    <w:rsid w:val="003C2889"/>
    <w:rsid w:val="003C33F9"/>
    <w:rsid w:val="003C39FA"/>
    <w:rsid w:val="003C3A27"/>
    <w:rsid w:val="003C3B87"/>
    <w:rsid w:val="003C47E4"/>
    <w:rsid w:val="003C47E7"/>
    <w:rsid w:val="003C5F50"/>
    <w:rsid w:val="003C63EA"/>
    <w:rsid w:val="003C70FE"/>
    <w:rsid w:val="003C78E0"/>
    <w:rsid w:val="003C7A33"/>
    <w:rsid w:val="003D1119"/>
    <w:rsid w:val="003D13D3"/>
    <w:rsid w:val="003D1689"/>
    <w:rsid w:val="003D1ECD"/>
    <w:rsid w:val="003D1F82"/>
    <w:rsid w:val="003D2DD6"/>
    <w:rsid w:val="003D306D"/>
    <w:rsid w:val="003D38C3"/>
    <w:rsid w:val="003D419F"/>
    <w:rsid w:val="003D5458"/>
    <w:rsid w:val="003D5D8C"/>
    <w:rsid w:val="003D6036"/>
    <w:rsid w:val="003D607C"/>
    <w:rsid w:val="003D6A23"/>
    <w:rsid w:val="003D6B19"/>
    <w:rsid w:val="003E0231"/>
    <w:rsid w:val="003E18EC"/>
    <w:rsid w:val="003E1BCD"/>
    <w:rsid w:val="003E1F13"/>
    <w:rsid w:val="003E2A10"/>
    <w:rsid w:val="003E2E6C"/>
    <w:rsid w:val="003E2EEF"/>
    <w:rsid w:val="003E2FFB"/>
    <w:rsid w:val="003E31D8"/>
    <w:rsid w:val="003E336D"/>
    <w:rsid w:val="003E3BDE"/>
    <w:rsid w:val="003E3D4D"/>
    <w:rsid w:val="003E4106"/>
    <w:rsid w:val="003E550A"/>
    <w:rsid w:val="003E5856"/>
    <w:rsid w:val="003E6124"/>
    <w:rsid w:val="003E6DF0"/>
    <w:rsid w:val="003E74BD"/>
    <w:rsid w:val="003E777D"/>
    <w:rsid w:val="003F040B"/>
    <w:rsid w:val="003F0876"/>
    <w:rsid w:val="003F0FCC"/>
    <w:rsid w:val="003F1242"/>
    <w:rsid w:val="003F3354"/>
    <w:rsid w:val="003F3698"/>
    <w:rsid w:val="003F3834"/>
    <w:rsid w:val="003F3CA6"/>
    <w:rsid w:val="003F3CC4"/>
    <w:rsid w:val="003F415C"/>
    <w:rsid w:val="003F4A45"/>
    <w:rsid w:val="003F4B73"/>
    <w:rsid w:val="003F5743"/>
    <w:rsid w:val="003F5A7D"/>
    <w:rsid w:val="003F68D5"/>
    <w:rsid w:val="003F6DA3"/>
    <w:rsid w:val="003F6E5A"/>
    <w:rsid w:val="004008C6"/>
    <w:rsid w:val="00400DE9"/>
    <w:rsid w:val="00401392"/>
    <w:rsid w:val="00402086"/>
    <w:rsid w:val="00402E29"/>
    <w:rsid w:val="004033EB"/>
    <w:rsid w:val="00403DE0"/>
    <w:rsid w:val="00403E1E"/>
    <w:rsid w:val="00404159"/>
    <w:rsid w:val="004046A6"/>
    <w:rsid w:val="0040588B"/>
    <w:rsid w:val="00406F74"/>
    <w:rsid w:val="004074C6"/>
    <w:rsid w:val="00407515"/>
    <w:rsid w:val="004077F7"/>
    <w:rsid w:val="00410E09"/>
    <w:rsid w:val="00410FBF"/>
    <w:rsid w:val="0041132D"/>
    <w:rsid w:val="00411C99"/>
    <w:rsid w:val="00411D43"/>
    <w:rsid w:val="00412A52"/>
    <w:rsid w:val="00412CDD"/>
    <w:rsid w:val="00412F36"/>
    <w:rsid w:val="004130DD"/>
    <w:rsid w:val="00414C42"/>
    <w:rsid w:val="00415BBB"/>
    <w:rsid w:val="004200EA"/>
    <w:rsid w:val="004201D1"/>
    <w:rsid w:val="004202AA"/>
    <w:rsid w:val="0042144E"/>
    <w:rsid w:val="00423D99"/>
    <w:rsid w:val="00424354"/>
    <w:rsid w:val="00424940"/>
    <w:rsid w:val="00424D19"/>
    <w:rsid w:val="00425254"/>
    <w:rsid w:val="004267E1"/>
    <w:rsid w:val="00430270"/>
    <w:rsid w:val="00430590"/>
    <w:rsid w:val="004312CF"/>
    <w:rsid w:val="004328CE"/>
    <w:rsid w:val="004333A4"/>
    <w:rsid w:val="00433C1B"/>
    <w:rsid w:val="004341CE"/>
    <w:rsid w:val="00434278"/>
    <w:rsid w:val="00434E74"/>
    <w:rsid w:val="00434FBF"/>
    <w:rsid w:val="004350BB"/>
    <w:rsid w:val="004350CD"/>
    <w:rsid w:val="0043578D"/>
    <w:rsid w:val="00435D8D"/>
    <w:rsid w:val="00435FDF"/>
    <w:rsid w:val="0043676C"/>
    <w:rsid w:val="004373EF"/>
    <w:rsid w:val="00437B3B"/>
    <w:rsid w:val="004403DA"/>
    <w:rsid w:val="004416FA"/>
    <w:rsid w:val="004417D0"/>
    <w:rsid w:val="00441FF6"/>
    <w:rsid w:val="004420A3"/>
    <w:rsid w:val="00443A80"/>
    <w:rsid w:val="00444589"/>
    <w:rsid w:val="0044469C"/>
    <w:rsid w:val="00444AA5"/>
    <w:rsid w:val="00444D52"/>
    <w:rsid w:val="00445999"/>
    <w:rsid w:val="00445BAA"/>
    <w:rsid w:val="00446F4B"/>
    <w:rsid w:val="0044746B"/>
    <w:rsid w:val="0044757F"/>
    <w:rsid w:val="00451216"/>
    <w:rsid w:val="0045186C"/>
    <w:rsid w:val="00451C28"/>
    <w:rsid w:val="00452095"/>
    <w:rsid w:val="00452254"/>
    <w:rsid w:val="004528D1"/>
    <w:rsid w:val="0045316D"/>
    <w:rsid w:val="0045451F"/>
    <w:rsid w:val="00454F57"/>
    <w:rsid w:val="004558BF"/>
    <w:rsid w:val="00455D98"/>
    <w:rsid w:val="00455E12"/>
    <w:rsid w:val="004560DE"/>
    <w:rsid w:val="004564C7"/>
    <w:rsid w:val="004565F6"/>
    <w:rsid w:val="00460B83"/>
    <w:rsid w:val="00460F3D"/>
    <w:rsid w:val="00461B5C"/>
    <w:rsid w:val="0046291D"/>
    <w:rsid w:val="00462DCB"/>
    <w:rsid w:val="004635D4"/>
    <w:rsid w:val="004635DC"/>
    <w:rsid w:val="00463EBF"/>
    <w:rsid w:val="00464706"/>
    <w:rsid w:val="00465C56"/>
    <w:rsid w:val="00465DEE"/>
    <w:rsid w:val="004665B1"/>
    <w:rsid w:val="00466A8F"/>
    <w:rsid w:val="00466D78"/>
    <w:rsid w:val="00466F39"/>
    <w:rsid w:val="00466F6D"/>
    <w:rsid w:val="00470420"/>
    <w:rsid w:val="00471538"/>
    <w:rsid w:val="0047237D"/>
    <w:rsid w:val="0047412D"/>
    <w:rsid w:val="004743CA"/>
    <w:rsid w:val="004752AD"/>
    <w:rsid w:val="00475B2E"/>
    <w:rsid w:val="0047606A"/>
    <w:rsid w:val="004761DF"/>
    <w:rsid w:val="00476C06"/>
    <w:rsid w:val="004774A4"/>
    <w:rsid w:val="004774AE"/>
    <w:rsid w:val="004776EE"/>
    <w:rsid w:val="00477ACF"/>
    <w:rsid w:val="00477F4E"/>
    <w:rsid w:val="004801DE"/>
    <w:rsid w:val="004802DE"/>
    <w:rsid w:val="00480900"/>
    <w:rsid w:val="0048237D"/>
    <w:rsid w:val="004825A9"/>
    <w:rsid w:val="00482B38"/>
    <w:rsid w:val="00482C0A"/>
    <w:rsid w:val="00482F27"/>
    <w:rsid w:val="004830D9"/>
    <w:rsid w:val="00483787"/>
    <w:rsid w:val="00483BAD"/>
    <w:rsid w:val="004854F0"/>
    <w:rsid w:val="004857B0"/>
    <w:rsid w:val="00485B30"/>
    <w:rsid w:val="00486048"/>
    <w:rsid w:val="0048669B"/>
    <w:rsid w:val="0048678C"/>
    <w:rsid w:val="004900E1"/>
    <w:rsid w:val="00490494"/>
    <w:rsid w:val="00490769"/>
    <w:rsid w:val="004907FC"/>
    <w:rsid w:val="00490813"/>
    <w:rsid w:val="004912C3"/>
    <w:rsid w:val="004913BA"/>
    <w:rsid w:val="004928BD"/>
    <w:rsid w:val="00492B44"/>
    <w:rsid w:val="0049327F"/>
    <w:rsid w:val="00493920"/>
    <w:rsid w:val="00494184"/>
    <w:rsid w:val="00494310"/>
    <w:rsid w:val="00494616"/>
    <w:rsid w:val="00494704"/>
    <w:rsid w:val="004947D6"/>
    <w:rsid w:val="00494842"/>
    <w:rsid w:val="00495296"/>
    <w:rsid w:val="00497200"/>
    <w:rsid w:val="00497380"/>
    <w:rsid w:val="0049761F"/>
    <w:rsid w:val="00497B30"/>
    <w:rsid w:val="004A062A"/>
    <w:rsid w:val="004A0E2E"/>
    <w:rsid w:val="004A1956"/>
    <w:rsid w:val="004A3321"/>
    <w:rsid w:val="004A372B"/>
    <w:rsid w:val="004A3A8E"/>
    <w:rsid w:val="004A4863"/>
    <w:rsid w:val="004A4D6E"/>
    <w:rsid w:val="004A4E9E"/>
    <w:rsid w:val="004A5272"/>
    <w:rsid w:val="004A5FAB"/>
    <w:rsid w:val="004A644F"/>
    <w:rsid w:val="004A768E"/>
    <w:rsid w:val="004A7753"/>
    <w:rsid w:val="004A7EF0"/>
    <w:rsid w:val="004A7F63"/>
    <w:rsid w:val="004B09A1"/>
    <w:rsid w:val="004B1802"/>
    <w:rsid w:val="004B2966"/>
    <w:rsid w:val="004B34A3"/>
    <w:rsid w:val="004B34DD"/>
    <w:rsid w:val="004B3DB4"/>
    <w:rsid w:val="004B4C53"/>
    <w:rsid w:val="004B5212"/>
    <w:rsid w:val="004B5611"/>
    <w:rsid w:val="004B68F4"/>
    <w:rsid w:val="004B6A61"/>
    <w:rsid w:val="004B71CE"/>
    <w:rsid w:val="004C1D15"/>
    <w:rsid w:val="004C2284"/>
    <w:rsid w:val="004C30BB"/>
    <w:rsid w:val="004C365F"/>
    <w:rsid w:val="004C3A53"/>
    <w:rsid w:val="004C402D"/>
    <w:rsid w:val="004C5564"/>
    <w:rsid w:val="004C5BC7"/>
    <w:rsid w:val="004C5DBC"/>
    <w:rsid w:val="004C6200"/>
    <w:rsid w:val="004C68E5"/>
    <w:rsid w:val="004C6934"/>
    <w:rsid w:val="004C6A0A"/>
    <w:rsid w:val="004C6ADD"/>
    <w:rsid w:val="004C6C86"/>
    <w:rsid w:val="004C7881"/>
    <w:rsid w:val="004D0B70"/>
    <w:rsid w:val="004D0D21"/>
    <w:rsid w:val="004D1EE2"/>
    <w:rsid w:val="004D2160"/>
    <w:rsid w:val="004D2CA1"/>
    <w:rsid w:val="004D3729"/>
    <w:rsid w:val="004D3CB7"/>
    <w:rsid w:val="004D3E2C"/>
    <w:rsid w:val="004D4137"/>
    <w:rsid w:val="004D449D"/>
    <w:rsid w:val="004D4BC9"/>
    <w:rsid w:val="004D4D56"/>
    <w:rsid w:val="004D4D86"/>
    <w:rsid w:val="004D5533"/>
    <w:rsid w:val="004D73F0"/>
    <w:rsid w:val="004D793C"/>
    <w:rsid w:val="004E07FE"/>
    <w:rsid w:val="004E0EFF"/>
    <w:rsid w:val="004E15EA"/>
    <w:rsid w:val="004E1687"/>
    <w:rsid w:val="004E1CE4"/>
    <w:rsid w:val="004E1FBE"/>
    <w:rsid w:val="004E223E"/>
    <w:rsid w:val="004E2DA4"/>
    <w:rsid w:val="004E2FDA"/>
    <w:rsid w:val="004E4877"/>
    <w:rsid w:val="004E4D48"/>
    <w:rsid w:val="004E6DDC"/>
    <w:rsid w:val="004E7536"/>
    <w:rsid w:val="004E7C70"/>
    <w:rsid w:val="004F0489"/>
    <w:rsid w:val="004F08BF"/>
    <w:rsid w:val="004F1346"/>
    <w:rsid w:val="004F16D5"/>
    <w:rsid w:val="004F2040"/>
    <w:rsid w:val="004F2AE4"/>
    <w:rsid w:val="004F32C6"/>
    <w:rsid w:val="004F333B"/>
    <w:rsid w:val="004F34C2"/>
    <w:rsid w:val="004F496D"/>
    <w:rsid w:val="004F59E9"/>
    <w:rsid w:val="004F5C2C"/>
    <w:rsid w:val="004F5D04"/>
    <w:rsid w:val="004F6AEF"/>
    <w:rsid w:val="004F7A90"/>
    <w:rsid w:val="00500F8B"/>
    <w:rsid w:val="005015B8"/>
    <w:rsid w:val="005019AE"/>
    <w:rsid w:val="00502208"/>
    <w:rsid w:val="00502418"/>
    <w:rsid w:val="005034FB"/>
    <w:rsid w:val="00503CE0"/>
    <w:rsid w:val="00503ED0"/>
    <w:rsid w:val="0050417F"/>
    <w:rsid w:val="005049FF"/>
    <w:rsid w:val="00504FCD"/>
    <w:rsid w:val="00505618"/>
    <w:rsid w:val="00506871"/>
    <w:rsid w:val="00506885"/>
    <w:rsid w:val="0050699B"/>
    <w:rsid w:val="00506C90"/>
    <w:rsid w:val="00507A83"/>
    <w:rsid w:val="005100E0"/>
    <w:rsid w:val="00511588"/>
    <w:rsid w:val="00511913"/>
    <w:rsid w:val="00511DF2"/>
    <w:rsid w:val="00511E92"/>
    <w:rsid w:val="005122B7"/>
    <w:rsid w:val="00512A1B"/>
    <w:rsid w:val="005130CC"/>
    <w:rsid w:val="005133DE"/>
    <w:rsid w:val="00513660"/>
    <w:rsid w:val="00513D38"/>
    <w:rsid w:val="00513FE2"/>
    <w:rsid w:val="00514458"/>
    <w:rsid w:val="00515049"/>
    <w:rsid w:val="005157DD"/>
    <w:rsid w:val="00515E36"/>
    <w:rsid w:val="00517728"/>
    <w:rsid w:val="00517ED2"/>
    <w:rsid w:val="00520D98"/>
    <w:rsid w:val="005219A8"/>
    <w:rsid w:val="00522177"/>
    <w:rsid w:val="005222F4"/>
    <w:rsid w:val="0052238B"/>
    <w:rsid w:val="005224A1"/>
    <w:rsid w:val="0052272E"/>
    <w:rsid w:val="00522A0B"/>
    <w:rsid w:val="00522F4B"/>
    <w:rsid w:val="005231F8"/>
    <w:rsid w:val="005232BB"/>
    <w:rsid w:val="00523491"/>
    <w:rsid w:val="00523C16"/>
    <w:rsid w:val="00523DF6"/>
    <w:rsid w:val="00524214"/>
    <w:rsid w:val="00524551"/>
    <w:rsid w:val="00524DCB"/>
    <w:rsid w:val="00525F24"/>
    <w:rsid w:val="00526744"/>
    <w:rsid w:val="00527256"/>
    <w:rsid w:val="00527695"/>
    <w:rsid w:val="00527C97"/>
    <w:rsid w:val="00530598"/>
    <w:rsid w:val="00530A28"/>
    <w:rsid w:val="005311A9"/>
    <w:rsid w:val="0053216D"/>
    <w:rsid w:val="005324B8"/>
    <w:rsid w:val="005327B1"/>
    <w:rsid w:val="00532F4C"/>
    <w:rsid w:val="00533502"/>
    <w:rsid w:val="00533A2E"/>
    <w:rsid w:val="00533C48"/>
    <w:rsid w:val="00534745"/>
    <w:rsid w:val="00534988"/>
    <w:rsid w:val="00534A4A"/>
    <w:rsid w:val="00534B3A"/>
    <w:rsid w:val="00535139"/>
    <w:rsid w:val="0053558D"/>
    <w:rsid w:val="005356F3"/>
    <w:rsid w:val="00536C8C"/>
    <w:rsid w:val="00536F41"/>
    <w:rsid w:val="00537B03"/>
    <w:rsid w:val="00537CC3"/>
    <w:rsid w:val="00540583"/>
    <w:rsid w:val="00540AEC"/>
    <w:rsid w:val="00541FBC"/>
    <w:rsid w:val="00542828"/>
    <w:rsid w:val="00543D67"/>
    <w:rsid w:val="005443D0"/>
    <w:rsid w:val="00547AB4"/>
    <w:rsid w:val="00550457"/>
    <w:rsid w:val="00550CA9"/>
    <w:rsid w:val="00550D85"/>
    <w:rsid w:val="00551B01"/>
    <w:rsid w:val="00551E20"/>
    <w:rsid w:val="00552E5E"/>
    <w:rsid w:val="0055304E"/>
    <w:rsid w:val="0055324B"/>
    <w:rsid w:val="00554978"/>
    <w:rsid w:val="00554B16"/>
    <w:rsid w:val="00554C1D"/>
    <w:rsid w:val="00555EB0"/>
    <w:rsid w:val="00556227"/>
    <w:rsid w:val="005562EF"/>
    <w:rsid w:val="0055651B"/>
    <w:rsid w:val="00556B8E"/>
    <w:rsid w:val="00556BBC"/>
    <w:rsid w:val="005570C6"/>
    <w:rsid w:val="00557B10"/>
    <w:rsid w:val="00560093"/>
    <w:rsid w:val="005601C3"/>
    <w:rsid w:val="00560DCC"/>
    <w:rsid w:val="00560FBA"/>
    <w:rsid w:val="005610A5"/>
    <w:rsid w:val="00561743"/>
    <w:rsid w:val="0056261D"/>
    <w:rsid w:val="005626B1"/>
    <w:rsid w:val="00563B75"/>
    <w:rsid w:val="0056402E"/>
    <w:rsid w:val="005640F2"/>
    <w:rsid w:val="005642E4"/>
    <w:rsid w:val="0056481E"/>
    <w:rsid w:val="00565803"/>
    <w:rsid w:val="005659F5"/>
    <w:rsid w:val="00566439"/>
    <w:rsid w:val="005667AA"/>
    <w:rsid w:val="00566C19"/>
    <w:rsid w:val="00566F30"/>
    <w:rsid w:val="00567AE6"/>
    <w:rsid w:val="00567E38"/>
    <w:rsid w:val="005702C5"/>
    <w:rsid w:val="0057100B"/>
    <w:rsid w:val="00572178"/>
    <w:rsid w:val="00574C71"/>
    <w:rsid w:val="00574D0F"/>
    <w:rsid w:val="005757A1"/>
    <w:rsid w:val="00575E76"/>
    <w:rsid w:val="00576EE7"/>
    <w:rsid w:val="005772E6"/>
    <w:rsid w:val="00577566"/>
    <w:rsid w:val="005803F4"/>
    <w:rsid w:val="00581FCC"/>
    <w:rsid w:val="00582F60"/>
    <w:rsid w:val="00583407"/>
    <w:rsid w:val="00584335"/>
    <w:rsid w:val="0058504A"/>
    <w:rsid w:val="00585CAB"/>
    <w:rsid w:val="00586653"/>
    <w:rsid w:val="005868F9"/>
    <w:rsid w:val="0058710D"/>
    <w:rsid w:val="00587A49"/>
    <w:rsid w:val="005905C3"/>
    <w:rsid w:val="005908D0"/>
    <w:rsid w:val="005917D3"/>
    <w:rsid w:val="00591B95"/>
    <w:rsid w:val="00591ED7"/>
    <w:rsid w:val="00592430"/>
    <w:rsid w:val="00593FB6"/>
    <w:rsid w:val="00594A5B"/>
    <w:rsid w:val="005954E2"/>
    <w:rsid w:val="00597A01"/>
    <w:rsid w:val="00597A37"/>
    <w:rsid w:val="00597D07"/>
    <w:rsid w:val="005A0A0F"/>
    <w:rsid w:val="005A1659"/>
    <w:rsid w:val="005A2F03"/>
    <w:rsid w:val="005A3A27"/>
    <w:rsid w:val="005A3AFF"/>
    <w:rsid w:val="005A3C68"/>
    <w:rsid w:val="005A48A3"/>
    <w:rsid w:val="005A48D9"/>
    <w:rsid w:val="005A48E6"/>
    <w:rsid w:val="005A5C50"/>
    <w:rsid w:val="005A5D48"/>
    <w:rsid w:val="005A647A"/>
    <w:rsid w:val="005A75AC"/>
    <w:rsid w:val="005B05FC"/>
    <w:rsid w:val="005B0D4B"/>
    <w:rsid w:val="005B2824"/>
    <w:rsid w:val="005B2BB8"/>
    <w:rsid w:val="005B3232"/>
    <w:rsid w:val="005B4D31"/>
    <w:rsid w:val="005B500B"/>
    <w:rsid w:val="005B52D2"/>
    <w:rsid w:val="005B59C3"/>
    <w:rsid w:val="005B5B28"/>
    <w:rsid w:val="005B62BD"/>
    <w:rsid w:val="005B7691"/>
    <w:rsid w:val="005B7838"/>
    <w:rsid w:val="005B7D64"/>
    <w:rsid w:val="005C159B"/>
    <w:rsid w:val="005C172C"/>
    <w:rsid w:val="005C1E7B"/>
    <w:rsid w:val="005C25A4"/>
    <w:rsid w:val="005C28C8"/>
    <w:rsid w:val="005C43B7"/>
    <w:rsid w:val="005C44A9"/>
    <w:rsid w:val="005C44C5"/>
    <w:rsid w:val="005C53F6"/>
    <w:rsid w:val="005C5F1C"/>
    <w:rsid w:val="005C609C"/>
    <w:rsid w:val="005C62AF"/>
    <w:rsid w:val="005C6864"/>
    <w:rsid w:val="005C6FBE"/>
    <w:rsid w:val="005C7967"/>
    <w:rsid w:val="005D0344"/>
    <w:rsid w:val="005D043C"/>
    <w:rsid w:val="005D180C"/>
    <w:rsid w:val="005D2156"/>
    <w:rsid w:val="005D230D"/>
    <w:rsid w:val="005D2454"/>
    <w:rsid w:val="005D2665"/>
    <w:rsid w:val="005D291F"/>
    <w:rsid w:val="005D3110"/>
    <w:rsid w:val="005D393A"/>
    <w:rsid w:val="005D3E17"/>
    <w:rsid w:val="005D3FB8"/>
    <w:rsid w:val="005D41D5"/>
    <w:rsid w:val="005D5B05"/>
    <w:rsid w:val="005D5EB3"/>
    <w:rsid w:val="005D629E"/>
    <w:rsid w:val="005D7358"/>
    <w:rsid w:val="005D7F80"/>
    <w:rsid w:val="005E0D35"/>
    <w:rsid w:val="005E0DC6"/>
    <w:rsid w:val="005E126C"/>
    <w:rsid w:val="005E154B"/>
    <w:rsid w:val="005E18DF"/>
    <w:rsid w:val="005E22BF"/>
    <w:rsid w:val="005E256C"/>
    <w:rsid w:val="005E2907"/>
    <w:rsid w:val="005E2916"/>
    <w:rsid w:val="005E2FB7"/>
    <w:rsid w:val="005E35D3"/>
    <w:rsid w:val="005E3CDC"/>
    <w:rsid w:val="005E4516"/>
    <w:rsid w:val="005E4EB7"/>
    <w:rsid w:val="005E507C"/>
    <w:rsid w:val="005E574B"/>
    <w:rsid w:val="005E5824"/>
    <w:rsid w:val="005E58EE"/>
    <w:rsid w:val="005E59B2"/>
    <w:rsid w:val="005E62AE"/>
    <w:rsid w:val="005E6781"/>
    <w:rsid w:val="005E6850"/>
    <w:rsid w:val="005E6972"/>
    <w:rsid w:val="005E7438"/>
    <w:rsid w:val="005E7782"/>
    <w:rsid w:val="005E77D8"/>
    <w:rsid w:val="005E7F03"/>
    <w:rsid w:val="005F00E2"/>
    <w:rsid w:val="005F0930"/>
    <w:rsid w:val="005F1469"/>
    <w:rsid w:val="005F1709"/>
    <w:rsid w:val="005F2050"/>
    <w:rsid w:val="005F29E4"/>
    <w:rsid w:val="005F3210"/>
    <w:rsid w:val="005F3594"/>
    <w:rsid w:val="005F4DC8"/>
    <w:rsid w:val="005F4F01"/>
    <w:rsid w:val="005F5376"/>
    <w:rsid w:val="005F67B2"/>
    <w:rsid w:val="005F699D"/>
    <w:rsid w:val="005F6D96"/>
    <w:rsid w:val="005F758A"/>
    <w:rsid w:val="005F798A"/>
    <w:rsid w:val="0060039E"/>
    <w:rsid w:val="006003A4"/>
    <w:rsid w:val="00601EEF"/>
    <w:rsid w:val="006024A0"/>
    <w:rsid w:val="00602854"/>
    <w:rsid w:val="00603242"/>
    <w:rsid w:val="006037D1"/>
    <w:rsid w:val="00603F4E"/>
    <w:rsid w:val="00604340"/>
    <w:rsid w:val="00605587"/>
    <w:rsid w:val="00605598"/>
    <w:rsid w:val="0060569D"/>
    <w:rsid w:val="006066AA"/>
    <w:rsid w:val="0060799E"/>
    <w:rsid w:val="006105BB"/>
    <w:rsid w:val="006108FC"/>
    <w:rsid w:val="0061106C"/>
    <w:rsid w:val="006111AF"/>
    <w:rsid w:val="00611284"/>
    <w:rsid w:val="00611522"/>
    <w:rsid w:val="006115CD"/>
    <w:rsid w:val="0061189B"/>
    <w:rsid w:val="0061288E"/>
    <w:rsid w:val="00612C69"/>
    <w:rsid w:val="00612E13"/>
    <w:rsid w:val="00612E3E"/>
    <w:rsid w:val="00613D92"/>
    <w:rsid w:val="00614EFE"/>
    <w:rsid w:val="00616AB3"/>
    <w:rsid w:val="006170C9"/>
    <w:rsid w:val="006201C1"/>
    <w:rsid w:val="00620A70"/>
    <w:rsid w:val="00620F6C"/>
    <w:rsid w:val="006216CF"/>
    <w:rsid w:val="00621B25"/>
    <w:rsid w:val="00622632"/>
    <w:rsid w:val="00622C8D"/>
    <w:rsid w:val="00623259"/>
    <w:rsid w:val="006237A0"/>
    <w:rsid w:val="0062388B"/>
    <w:rsid w:val="0062406C"/>
    <w:rsid w:val="00624878"/>
    <w:rsid w:val="00624881"/>
    <w:rsid w:val="00624B96"/>
    <w:rsid w:val="00625C22"/>
    <w:rsid w:val="00626171"/>
    <w:rsid w:val="006262D8"/>
    <w:rsid w:val="00626C2A"/>
    <w:rsid w:val="00627114"/>
    <w:rsid w:val="00627761"/>
    <w:rsid w:val="006304D9"/>
    <w:rsid w:val="00630944"/>
    <w:rsid w:val="00630EE8"/>
    <w:rsid w:val="00630EF3"/>
    <w:rsid w:val="00630F9F"/>
    <w:rsid w:val="00631AAF"/>
    <w:rsid w:val="00631F08"/>
    <w:rsid w:val="006327AB"/>
    <w:rsid w:val="00632A98"/>
    <w:rsid w:val="00632C63"/>
    <w:rsid w:val="0063387E"/>
    <w:rsid w:val="00633DD5"/>
    <w:rsid w:val="00633F62"/>
    <w:rsid w:val="0063454F"/>
    <w:rsid w:val="006348F0"/>
    <w:rsid w:val="006349C1"/>
    <w:rsid w:val="00634AEA"/>
    <w:rsid w:val="00635B54"/>
    <w:rsid w:val="00635D99"/>
    <w:rsid w:val="00637A68"/>
    <w:rsid w:val="00637D38"/>
    <w:rsid w:val="00637DC5"/>
    <w:rsid w:val="00637F15"/>
    <w:rsid w:val="00637F50"/>
    <w:rsid w:val="00640236"/>
    <w:rsid w:val="00640E13"/>
    <w:rsid w:val="00640F08"/>
    <w:rsid w:val="006418AB"/>
    <w:rsid w:val="006418BD"/>
    <w:rsid w:val="00641FF2"/>
    <w:rsid w:val="00642CEE"/>
    <w:rsid w:val="006450B1"/>
    <w:rsid w:val="0064715D"/>
    <w:rsid w:val="00647309"/>
    <w:rsid w:val="00647368"/>
    <w:rsid w:val="00647743"/>
    <w:rsid w:val="0065036D"/>
    <w:rsid w:val="00650D20"/>
    <w:rsid w:val="0065163D"/>
    <w:rsid w:val="00651732"/>
    <w:rsid w:val="00651E90"/>
    <w:rsid w:val="00651FB5"/>
    <w:rsid w:val="006520E4"/>
    <w:rsid w:val="0065318E"/>
    <w:rsid w:val="006541E3"/>
    <w:rsid w:val="0065484B"/>
    <w:rsid w:val="00654B94"/>
    <w:rsid w:val="00654CB0"/>
    <w:rsid w:val="00655108"/>
    <w:rsid w:val="006552F3"/>
    <w:rsid w:val="006561ED"/>
    <w:rsid w:val="00656C66"/>
    <w:rsid w:val="00657E99"/>
    <w:rsid w:val="00657ED2"/>
    <w:rsid w:val="00657F41"/>
    <w:rsid w:val="00660904"/>
    <w:rsid w:val="00660961"/>
    <w:rsid w:val="0066110C"/>
    <w:rsid w:val="00661704"/>
    <w:rsid w:val="00662468"/>
    <w:rsid w:val="0066247C"/>
    <w:rsid w:val="00662E7D"/>
    <w:rsid w:val="006630A0"/>
    <w:rsid w:val="00664742"/>
    <w:rsid w:val="00665020"/>
    <w:rsid w:val="00665111"/>
    <w:rsid w:val="00666A9D"/>
    <w:rsid w:val="006670FD"/>
    <w:rsid w:val="00667BD4"/>
    <w:rsid w:val="00670055"/>
    <w:rsid w:val="00670416"/>
    <w:rsid w:val="0067074F"/>
    <w:rsid w:val="00670B11"/>
    <w:rsid w:val="006717C7"/>
    <w:rsid w:val="00671DF1"/>
    <w:rsid w:val="006723C3"/>
    <w:rsid w:val="00672CA2"/>
    <w:rsid w:val="00673128"/>
    <w:rsid w:val="006736A3"/>
    <w:rsid w:val="006738D5"/>
    <w:rsid w:val="00675073"/>
    <w:rsid w:val="006755A2"/>
    <w:rsid w:val="00675E6C"/>
    <w:rsid w:val="006763B7"/>
    <w:rsid w:val="006764BF"/>
    <w:rsid w:val="006769DB"/>
    <w:rsid w:val="0067720C"/>
    <w:rsid w:val="006775A6"/>
    <w:rsid w:val="00677ADE"/>
    <w:rsid w:val="006804C3"/>
    <w:rsid w:val="00680B66"/>
    <w:rsid w:val="00681312"/>
    <w:rsid w:val="00681AD7"/>
    <w:rsid w:val="006820AD"/>
    <w:rsid w:val="00684789"/>
    <w:rsid w:val="00685035"/>
    <w:rsid w:val="006850A8"/>
    <w:rsid w:val="0068540A"/>
    <w:rsid w:val="006855BC"/>
    <w:rsid w:val="006855E4"/>
    <w:rsid w:val="00685C14"/>
    <w:rsid w:val="00685D60"/>
    <w:rsid w:val="00685E60"/>
    <w:rsid w:val="00686085"/>
    <w:rsid w:val="006862A6"/>
    <w:rsid w:val="00687831"/>
    <w:rsid w:val="00687851"/>
    <w:rsid w:val="00690496"/>
    <w:rsid w:val="0069061E"/>
    <w:rsid w:val="006906BA"/>
    <w:rsid w:val="00691269"/>
    <w:rsid w:val="006915A4"/>
    <w:rsid w:val="00691DB0"/>
    <w:rsid w:val="00692711"/>
    <w:rsid w:val="00692DE3"/>
    <w:rsid w:val="00693AB4"/>
    <w:rsid w:val="00693B2C"/>
    <w:rsid w:val="006942CF"/>
    <w:rsid w:val="00695164"/>
    <w:rsid w:val="006958D9"/>
    <w:rsid w:val="00695A15"/>
    <w:rsid w:val="00696A9E"/>
    <w:rsid w:val="00696C10"/>
    <w:rsid w:val="006971DA"/>
    <w:rsid w:val="00697585"/>
    <w:rsid w:val="006A04C2"/>
    <w:rsid w:val="006A1647"/>
    <w:rsid w:val="006A17C3"/>
    <w:rsid w:val="006A1813"/>
    <w:rsid w:val="006A2805"/>
    <w:rsid w:val="006A3097"/>
    <w:rsid w:val="006A5430"/>
    <w:rsid w:val="006A63E6"/>
    <w:rsid w:val="006A67F6"/>
    <w:rsid w:val="006A68D0"/>
    <w:rsid w:val="006A6D6B"/>
    <w:rsid w:val="006A70B7"/>
    <w:rsid w:val="006A7FB2"/>
    <w:rsid w:val="006B192D"/>
    <w:rsid w:val="006B1CC1"/>
    <w:rsid w:val="006B1D0A"/>
    <w:rsid w:val="006B34EE"/>
    <w:rsid w:val="006B3574"/>
    <w:rsid w:val="006B40A4"/>
    <w:rsid w:val="006B4345"/>
    <w:rsid w:val="006B4412"/>
    <w:rsid w:val="006B4AE1"/>
    <w:rsid w:val="006B4B0C"/>
    <w:rsid w:val="006B56F2"/>
    <w:rsid w:val="006B5766"/>
    <w:rsid w:val="006B5BD7"/>
    <w:rsid w:val="006B5DF9"/>
    <w:rsid w:val="006B60AA"/>
    <w:rsid w:val="006C046F"/>
    <w:rsid w:val="006C0891"/>
    <w:rsid w:val="006C178F"/>
    <w:rsid w:val="006C1924"/>
    <w:rsid w:val="006C242D"/>
    <w:rsid w:val="006C2ECA"/>
    <w:rsid w:val="006C3149"/>
    <w:rsid w:val="006C3A35"/>
    <w:rsid w:val="006C465D"/>
    <w:rsid w:val="006C48B6"/>
    <w:rsid w:val="006C505C"/>
    <w:rsid w:val="006C5791"/>
    <w:rsid w:val="006C57FC"/>
    <w:rsid w:val="006C5943"/>
    <w:rsid w:val="006C5E91"/>
    <w:rsid w:val="006C648F"/>
    <w:rsid w:val="006C66AF"/>
    <w:rsid w:val="006C6946"/>
    <w:rsid w:val="006C73A6"/>
    <w:rsid w:val="006C75A1"/>
    <w:rsid w:val="006C76A5"/>
    <w:rsid w:val="006C77F7"/>
    <w:rsid w:val="006C791B"/>
    <w:rsid w:val="006D08FC"/>
    <w:rsid w:val="006D130E"/>
    <w:rsid w:val="006D1760"/>
    <w:rsid w:val="006D1815"/>
    <w:rsid w:val="006D1A13"/>
    <w:rsid w:val="006D1A95"/>
    <w:rsid w:val="006D2295"/>
    <w:rsid w:val="006D2C7D"/>
    <w:rsid w:val="006D33F3"/>
    <w:rsid w:val="006D36F5"/>
    <w:rsid w:val="006D3C33"/>
    <w:rsid w:val="006D461F"/>
    <w:rsid w:val="006D4B11"/>
    <w:rsid w:val="006D4C4C"/>
    <w:rsid w:val="006D5DAA"/>
    <w:rsid w:val="006D61B6"/>
    <w:rsid w:val="006D65E7"/>
    <w:rsid w:val="006D6E20"/>
    <w:rsid w:val="006D7591"/>
    <w:rsid w:val="006D7A7B"/>
    <w:rsid w:val="006D7E81"/>
    <w:rsid w:val="006E0411"/>
    <w:rsid w:val="006E06FB"/>
    <w:rsid w:val="006E13DC"/>
    <w:rsid w:val="006E1D26"/>
    <w:rsid w:val="006E1F83"/>
    <w:rsid w:val="006E297D"/>
    <w:rsid w:val="006E3DC3"/>
    <w:rsid w:val="006E412A"/>
    <w:rsid w:val="006E4A8A"/>
    <w:rsid w:val="006E4F1F"/>
    <w:rsid w:val="006E62FE"/>
    <w:rsid w:val="006E6BEB"/>
    <w:rsid w:val="006E713C"/>
    <w:rsid w:val="006E72A3"/>
    <w:rsid w:val="006E7D7A"/>
    <w:rsid w:val="006F01A4"/>
    <w:rsid w:val="006F117D"/>
    <w:rsid w:val="006F1251"/>
    <w:rsid w:val="006F15F5"/>
    <w:rsid w:val="006F39C6"/>
    <w:rsid w:val="006F3B0E"/>
    <w:rsid w:val="006F469F"/>
    <w:rsid w:val="006F4830"/>
    <w:rsid w:val="006F4CA7"/>
    <w:rsid w:val="006F56BC"/>
    <w:rsid w:val="006F6433"/>
    <w:rsid w:val="006F6BF7"/>
    <w:rsid w:val="006F7773"/>
    <w:rsid w:val="0070012B"/>
    <w:rsid w:val="00700576"/>
    <w:rsid w:val="007006D0"/>
    <w:rsid w:val="00701511"/>
    <w:rsid w:val="0070159C"/>
    <w:rsid w:val="007016C7"/>
    <w:rsid w:val="00702E6A"/>
    <w:rsid w:val="0070450E"/>
    <w:rsid w:val="007046FD"/>
    <w:rsid w:val="0070545C"/>
    <w:rsid w:val="00706476"/>
    <w:rsid w:val="00706558"/>
    <w:rsid w:val="007065AE"/>
    <w:rsid w:val="00706EF0"/>
    <w:rsid w:val="007076AA"/>
    <w:rsid w:val="00707B08"/>
    <w:rsid w:val="00707FC4"/>
    <w:rsid w:val="007106B2"/>
    <w:rsid w:val="00711367"/>
    <w:rsid w:val="007117B6"/>
    <w:rsid w:val="00711B9B"/>
    <w:rsid w:val="00711EF2"/>
    <w:rsid w:val="007120DC"/>
    <w:rsid w:val="007123BE"/>
    <w:rsid w:val="007125A7"/>
    <w:rsid w:val="0071309A"/>
    <w:rsid w:val="00713254"/>
    <w:rsid w:val="007140A5"/>
    <w:rsid w:val="007145D5"/>
    <w:rsid w:val="0071479F"/>
    <w:rsid w:val="00715942"/>
    <w:rsid w:val="007159B7"/>
    <w:rsid w:val="00716387"/>
    <w:rsid w:val="007166C3"/>
    <w:rsid w:val="00716AB7"/>
    <w:rsid w:val="00716B03"/>
    <w:rsid w:val="00716DA0"/>
    <w:rsid w:val="0071724A"/>
    <w:rsid w:val="00720622"/>
    <w:rsid w:val="007208F0"/>
    <w:rsid w:val="007213B2"/>
    <w:rsid w:val="00722223"/>
    <w:rsid w:val="00722647"/>
    <w:rsid w:val="00722A02"/>
    <w:rsid w:val="00722C47"/>
    <w:rsid w:val="0072300E"/>
    <w:rsid w:val="007230C4"/>
    <w:rsid w:val="00723623"/>
    <w:rsid w:val="007237F8"/>
    <w:rsid w:val="00723D88"/>
    <w:rsid w:val="00724B9F"/>
    <w:rsid w:val="00724E3D"/>
    <w:rsid w:val="00725B3F"/>
    <w:rsid w:val="00725DEA"/>
    <w:rsid w:val="00727626"/>
    <w:rsid w:val="007278A8"/>
    <w:rsid w:val="00727939"/>
    <w:rsid w:val="007302C3"/>
    <w:rsid w:val="007305A8"/>
    <w:rsid w:val="00730D17"/>
    <w:rsid w:val="007318FB"/>
    <w:rsid w:val="0073246E"/>
    <w:rsid w:val="00732962"/>
    <w:rsid w:val="00732D14"/>
    <w:rsid w:val="007330E9"/>
    <w:rsid w:val="00733A7A"/>
    <w:rsid w:val="007348CC"/>
    <w:rsid w:val="007349B3"/>
    <w:rsid w:val="00734A98"/>
    <w:rsid w:val="0073557B"/>
    <w:rsid w:val="007358F1"/>
    <w:rsid w:val="00735D92"/>
    <w:rsid w:val="0073613C"/>
    <w:rsid w:val="007366B0"/>
    <w:rsid w:val="00736893"/>
    <w:rsid w:val="007374EB"/>
    <w:rsid w:val="007404F5"/>
    <w:rsid w:val="00740721"/>
    <w:rsid w:val="00740B64"/>
    <w:rsid w:val="00741DF7"/>
    <w:rsid w:val="007427B3"/>
    <w:rsid w:val="00742A38"/>
    <w:rsid w:val="00742BCD"/>
    <w:rsid w:val="00742CE0"/>
    <w:rsid w:val="00742FB8"/>
    <w:rsid w:val="00743B4B"/>
    <w:rsid w:val="007446BE"/>
    <w:rsid w:val="00744B30"/>
    <w:rsid w:val="00744B45"/>
    <w:rsid w:val="007452B0"/>
    <w:rsid w:val="007459AE"/>
    <w:rsid w:val="00745D9D"/>
    <w:rsid w:val="00746502"/>
    <w:rsid w:val="00746872"/>
    <w:rsid w:val="00747A07"/>
    <w:rsid w:val="00747F7A"/>
    <w:rsid w:val="00751C74"/>
    <w:rsid w:val="00751EB2"/>
    <w:rsid w:val="00752234"/>
    <w:rsid w:val="0075310A"/>
    <w:rsid w:val="0075486D"/>
    <w:rsid w:val="00754EB0"/>
    <w:rsid w:val="007552E1"/>
    <w:rsid w:val="0075698D"/>
    <w:rsid w:val="007569EF"/>
    <w:rsid w:val="00757A83"/>
    <w:rsid w:val="007600A6"/>
    <w:rsid w:val="0076116F"/>
    <w:rsid w:val="007611BC"/>
    <w:rsid w:val="00761FDC"/>
    <w:rsid w:val="0076210B"/>
    <w:rsid w:val="007626B6"/>
    <w:rsid w:val="00762990"/>
    <w:rsid w:val="0076483B"/>
    <w:rsid w:val="007649A2"/>
    <w:rsid w:val="00764B40"/>
    <w:rsid w:val="0076539E"/>
    <w:rsid w:val="007662D5"/>
    <w:rsid w:val="007669E2"/>
    <w:rsid w:val="00767337"/>
    <w:rsid w:val="00767FE2"/>
    <w:rsid w:val="00770F68"/>
    <w:rsid w:val="00771648"/>
    <w:rsid w:val="00772405"/>
    <w:rsid w:val="00772423"/>
    <w:rsid w:val="00773F28"/>
    <w:rsid w:val="00774711"/>
    <w:rsid w:val="007750D0"/>
    <w:rsid w:val="00775675"/>
    <w:rsid w:val="00775CC3"/>
    <w:rsid w:val="00775CD4"/>
    <w:rsid w:val="00775E8B"/>
    <w:rsid w:val="00776503"/>
    <w:rsid w:val="0077731C"/>
    <w:rsid w:val="00777360"/>
    <w:rsid w:val="00777C33"/>
    <w:rsid w:val="007806C4"/>
    <w:rsid w:val="00780A4F"/>
    <w:rsid w:val="00780A5F"/>
    <w:rsid w:val="00781BFB"/>
    <w:rsid w:val="00782A32"/>
    <w:rsid w:val="0078336E"/>
    <w:rsid w:val="0078357B"/>
    <w:rsid w:val="007851D0"/>
    <w:rsid w:val="00785273"/>
    <w:rsid w:val="007853C9"/>
    <w:rsid w:val="007855F2"/>
    <w:rsid w:val="007862BF"/>
    <w:rsid w:val="00786FF1"/>
    <w:rsid w:val="00787FED"/>
    <w:rsid w:val="0079003F"/>
    <w:rsid w:val="007902D9"/>
    <w:rsid w:val="0079084C"/>
    <w:rsid w:val="00790B5E"/>
    <w:rsid w:val="00791AD4"/>
    <w:rsid w:val="00791D03"/>
    <w:rsid w:val="00792100"/>
    <w:rsid w:val="00792458"/>
    <w:rsid w:val="007927E4"/>
    <w:rsid w:val="00792899"/>
    <w:rsid w:val="00793BEE"/>
    <w:rsid w:val="007948AB"/>
    <w:rsid w:val="00795496"/>
    <w:rsid w:val="00796BF3"/>
    <w:rsid w:val="00797402"/>
    <w:rsid w:val="00797B3B"/>
    <w:rsid w:val="007A1C90"/>
    <w:rsid w:val="007A2130"/>
    <w:rsid w:val="007A30E4"/>
    <w:rsid w:val="007A491E"/>
    <w:rsid w:val="007A4DBC"/>
    <w:rsid w:val="007A5764"/>
    <w:rsid w:val="007A578A"/>
    <w:rsid w:val="007A59F4"/>
    <w:rsid w:val="007A6003"/>
    <w:rsid w:val="007A60A2"/>
    <w:rsid w:val="007A6E42"/>
    <w:rsid w:val="007A793A"/>
    <w:rsid w:val="007B0D05"/>
    <w:rsid w:val="007B15D5"/>
    <w:rsid w:val="007B1680"/>
    <w:rsid w:val="007B18F9"/>
    <w:rsid w:val="007B1985"/>
    <w:rsid w:val="007B1BDA"/>
    <w:rsid w:val="007B1D34"/>
    <w:rsid w:val="007B2071"/>
    <w:rsid w:val="007B3724"/>
    <w:rsid w:val="007B3882"/>
    <w:rsid w:val="007B3CD1"/>
    <w:rsid w:val="007B3CFD"/>
    <w:rsid w:val="007B4156"/>
    <w:rsid w:val="007B42E8"/>
    <w:rsid w:val="007B6331"/>
    <w:rsid w:val="007B7065"/>
    <w:rsid w:val="007C0617"/>
    <w:rsid w:val="007C06ED"/>
    <w:rsid w:val="007C0B5F"/>
    <w:rsid w:val="007C1056"/>
    <w:rsid w:val="007C172B"/>
    <w:rsid w:val="007C180C"/>
    <w:rsid w:val="007C1B66"/>
    <w:rsid w:val="007C2D6E"/>
    <w:rsid w:val="007C323A"/>
    <w:rsid w:val="007C3DA4"/>
    <w:rsid w:val="007C3E4E"/>
    <w:rsid w:val="007C484F"/>
    <w:rsid w:val="007C5465"/>
    <w:rsid w:val="007C5AB0"/>
    <w:rsid w:val="007C5F4D"/>
    <w:rsid w:val="007C5FC4"/>
    <w:rsid w:val="007C66C7"/>
    <w:rsid w:val="007D085B"/>
    <w:rsid w:val="007D0E0C"/>
    <w:rsid w:val="007D1C34"/>
    <w:rsid w:val="007D2D78"/>
    <w:rsid w:val="007D309B"/>
    <w:rsid w:val="007D374D"/>
    <w:rsid w:val="007D396F"/>
    <w:rsid w:val="007D4B95"/>
    <w:rsid w:val="007D55F8"/>
    <w:rsid w:val="007D6D38"/>
    <w:rsid w:val="007E031C"/>
    <w:rsid w:val="007E0423"/>
    <w:rsid w:val="007E1333"/>
    <w:rsid w:val="007E1770"/>
    <w:rsid w:val="007E1A51"/>
    <w:rsid w:val="007E1E97"/>
    <w:rsid w:val="007E1FD1"/>
    <w:rsid w:val="007E25C4"/>
    <w:rsid w:val="007E3624"/>
    <w:rsid w:val="007E3971"/>
    <w:rsid w:val="007E427D"/>
    <w:rsid w:val="007E4E4F"/>
    <w:rsid w:val="007E5688"/>
    <w:rsid w:val="007E5A88"/>
    <w:rsid w:val="007E6647"/>
    <w:rsid w:val="007E68B4"/>
    <w:rsid w:val="007E6B59"/>
    <w:rsid w:val="007E6F2D"/>
    <w:rsid w:val="007E76FF"/>
    <w:rsid w:val="007F0850"/>
    <w:rsid w:val="007F385C"/>
    <w:rsid w:val="007F51BC"/>
    <w:rsid w:val="007F64D5"/>
    <w:rsid w:val="007F708E"/>
    <w:rsid w:val="007F7552"/>
    <w:rsid w:val="008008A2"/>
    <w:rsid w:val="00800A3A"/>
    <w:rsid w:val="00800B24"/>
    <w:rsid w:val="0080159B"/>
    <w:rsid w:val="0080313C"/>
    <w:rsid w:val="00803329"/>
    <w:rsid w:val="00803DC5"/>
    <w:rsid w:val="0080408C"/>
    <w:rsid w:val="00805B2D"/>
    <w:rsid w:val="00805E03"/>
    <w:rsid w:val="00805F23"/>
    <w:rsid w:val="008069EF"/>
    <w:rsid w:val="00807180"/>
    <w:rsid w:val="00807578"/>
    <w:rsid w:val="00807E58"/>
    <w:rsid w:val="00807EBD"/>
    <w:rsid w:val="008100A2"/>
    <w:rsid w:val="00810310"/>
    <w:rsid w:val="008103D8"/>
    <w:rsid w:val="008105F3"/>
    <w:rsid w:val="00811DEF"/>
    <w:rsid w:val="00811F60"/>
    <w:rsid w:val="00811FEF"/>
    <w:rsid w:val="00812626"/>
    <w:rsid w:val="008128D2"/>
    <w:rsid w:val="00812C99"/>
    <w:rsid w:val="008140D3"/>
    <w:rsid w:val="0081544F"/>
    <w:rsid w:val="0081545E"/>
    <w:rsid w:val="00815862"/>
    <w:rsid w:val="00816098"/>
    <w:rsid w:val="00820749"/>
    <w:rsid w:val="00820752"/>
    <w:rsid w:val="00820B97"/>
    <w:rsid w:val="008211D3"/>
    <w:rsid w:val="0082129C"/>
    <w:rsid w:val="008212AD"/>
    <w:rsid w:val="00822522"/>
    <w:rsid w:val="00822A0C"/>
    <w:rsid w:val="008230DA"/>
    <w:rsid w:val="008231F4"/>
    <w:rsid w:val="008232C6"/>
    <w:rsid w:val="00823C2A"/>
    <w:rsid w:val="00824258"/>
    <w:rsid w:val="00824332"/>
    <w:rsid w:val="00825ED4"/>
    <w:rsid w:val="00826902"/>
    <w:rsid w:val="0082694F"/>
    <w:rsid w:val="00826B38"/>
    <w:rsid w:val="008279D8"/>
    <w:rsid w:val="00830545"/>
    <w:rsid w:val="00831EC2"/>
    <w:rsid w:val="008320CB"/>
    <w:rsid w:val="0083383B"/>
    <w:rsid w:val="00833CEE"/>
    <w:rsid w:val="00834321"/>
    <w:rsid w:val="0083456C"/>
    <w:rsid w:val="008349AF"/>
    <w:rsid w:val="0083503D"/>
    <w:rsid w:val="008373BD"/>
    <w:rsid w:val="00837B1B"/>
    <w:rsid w:val="00837BEB"/>
    <w:rsid w:val="00837CF4"/>
    <w:rsid w:val="00841339"/>
    <w:rsid w:val="00841594"/>
    <w:rsid w:val="008415AF"/>
    <w:rsid w:val="0084204F"/>
    <w:rsid w:val="008430AF"/>
    <w:rsid w:val="008430F4"/>
    <w:rsid w:val="00843AB5"/>
    <w:rsid w:val="00844A11"/>
    <w:rsid w:val="0084528C"/>
    <w:rsid w:val="0084547D"/>
    <w:rsid w:val="0084631C"/>
    <w:rsid w:val="008467FA"/>
    <w:rsid w:val="00846C07"/>
    <w:rsid w:val="00846FD6"/>
    <w:rsid w:val="0084700F"/>
    <w:rsid w:val="0084741A"/>
    <w:rsid w:val="008474D9"/>
    <w:rsid w:val="00847B54"/>
    <w:rsid w:val="00847E67"/>
    <w:rsid w:val="00847F8B"/>
    <w:rsid w:val="008513A0"/>
    <w:rsid w:val="008519C7"/>
    <w:rsid w:val="00851C4B"/>
    <w:rsid w:val="008526BF"/>
    <w:rsid w:val="00852A67"/>
    <w:rsid w:val="00853C57"/>
    <w:rsid w:val="00854464"/>
    <w:rsid w:val="008553C8"/>
    <w:rsid w:val="0085579D"/>
    <w:rsid w:val="00855C43"/>
    <w:rsid w:val="00856028"/>
    <w:rsid w:val="0085795D"/>
    <w:rsid w:val="0085799F"/>
    <w:rsid w:val="00857AE5"/>
    <w:rsid w:val="00857C2A"/>
    <w:rsid w:val="00857E2A"/>
    <w:rsid w:val="00857E80"/>
    <w:rsid w:val="00860011"/>
    <w:rsid w:val="00861629"/>
    <w:rsid w:val="00861D26"/>
    <w:rsid w:val="00862C26"/>
    <w:rsid w:val="008636A4"/>
    <w:rsid w:val="00863817"/>
    <w:rsid w:val="00863BC7"/>
    <w:rsid w:val="0086483A"/>
    <w:rsid w:val="00864F6B"/>
    <w:rsid w:val="00864FB2"/>
    <w:rsid w:val="008650F9"/>
    <w:rsid w:val="0086568E"/>
    <w:rsid w:val="00865E96"/>
    <w:rsid w:val="00865FAF"/>
    <w:rsid w:val="008660D3"/>
    <w:rsid w:val="008662A0"/>
    <w:rsid w:val="00866B37"/>
    <w:rsid w:val="00867791"/>
    <w:rsid w:val="0087069B"/>
    <w:rsid w:val="00870711"/>
    <w:rsid w:val="008715F6"/>
    <w:rsid w:val="008722AE"/>
    <w:rsid w:val="00872DED"/>
    <w:rsid w:val="0087385E"/>
    <w:rsid w:val="00873B2A"/>
    <w:rsid w:val="00873DBD"/>
    <w:rsid w:val="00874295"/>
    <w:rsid w:val="00874852"/>
    <w:rsid w:val="0087549A"/>
    <w:rsid w:val="008755F8"/>
    <w:rsid w:val="00876224"/>
    <w:rsid w:val="00876607"/>
    <w:rsid w:val="0087728B"/>
    <w:rsid w:val="0088016F"/>
    <w:rsid w:val="00880409"/>
    <w:rsid w:val="00880E6F"/>
    <w:rsid w:val="008810F2"/>
    <w:rsid w:val="00881693"/>
    <w:rsid w:val="00881AA3"/>
    <w:rsid w:val="008825B8"/>
    <w:rsid w:val="00884ACE"/>
    <w:rsid w:val="00884D8A"/>
    <w:rsid w:val="00885AD0"/>
    <w:rsid w:val="00886F1B"/>
    <w:rsid w:val="008879D1"/>
    <w:rsid w:val="00887DC8"/>
    <w:rsid w:val="00887F6E"/>
    <w:rsid w:val="008901F0"/>
    <w:rsid w:val="00890C80"/>
    <w:rsid w:val="00890ED3"/>
    <w:rsid w:val="008912A7"/>
    <w:rsid w:val="00892038"/>
    <w:rsid w:val="008920D6"/>
    <w:rsid w:val="0089291B"/>
    <w:rsid w:val="008933E6"/>
    <w:rsid w:val="00893894"/>
    <w:rsid w:val="00893A1D"/>
    <w:rsid w:val="00893AFF"/>
    <w:rsid w:val="008951E6"/>
    <w:rsid w:val="00895229"/>
    <w:rsid w:val="008957F2"/>
    <w:rsid w:val="00896A1F"/>
    <w:rsid w:val="00896FA3"/>
    <w:rsid w:val="00897104"/>
    <w:rsid w:val="008972F5"/>
    <w:rsid w:val="00897990"/>
    <w:rsid w:val="008A026D"/>
    <w:rsid w:val="008A052C"/>
    <w:rsid w:val="008A12E8"/>
    <w:rsid w:val="008A172C"/>
    <w:rsid w:val="008A1C3B"/>
    <w:rsid w:val="008A1D2D"/>
    <w:rsid w:val="008A3370"/>
    <w:rsid w:val="008A4335"/>
    <w:rsid w:val="008A440E"/>
    <w:rsid w:val="008A62CE"/>
    <w:rsid w:val="008A645E"/>
    <w:rsid w:val="008A67E3"/>
    <w:rsid w:val="008A7ACA"/>
    <w:rsid w:val="008A7F8D"/>
    <w:rsid w:val="008B02C7"/>
    <w:rsid w:val="008B0CDC"/>
    <w:rsid w:val="008B1C04"/>
    <w:rsid w:val="008B415B"/>
    <w:rsid w:val="008B4553"/>
    <w:rsid w:val="008B4B3D"/>
    <w:rsid w:val="008B4D76"/>
    <w:rsid w:val="008B4EE3"/>
    <w:rsid w:val="008B51A8"/>
    <w:rsid w:val="008B51F3"/>
    <w:rsid w:val="008B57E5"/>
    <w:rsid w:val="008B5D41"/>
    <w:rsid w:val="008B725A"/>
    <w:rsid w:val="008B7321"/>
    <w:rsid w:val="008C0EFB"/>
    <w:rsid w:val="008C111F"/>
    <w:rsid w:val="008C248B"/>
    <w:rsid w:val="008C2D5B"/>
    <w:rsid w:val="008C44E3"/>
    <w:rsid w:val="008C56E5"/>
    <w:rsid w:val="008C5989"/>
    <w:rsid w:val="008C5B0F"/>
    <w:rsid w:val="008C65EE"/>
    <w:rsid w:val="008C6C8D"/>
    <w:rsid w:val="008C7A27"/>
    <w:rsid w:val="008C7A45"/>
    <w:rsid w:val="008D008F"/>
    <w:rsid w:val="008D0108"/>
    <w:rsid w:val="008D0A30"/>
    <w:rsid w:val="008D0CD2"/>
    <w:rsid w:val="008D0CE1"/>
    <w:rsid w:val="008D15E4"/>
    <w:rsid w:val="008D267F"/>
    <w:rsid w:val="008D26D0"/>
    <w:rsid w:val="008D26E5"/>
    <w:rsid w:val="008D2C3C"/>
    <w:rsid w:val="008D3CB5"/>
    <w:rsid w:val="008D5AA9"/>
    <w:rsid w:val="008D629E"/>
    <w:rsid w:val="008D760C"/>
    <w:rsid w:val="008D7E89"/>
    <w:rsid w:val="008E0C76"/>
    <w:rsid w:val="008E1DEA"/>
    <w:rsid w:val="008E31CA"/>
    <w:rsid w:val="008E385E"/>
    <w:rsid w:val="008E3C15"/>
    <w:rsid w:val="008E4040"/>
    <w:rsid w:val="008E4231"/>
    <w:rsid w:val="008E4372"/>
    <w:rsid w:val="008E4439"/>
    <w:rsid w:val="008E52A5"/>
    <w:rsid w:val="008E61C1"/>
    <w:rsid w:val="008E65AC"/>
    <w:rsid w:val="008E692D"/>
    <w:rsid w:val="008E6C06"/>
    <w:rsid w:val="008E731F"/>
    <w:rsid w:val="008E78F8"/>
    <w:rsid w:val="008F0977"/>
    <w:rsid w:val="008F0A74"/>
    <w:rsid w:val="008F0BFA"/>
    <w:rsid w:val="008F12BC"/>
    <w:rsid w:val="008F1431"/>
    <w:rsid w:val="008F260C"/>
    <w:rsid w:val="008F2891"/>
    <w:rsid w:val="008F2B54"/>
    <w:rsid w:val="008F4B55"/>
    <w:rsid w:val="008F5940"/>
    <w:rsid w:val="008F70B3"/>
    <w:rsid w:val="008F775B"/>
    <w:rsid w:val="008F7ECC"/>
    <w:rsid w:val="008F7F0C"/>
    <w:rsid w:val="0090033F"/>
    <w:rsid w:val="00902D75"/>
    <w:rsid w:val="00902F96"/>
    <w:rsid w:val="009031D9"/>
    <w:rsid w:val="009032E6"/>
    <w:rsid w:val="00904EA6"/>
    <w:rsid w:val="00905048"/>
    <w:rsid w:val="0090573E"/>
    <w:rsid w:val="0090620F"/>
    <w:rsid w:val="009114CC"/>
    <w:rsid w:val="00911A9D"/>
    <w:rsid w:val="00911F3D"/>
    <w:rsid w:val="00911F91"/>
    <w:rsid w:val="009124EF"/>
    <w:rsid w:val="0091392D"/>
    <w:rsid w:val="00913ED8"/>
    <w:rsid w:val="009143D0"/>
    <w:rsid w:val="00914663"/>
    <w:rsid w:val="009148D5"/>
    <w:rsid w:val="009149A7"/>
    <w:rsid w:val="00914E2C"/>
    <w:rsid w:val="00915A19"/>
    <w:rsid w:val="00915B00"/>
    <w:rsid w:val="009160B6"/>
    <w:rsid w:val="00916BD9"/>
    <w:rsid w:val="00916F8B"/>
    <w:rsid w:val="00920B45"/>
    <w:rsid w:val="009213CC"/>
    <w:rsid w:val="009217DB"/>
    <w:rsid w:val="00921947"/>
    <w:rsid w:val="009225DD"/>
    <w:rsid w:val="009243C1"/>
    <w:rsid w:val="00924B42"/>
    <w:rsid w:val="00926B14"/>
    <w:rsid w:val="00926BB2"/>
    <w:rsid w:val="00931278"/>
    <w:rsid w:val="00931530"/>
    <w:rsid w:val="009317A2"/>
    <w:rsid w:val="009321AF"/>
    <w:rsid w:val="009322DC"/>
    <w:rsid w:val="00932F9F"/>
    <w:rsid w:val="0093301C"/>
    <w:rsid w:val="009330A2"/>
    <w:rsid w:val="00933E1B"/>
    <w:rsid w:val="0093470D"/>
    <w:rsid w:val="0093496A"/>
    <w:rsid w:val="00934A38"/>
    <w:rsid w:val="0093502A"/>
    <w:rsid w:val="0093568F"/>
    <w:rsid w:val="00936045"/>
    <w:rsid w:val="00937134"/>
    <w:rsid w:val="00937353"/>
    <w:rsid w:val="009406F1"/>
    <w:rsid w:val="00940A1A"/>
    <w:rsid w:val="00941C7B"/>
    <w:rsid w:val="00941D59"/>
    <w:rsid w:val="00943A52"/>
    <w:rsid w:val="00943D15"/>
    <w:rsid w:val="009468A5"/>
    <w:rsid w:val="00946B33"/>
    <w:rsid w:val="00946D13"/>
    <w:rsid w:val="009473DF"/>
    <w:rsid w:val="00947D84"/>
    <w:rsid w:val="0095016C"/>
    <w:rsid w:val="00950276"/>
    <w:rsid w:val="00950312"/>
    <w:rsid w:val="009504F5"/>
    <w:rsid w:val="00950514"/>
    <w:rsid w:val="009508DB"/>
    <w:rsid w:val="00952464"/>
    <w:rsid w:val="00952D5E"/>
    <w:rsid w:val="00952FC6"/>
    <w:rsid w:val="009537AE"/>
    <w:rsid w:val="009540FE"/>
    <w:rsid w:val="0095457B"/>
    <w:rsid w:val="00954923"/>
    <w:rsid w:val="00954E5C"/>
    <w:rsid w:val="00956060"/>
    <w:rsid w:val="00956190"/>
    <w:rsid w:val="00957999"/>
    <w:rsid w:val="009609A4"/>
    <w:rsid w:val="00961FA5"/>
    <w:rsid w:val="0096261D"/>
    <w:rsid w:val="00962DDE"/>
    <w:rsid w:val="00962F6B"/>
    <w:rsid w:val="00967355"/>
    <w:rsid w:val="00967766"/>
    <w:rsid w:val="00970572"/>
    <w:rsid w:val="00970DE1"/>
    <w:rsid w:val="009715CC"/>
    <w:rsid w:val="0097164D"/>
    <w:rsid w:val="0097209E"/>
    <w:rsid w:val="009725EC"/>
    <w:rsid w:val="00972798"/>
    <w:rsid w:val="0097285A"/>
    <w:rsid w:val="00972CFC"/>
    <w:rsid w:val="009730F8"/>
    <w:rsid w:val="009732BB"/>
    <w:rsid w:val="0097366B"/>
    <w:rsid w:val="00973BC0"/>
    <w:rsid w:val="00974F02"/>
    <w:rsid w:val="00975F60"/>
    <w:rsid w:val="00976268"/>
    <w:rsid w:val="00976374"/>
    <w:rsid w:val="009766AE"/>
    <w:rsid w:val="0097687D"/>
    <w:rsid w:val="0097706A"/>
    <w:rsid w:val="00977E15"/>
    <w:rsid w:val="00980583"/>
    <w:rsid w:val="00980780"/>
    <w:rsid w:val="00980801"/>
    <w:rsid w:val="00980B0D"/>
    <w:rsid w:val="00981521"/>
    <w:rsid w:val="00981C1B"/>
    <w:rsid w:val="0098377E"/>
    <w:rsid w:val="00984559"/>
    <w:rsid w:val="00984812"/>
    <w:rsid w:val="00984ED0"/>
    <w:rsid w:val="00985B09"/>
    <w:rsid w:val="00986DCC"/>
    <w:rsid w:val="00987698"/>
    <w:rsid w:val="00987A89"/>
    <w:rsid w:val="009900FE"/>
    <w:rsid w:val="00990238"/>
    <w:rsid w:val="0099044E"/>
    <w:rsid w:val="009904DB"/>
    <w:rsid w:val="00990773"/>
    <w:rsid w:val="00991794"/>
    <w:rsid w:val="00991C2A"/>
    <w:rsid w:val="00991CC4"/>
    <w:rsid w:val="00992525"/>
    <w:rsid w:val="00993FC9"/>
    <w:rsid w:val="00994747"/>
    <w:rsid w:val="00996ABB"/>
    <w:rsid w:val="009971AF"/>
    <w:rsid w:val="0099753D"/>
    <w:rsid w:val="009975FC"/>
    <w:rsid w:val="00997741"/>
    <w:rsid w:val="009A03B9"/>
    <w:rsid w:val="009A170A"/>
    <w:rsid w:val="009A1BB9"/>
    <w:rsid w:val="009A2BAD"/>
    <w:rsid w:val="009A2FF9"/>
    <w:rsid w:val="009A3865"/>
    <w:rsid w:val="009A4427"/>
    <w:rsid w:val="009A4B95"/>
    <w:rsid w:val="009A4DDD"/>
    <w:rsid w:val="009A5D77"/>
    <w:rsid w:val="009A6087"/>
    <w:rsid w:val="009A69C8"/>
    <w:rsid w:val="009A6B45"/>
    <w:rsid w:val="009A7389"/>
    <w:rsid w:val="009A7706"/>
    <w:rsid w:val="009B0C59"/>
    <w:rsid w:val="009B0C5E"/>
    <w:rsid w:val="009B0D0F"/>
    <w:rsid w:val="009B0DCD"/>
    <w:rsid w:val="009B1023"/>
    <w:rsid w:val="009B14EA"/>
    <w:rsid w:val="009B1C16"/>
    <w:rsid w:val="009B1C47"/>
    <w:rsid w:val="009B3643"/>
    <w:rsid w:val="009B3C88"/>
    <w:rsid w:val="009B415D"/>
    <w:rsid w:val="009B450F"/>
    <w:rsid w:val="009B6289"/>
    <w:rsid w:val="009B6562"/>
    <w:rsid w:val="009B71ED"/>
    <w:rsid w:val="009B73B3"/>
    <w:rsid w:val="009C01E6"/>
    <w:rsid w:val="009C03B7"/>
    <w:rsid w:val="009C06DC"/>
    <w:rsid w:val="009C0F56"/>
    <w:rsid w:val="009C2591"/>
    <w:rsid w:val="009C2E22"/>
    <w:rsid w:val="009C32EC"/>
    <w:rsid w:val="009C3487"/>
    <w:rsid w:val="009C3602"/>
    <w:rsid w:val="009C37A0"/>
    <w:rsid w:val="009C3813"/>
    <w:rsid w:val="009C3B42"/>
    <w:rsid w:val="009C3B72"/>
    <w:rsid w:val="009C4C8F"/>
    <w:rsid w:val="009C6347"/>
    <w:rsid w:val="009C783D"/>
    <w:rsid w:val="009C7E0E"/>
    <w:rsid w:val="009D06D5"/>
    <w:rsid w:val="009D12C8"/>
    <w:rsid w:val="009D1433"/>
    <w:rsid w:val="009D1479"/>
    <w:rsid w:val="009D2225"/>
    <w:rsid w:val="009D33D2"/>
    <w:rsid w:val="009D4EC7"/>
    <w:rsid w:val="009D5199"/>
    <w:rsid w:val="009D527E"/>
    <w:rsid w:val="009D5E25"/>
    <w:rsid w:val="009D5F3E"/>
    <w:rsid w:val="009D6538"/>
    <w:rsid w:val="009D740A"/>
    <w:rsid w:val="009D7AE3"/>
    <w:rsid w:val="009D7AFF"/>
    <w:rsid w:val="009E0B15"/>
    <w:rsid w:val="009E1034"/>
    <w:rsid w:val="009E1275"/>
    <w:rsid w:val="009E157D"/>
    <w:rsid w:val="009E1A83"/>
    <w:rsid w:val="009E30E8"/>
    <w:rsid w:val="009E569D"/>
    <w:rsid w:val="009E5C05"/>
    <w:rsid w:val="009E7375"/>
    <w:rsid w:val="009F00E6"/>
    <w:rsid w:val="009F0A93"/>
    <w:rsid w:val="009F1815"/>
    <w:rsid w:val="009F233A"/>
    <w:rsid w:val="009F281C"/>
    <w:rsid w:val="009F2A60"/>
    <w:rsid w:val="009F2FA0"/>
    <w:rsid w:val="009F3896"/>
    <w:rsid w:val="009F412A"/>
    <w:rsid w:val="009F4E02"/>
    <w:rsid w:val="009F4E1E"/>
    <w:rsid w:val="009F580E"/>
    <w:rsid w:val="009F6721"/>
    <w:rsid w:val="009F6B76"/>
    <w:rsid w:val="009F720E"/>
    <w:rsid w:val="009F757A"/>
    <w:rsid w:val="009F7CF7"/>
    <w:rsid w:val="009F7F8D"/>
    <w:rsid w:val="00A0094A"/>
    <w:rsid w:val="00A028C4"/>
    <w:rsid w:val="00A0350C"/>
    <w:rsid w:val="00A0372B"/>
    <w:rsid w:val="00A04701"/>
    <w:rsid w:val="00A04FA0"/>
    <w:rsid w:val="00A04FD4"/>
    <w:rsid w:val="00A05263"/>
    <w:rsid w:val="00A06E72"/>
    <w:rsid w:val="00A0710C"/>
    <w:rsid w:val="00A076FC"/>
    <w:rsid w:val="00A07A56"/>
    <w:rsid w:val="00A07C84"/>
    <w:rsid w:val="00A112E1"/>
    <w:rsid w:val="00A11422"/>
    <w:rsid w:val="00A12AEC"/>
    <w:rsid w:val="00A13298"/>
    <w:rsid w:val="00A1354A"/>
    <w:rsid w:val="00A13A7C"/>
    <w:rsid w:val="00A13C6E"/>
    <w:rsid w:val="00A158B2"/>
    <w:rsid w:val="00A15C92"/>
    <w:rsid w:val="00A15DF4"/>
    <w:rsid w:val="00A177BD"/>
    <w:rsid w:val="00A17A6C"/>
    <w:rsid w:val="00A17BD9"/>
    <w:rsid w:val="00A2005D"/>
    <w:rsid w:val="00A20114"/>
    <w:rsid w:val="00A202F7"/>
    <w:rsid w:val="00A203D5"/>
    <w:rsid w:val="00A22751"/>
    <w:rsid w:val="00A2357E"/>
    <w:rsid w:val="00A23E71"/>
    <w:rsid w:val="00A245D3"/>
    <w:rsid w:val="00A25A72"/>
    <w:rsid w:val="00A26F7B"/>
    <w:rsid w:val="00A27236"/>
    <w:rsid w:val="00A275B0"/>
    <w:rsid w:val="00A27BD9"/>
    <w:rsid w:val="00A27C0B"/>
    <w:rsid w:val="00A27F95"/>
    <w:rsid w:val="00A3010C"/>
    <w:rsid w:val="00A30D2D"/>
    <w:rsid w:val="00A31A54"/>
    <w:rsid w:val="00A32B50"/>
    <w:rsid w:val="00A32B62"/>
    <w:rsid w:val="00A32EF3"/>
    <w:rsid w:val="00A33C68"/>
    <w:rsid w:val="00A341F8"/>
    <w:rsid w:val="00A34871"/>
    <w:rsid w:val="00A35C55"/>
    <w:rsid w:val="00A35D9C"/>
    <w:rsid w:val="00A360A9"/>
    <w:rsid w:val="00A36291"/>
    <w:rsid w:val="00A3671F"/>
    <w:rsid w:val="00A370D0"/>
    <w:rsid w:val="00A37574"/>
    <w:rsid w:val="00A3782F"/>
    <w:rsid w:val="00A4030C"/>
    <w:rsid w:val="00A4086F"/>
    <w:rsid w:val="00A40E26"/>
    <w:rsid w:val="00A41817"/>
    <w:rsid w:val="00A41DB6"/>
    <w:rsid w:val="00A4478E"/>
    <w:rsid w:val="00A44887"/>
    <w:rsid w:val="00A44C49"/>
    <w:rsid w:val="00A4515E"/>
    <w:rsid w:val="00A45CF7"/>
    <w:rsid w:val="00A46F3A"/>
    <w:rsid w:val="00A47CEA"/>
    <w:rsid w:val="00A47D8A"/>
    <w:rsid w:val="00A50100"/>
    <w:rsid w:val="00A50443"/>
    <w:rsid w:val="00A52616"/>
    <w:rsid w:val="00A52E7C"/>
    <w:rsid w:val="00A53430"/>
    <w:rsid w:val="00A54EBF"/>
    <w:rsid w:val="00A55648"/>
    <w:rsid w:val="00A5593D"/>
    <w:rsid w:val="00A562C4"/>
    <w:rsid w:val="00A56CAC"/>
    <w:rsid w:val="00A56EF9"/>
    <w:rsid w:val="00A5771E"/>
    <w:rsid w:val="00A579BB"/>
    <w:rsid w:val="00A61132"/>
    <w:rsid w:val="00A620A0"/>
    <w:rsid w:val="00A6339A"/>
    <w:rsid w:val="00A63D97"/>
    <w:rsid w:val="00A64C42"/>
    <w:rsid w:val="00A6549E"/>
    <w:rsid w:val="00A662C9"/>
    <w:rsid w:val="00A663F8"/>
    <w:rsid w:val="00A664DC"/>
    <w:rsid w:val="00A66D8F"/>
    <w:rsid w:val="00A676BA"/>
    <w:rsid w:val="00A70313"/>
    <w:rsid w:val="00A708E7"/>
    <w:rsid w:val="00A70C12"/>
    <w:rsid w:val="00A71AB7"/>
    <w:rsid w:val="00A726DD"/>
    <w:rsid w:val="00A7301F"/>
    <w:rsid w:val="00A73382"/>
    <w:rsid w:val="00A73B8C"/>
    <w:rsid w:val="00A73C9E"/>
    <w:rsid w:val="00A742EF"/>
    <w:rsid w:val="00A74435"/>
    <w:rsid w:val="00A74765"/>
    <w:rsid w:val="00A75390"/>
    <w:rsid w:val="00A75AF6"/>
    <w:rsid w:val="00A75BCE"/>
    <w:rsid w:val="00A767D8"/>
    <w:rsid w:val="00A76C21"/>
    <w:rsid w:val="00A7755F"/>
    <w:rsid w:val="00A77FA1"/>
    <w:rsid w:val="00A80157"/>
    <w:rsid w:val="00A806F7"/>
    <w:rsid w:val="00A807A9"/>
    <w:rsid w:val="00A815D4"/>
    <w:rsid w:val="00A816E0"/>
    <w:rsid w:val="00A81E2B"/>
    <w:rsid w:val="00A81FCD"/>
    <w:rsid w:val="00A82187"/>
    <w:rsid w:val="00A831F5"/>
    <w:rsid w:val="00A8397B"/>
    <w:rsid w:val="00A84143"/>
    <w:rsid w:val="00A84284"/>
    <w:rsid w:val="00A84B23"/>
    <w:rsid w:val="00A85CEE"/>
    <w:rsid w:val="00A85F7D"/>
    <w:rsid w:val="00A86677"/>
    <w:rsid w:val="00A86A68"/>
    <w:rsid w:val="00A86ECB"/>
    <w:rsid w:val="00A86F0D"/>
    <w:rsid w:val="00A87513"/>
    <w:rsid w:val="00A906D1"/>
    <w:rsid w:val="00A9165C"/>
    <w:rsid w:val="00A916E8"/>
    <w:rsid w:val="00A91AED"/>
    <w:rsid w:val="00A920C4"/>
    <w:rsid w:val="00A92225"/>
    <w:rsid w:val="00A928A6"/>
    <w:rsid w:val="00A92C00"/>
    <w:rsid w:val="00A92D08"/>
    <w:rsid w:val="00A92D75"/>
    <w:rsid w:val="00A9307D"/>
    <w:rsid w:val="00A93366"/>
    <w:rsid w:val="00A938D0"/>
    <w:rsid w:val="00A93923"/>
    <w:rsid w:val="00A93942"/>
    <w:rsid w:val="00A93F01"/>
    <w:rsid w:val="00A93F06"/>
    <w:rsid w:val="00A9477F"/>
    <w:rsid w:val="00A950D9"/>
    <w:rsid w:val="00A9581E"/>
    <w:rsid w:val="00A9656E"/>
    <w:rsid w:val="00A9708E"/>
    <w:rsid w:val="00A978D8"/>
    <w:rsid w:val="00A97B40"/>
    <w:rsid w:val="00A97D04"/>
    <w:rsid w:val="00AA0256"/>
    <w:rsid w:val="00AA0DB3"/>
    <w:rsid w:val="00AA0E70"/>
    <w:rsid w:val="00AA14A2"/>
    <w:rsid w:val="00AA1E21"/>
    <w:rsid w:val="00AA2BE3"/>
    <w:rsid w:val="00AA3123"/>
    <w:rsid w:val="00AA3939"/>
    <w:rsid w:val="00AA445E"/>
    <w:rsid w:val="00AA4586"/>
    <w:rsid w:val="00AA4CAD"/>
    <w:rsid w:val="00AA57A9"/>
    <w:rsid w:val="00AA6000"/>
    <w:rsid w:val="00AA683E"/>
    <w:rsid w:val="00AA68CB"/>
    <w:rsid w:val="00AA6ABD"/>
    <w:rsid w:val="00AA73A5"/>
    <w:rsid w:val="00AA7B01"/>
    <w:rsid w:val="00AA7DD4"/>
    <w:rsid w:val="00AA7DEB"/>
    <w:rsid w:val="00AA7EA7"/>
    <w:rsid w:val="00AB099B"/>
    <w:rsid w:val="00AB0F6F"/>
    <w:rsid w:val="00AB1075"/>
    <w:rsid w:val="00AB11B1"/>
    <w:rsid w:val="00AB13C3"/>
    <w:rsid w:val="00AB1B74"/>
    <w:rsid w:val="00AB238E"/>
    <w:rsid w:val="00AB2A7E"/>
    <w:rsid w:val="00AB37B0"/>
    <w:rsid w:val="00AB42F0"/>
    <w:rsid w:val="00AB464E"/>
    <w:rsid w:val="00AB5AF8"/>
    <w:rsid w:val="00AB5C53"/>
    <w:rsid w:val="00AB5EF5"/>
    <w:rsid w:val="00AB5F10"/>
    <w:rsid w:val="00AB5F17"/>
    <w:rsid w:val="00AB6094"/>
    <w:rsid w:val="00AB64EF"/>
    <w:rsid w:val="00AB6641"/>
    <w:rsid w:val="00AB735D"/>
    <w:rsid w:val="00AB7403"/>
    <w:rsid w:val="00AC08EC"/>
    <w:rsid w:val="00AC1291"/>
    <w:rsid w:val="00AC1CA5"/>
    <w:rsid w:val="00AC1D42"/>
    <w:rsid w:val="00AC2398"/>
    <w:rsid w:val="00AC2D5F"/>
    <w:rsid w:val="00AC2DE3"/>
    <w:rsid w:val="00AC38FA"/>
    <w:rsid w:val="00AC4674"/>
    <w:rsid w:val="00AC4BD6"/>
    <w:rsid w:val="00AC5BD2"/>
    <w:rsid w:val="00AC5F8D"/>
    <w:rsid w:val="00AC64B2"/>
    <w:rsid w:val="00AC6880"/>
    <w:rsid w:val="00AC6A7C"/>
    <w:rsid w:val="00AC6C98"/>
    <w:rsid w:val="00AC6E2E"/>
    <w:rsid w:val="00AC77B2"/>
    <w:rsid w:val="00AD008D"/>
    <w:rsid w:val="00AD084E"/>
    <w:rsid w:val="00AD09D7"/>
    <w:rsid w:val="00AD254C"/>
    <w:rsid w:val="00AD2858"/>
    <w:rsid w:val="00AD2E30"/>
    <w:rsid w:val="00AD35A0"/>
    <w:rsid w:val="00AD3B89"/>
    <w:rsid w:val="00AD3F74"/>
    <w:rsid w:val="00AD4B56"/>
    <w:rsid w:val="00AD4D58"/>
    <w:rsid w:val="00AD579E"/>
    <w:rsid w:val="00AD59DB"/>
    <w:rsid w:val="00AD5C5B"/>
    <w:rsid w:val="00AD6699"/>
    <w:rsid w:val="00AD6C67"/>
    <w:rsid w:val="00AD6C94"/>
    <w:rsid w:val="00AE07E6"/>
    <w:rsid w:val="00AE161E"/>
    <w:rsid w:val="00AE3330"/>
    <w:rsid w:val="00AE6B37"/>
    <w:rsid w:val="00AE6C4C"/>
    <w:rsid w:val="00AF0659"/>
    <w:rsid w:val="00AF0A1A"/>
    <w:rsid w:val="00AF1634"/>
    <w:rsid w:val="00AF2C21"/>
    <w:rsid w:val="00AF39D0"/>
    <w:rsid w:val="00AF3EA6"/>
    <w:rsid w:val="00AF4253"/>
    <w:rsid w:val="00AF4679"/>
    <w:rsid w:val="00AF49B1"/>
    <w:rsid w:val="00AF5B0D"/>
    <w:rsid w:val="00AF5BB3"/>
    <w:rsid w:val="00AF7CA6"/>
    <w:rsid w:val="00AF7FA9"/>
    <w:rsid w:val="00B00958"/>
    <w:rsid w:val="00B00B26"/>
    <w:rsid w:val="00B01C02"/>
    <w:rsid w:val="00B025D0"/>
    <w:rsid w:val="00B02964"/>
    <w:rsid w:val="00B0306B"/>
    <w:rsid w:val="00B0310D"/>
    <w:rsid w:val="00B03931"/>
    <w:rsid w:val="00B03F8A"/>
    <w:rsid w:val="00B0436A"/>
    <w:rsid w:val="00B04419"/>
    <w:rsid w:val="00B04CE6"/>
    <w:rsid w:val="00B05208"/>
    <w:rsid w:val="00B05718"/>
    <w:rsid w:val="00B05A25"/>
    <w:rsid w:val="00B05B06"/>
    <w:rsid w:val="00B07253"/>
    <w:rsid w:val="00B075E2"/>
    <w:rsid w:val="00B1106A"/>
    <w:rsid w:val="00B11249"/>
    <w:rsid w:val="00B11509"/>
    <w:rsid w:val="00B12019"/>
    <w:rsid w:val="00B1204B"/>
    <w:rsid w:val="00B126A6"/>
    <w:rsid w:val="00B127A4"/>
    <w:rsid w:val="00B13E78"/>
    <w:rsid w:val="00B14088"/>
    <w:rsid w:val="00B14177"/>
    <w:rsid w:val="00B144F6"/>
    <w:rsid w:val="00B15B22"/>
    <w:rsid w:val="00B15CA3"/>
    <w:rsid w:val="00B17973"/>
    <w:rsid w:val="00B2161B"/>
    <w:rsid w:val="00B23D06"/>
    <w:rsid w:val="00B24036"/>
    <w:rsid w:val="00B24582"/>
    <w:rsid w:val="00B2464A"/>
    <w:rsid w:val="00B2552E"/>
    <w:rsid w:val="00B25C7F"/>
    <w:rsid w:val="00B269A7"/>
    <w:rsid w:val="00B272A6"/>
    <w:rsid w:val="00B275D0"/>
    <w:rsid w:val="00B27989"/>
    <w:rsid w:val="00B3004A"/>
    <w:rsid w:val="00B30072"/>
    <w:rsid w:val="00B3054F"/>
    <w:rsid w:val="00B3106E"/>
    <w:rsid w:val="00B31227"/>
    <w:rsid w:val="00B32BBE"/>
    <w:rsid w:val="00B33F6B"/>
    <w:rsid w:val="00B34384"/>
    <w:rsid w:val="00B364E7"/>
    <w:rsid w:val="00B36ABF"/>
    <w:rsid w:val="00B36C99"/>
    <w:rsid w:val="00B36ED3"/>
    <w:rsid w:val="00B37A99"/>
    <w:rsid w:val="00B37F1F"/>
    <w:rsid w:val="00B40D39"/>
    <w:rsid w:val="00B40E7A"/>
    <w:rsid w:val="00B41E88"/>
    <w:rsid w:val="00B423E3"/>
    <w:rsid w:val="00B42503"/>
    <w:rsid w:val="00B42A97"/>
    <w:rsid w:val="00B436DB"/>
    <w:rsid w:val="00B43780"/>
    <w:rsid w:val="00B43C02"/>
    <w:rsid w:val="00B43E0A"/>
    <w:rsid w:val="00B43F01"/>
    <w:rsid w:val="00B44137"/>
    <w:rsid w:val="00B44FBF"/>
    <w:rsid w:val="00B46B37"/>
    <w:rsid w:val="00B47106"/>
    <w:rsid w:val="00B47D78"/>
    <w:rsid w:val="00B50AE6"/>
    <w:rsid w:val="00B5121D"/>
    <w:rsid w:val="00B52039"/>
    <w:rsid w:val="00B5245D"/>
    <w:rsid w:val="00B52769"/>
    <w:rsid w:val="00B52A79"/>
    <w:rsid w:val="00B52F05"/>
    <w:rsid w:val="00B53454"/>
    <w:rsid w:val="00B54082"/>
    <w:rsid w:val="00B540D0"/>
    <w:rsid w:val="00B5429C"/>
    <w:rsid w:val="00B54746"/>
    <w:rsid w:val="00B54B95"/>
    <w:rsid w:val="00B54C4A"/>
    <w:rsid w:val="00B5567A"/>
    <w:rsid w:val="00B56756"/>
    <w:rsid w:val="00B56A7E"/>
    <w:rsid w:val="00B57338"/>
    <w:rsid w:val="00B57378"/>
    <w:rsid w:val="00B57DFC"/>
    <w:rsid w:val="00B57E28"/>
    <w:rsid w:val="00B620DA"/>
    <w:rsid w:val="00B6364A"/>
    <w:rsid w:val="00B63657"/>
    <w:rsid w:val="00B63CBB"/>
    <w:rsid w:val="00B64195"/>
    <w:rsid w:val="00B6476C"/>
    <w:rsid w:val="00B659DA"/>
    <w:rsid w:val="00B65B9B"/>
    <w:rsid w:val="00B66993"/>
    <w:rsid w:val="00B679DE"/>
    <w:rsid w:val="00B70319"/>
    <w:rsid w:val="00B7098A"/>
    <w:rsid w:val="00B710E2"/>
    <w:rsid w:val="00B712F6"/>
    <w:rsid w:val="00B71806"/>
    <w:rsid w:val="00B7199F"/>
    <w:rsid w:val="00B71AD4"/>
    <w:rsid w:val="00B7282A"/>
    <w:rsid w:val="00B7283B"/>
    <w:rsid w:val="00B73560"/>
    <w:rsid w:val="00B74669"/>
    <w:rsid w:val="00B7480E"/>
    <w:rsid w:val="00B74B4C"/>
    <w:rsid w:val="00B7764E"/>
    <w:rsid w:val="00B77DCA"/>
    <w:rsid w:val="00B800D6"/>
    <w:rsid w:val="00B808EF"/>
    <w:rsid w:val="00B81422"/>
    <w:rsid w:val="00B819A4"/>
    <w:rsid w:val="00B822AD"/>
    <w:rsid w:val="00B824E1"/>
    <w:rsid w:val="00B84F07"/>
    <w:rsid w:val="00B85180"/>
    <w:rsid w:val="00B8593F"/>
    <w:rsid w:val="00B87933"/>
    <w:rsid w:val="00B90320"/>
    <w:rsid w:val="00B91866"/>
    <w:rsid w:val="00B923A1"/>
    <w:rsid w:val="00B92522"/>
    <w:rsid w:val="00B927F6"/>
    <w:rsid w:val="00B92919"/>
    <w:rsid w:val="00B92A3E"/>
    <w:rsid w:val="00B930B9"/>
    <w:rsid w:val="00B93272"/>
    <w:rsid w:val="00B933F2"/>
    <w:rsid w:val="00B9352F"/>
    <w:rsid w:val="00B93FB9"/>
    <w:rsid w:val="00B95567"/>
    <w:rsid w:val="00B96992"/>
    <w:rsid w:val="00B9717F"/>
    <w:rsid w:val="00B9741C"/>
    <w:rsid w:val="00B9769D"/>
    <w:rsid w:val="00B97828"/>
    <w:rsid w:val="00B978A7"/>
    <w:rsid w:val="00BA107D"/>
    <w:rsid w:val="00BA11E8"/>
    <w:rsid w:val="00BA1F76"/>
    <w:rsid w:val="00BA297A"/>
    <w:rsid w:val="00BA2BD4"/>
    <w:rsid w:val="00BA372D"/>
    <w:rsid w:val="00BA377C"/>
    <w:rsid w:val="00BA3A83"/>
    <w:rsid w:val="00BA3FB1"/>
    <w:rsid w:val="00BA4A15"/>
    <w:rsid w:val="00BA4BD3"/>
    <w:rsid w:val="00BA5739"/>
    <w:rsid w:val="00BA6DF7"/>
    <w:rsid w:val="00BA7249"/>
    <w:rsid w:val="00BA7A95"/>
    <w:rsid w:val="00BB0546"/>
    <w:rsid w:val="00BB11D3"/>
    <w:rsid w:val="00BB17F7"/>
    <w:rsid w:val="00BB2F08"/>
    <w:rsid w:val="00BB3095"/>
    <w:rsid w:val="00BB37BF"/>
    <w:rsid w:val="00BB37E6"/>
    <w:rsid w:val="00BB3A64"/>
    <w:rsid w:val="00BB4241"/>
    <w:rsid w:val="00BB4C1D"/>
    <w:rsid w:val="00BB520F"/>
    <w:rsid w:val="00BB55B3"/>
    <w:rsid w:val="00BB64D0"/>
    <w:rsid w:val="00BB6A00"/>
    <w:rsid w:val="00BB707E"/>
    <w:rsid w:val="00BB79BA"/>
    <w:rsid w:val="00BB7D9B"/>
    <w:rsid w:val="00BC0AB7"/>
    <w:rsid w:val="00BC0ED4"/>
    <w:rsid w:val="00BC1386"/>
    <w:rsid w:val="00BC177C"/>
    <w:rsid w:val="00BC2D98"/>
    <w:rsid w:val="00BC317A"/>
    <w:rsid w:val="00BC3CC1"/>
    <w:rsid w:val="00BC3E7F"/>
    <w:rsid w:val="00BC3EAF"/>
    <w:rsid w:val="00BC40C9"/>
    <w:rsid w:val="00BC40E9"/>
    <w:rsid w:val="00BC4236"/>
    <w:rsid w:val="00BC45BC"/>
    <w:rsid w:val="00BC520B"/>
    <w:rsid w:val="00BC5934"/>
    <w:rsid w:val="00BC5A04"/>
    <w:rsid w:val="00BC64BB"/>
    <w:rsid w:val="00BC7EDB"/>
    <w:rsid w:val="00BD1BBC"/>
    <w:rsid w:val="00BD6CAA"/>
    <w:rsid w:val="00BD6EB2"/>
    <w:rsid w:val="00BD775E"/>
    <w:rsid w:val="00BD7959"/>
    <w:rsid w:val="00BD7EE3"/>
    <w:rsid w:val="00BD7F44"/>
    <w:rsid w:val="00BE01B2"/>
    <w:rsid w:val="00BE0924"/>
    <w:rsid w:val="00BE16E1"/>
    <w:rsid w:val="00BE1C57"/>
    <w:rsid w:val="00BE1F39"/>
    <w:rsid w:val="00BE285F"/>
    <w:rsid w:val="00BE346B"/>
    <w:rsid w:val="00BE4639"/>
    <w:rsid w:val="00BE4C29"/>
    <w:rsid w:val="00BE4F33"/>
    <w:rsid w:val="00BE5C7A"/>
    <w:rsid w:val="00BE6F48"/>
    <w:rsid w:val="00BE71D7"/>
    <w:rsid w:val="00BE771A"/>
    <w:rsid w:val="00BE775D"/>
    <w:rsid w:val="00BE7E8E"/>
    <w:rsid w:val="00BF01AC"/>
    <w:rsid w:val="00BF0B63"/>
    <w:rsid w:val="00BF10D7"/>
    <w:rsid w:val="00BF1893"/>
    <w:rsid w:val="00BF18F3"/>
    <w:rsid w:val="00BF1C7E"/>
    <w:rsid w:val="00BF1EC1"/>
    <w:rsid w:val="00BF2412"/>
    <w:rsid w:val="00BF2BA5"/>
    <w:rsid w:val="00BF2DF7"/>
    <w:rsid w:val="00BF3E48"/>
    <w:rsid w:val="00BF3F97"/>
    <w:rsid w:val="00BF40F1"/>
    <w:rsid w:val="00BF5703"/>
    <w:rsid w:val="00BF61EB"/>
    <w:rsid w:val="00BF694B"/>
    <w:rsid w:val="00C00941"/>
    <w:rsid w:val="00C00A2C"/>
    <w:rsid w:val="00C0269C"/>
    <w:rsid w:val="00C0272F"/>
    <w:rsid w:val="00C0366F"/>
    <w:rsid w:val="00C03D14"/>
    <w:rsid w:val="00C04C74"/>
    <w:rsid w:val="00C04EDD"/>
    <w:rsid w:val="00C04F89"/>
    <w:rsid w:val="00C05F50"/>
    <w:rsid w:val="00C063B8"/>
    <w:rsid w:val="00C06F0B"/>
    <w:rsid w:val="00C10E30"/>
    <w:rsid w:val="00C117A3"/>
    <w:rsid w:val="00C11BAB"/>
    <w:rsid w:val="00C1232D"/>
    <w:rsid w:val="00C1255C"/>
    <w:rsid w:val="00C1519A"/>
    <w:rsid w:val="00C15F67"/>
    <w:rsid w:val="00C163B1"/>
    <w:rsid w:val="00C16488"/>
    <w:rsid w:val="00C16533"/>
    <w:rsid w:val="00C20291"/>
    <w:rsid w:val="00C20325"/>
    <w:rsid w:val="00C2064C"/>
    <w:rsid w:val="00C20878"/>
    <w:rsid w:val="00C22066"/>
    <w:rsid w:val="00C23547"/>
    <w:rsid w:val="00C244BE"/>
    <w:rsid w:val="00C245CF"/>
    <w:rsid w:val="00C24A6E"/>
    <w:rsid w:val="00C25262"/>
    <w:rsid w:val="00C25F0D"/>
    <w:rsid w:val="00C26953"/>
    <w:rsid w:val="00C26F73"/>
    <w:rsid w:val="00C273D9"/>
    <w:rsid w:val="00C30DC2"/>
    <w:rsid w:val="00C311A7"/>
    <w:rsid w:val="00C31CF6"/>
    <w:rsid w:val="00C31E12"/>
    <w:rsid w:val="00C31FA8"/>
    <w:rsid w:val="00C31FC8"/>
    <w:rsid w:val="00C328B5"/>
    <w:rsid w:val="00C32F50"/>
    <w:rsid w:val="00C33A21"/>
    <w:rsid w:val="00C34BF6"/>
    <w:rsid w:val="00C352EF"/>
    <w:rsid w:val="00C35573"/>
    <w:rsid w:val="00C3584C"/>
    <w:rsid w:val="00C36720"/>
    <w:rsid w:val="00C36A99"/>
    <w:rsid w:val="00C40104"/>
    <w:rsid w:val="00C403FB"/>
    <w:rsid w:val="00C40C5B"/>
    <w:rsid w:val="00C411CE"/>
    <w:rsid w:val="00C422EE"/>
    <w:rsid w:val="00C43680"/>
    <w:rsid w:val="00C43A00"/>
    <w:rsid w:val="00C4515E"/>
    <w:rsid w:val="00C453F1"/>
    <w:rsid w:val="00C4541B"/>
    <w:rsid w:val="00C45758"/>
    <w:rsid w:val="00C45DE1"/>
    <w:rsid w:val="00C46373"/>
    <w:rsid w:val="00C50236"/>
    <w:rsid w:val="00C5040C"/>
    <w:rsid w:val="00C5048D"/>
    <w:rsid w:val="00C50E54"/>
    <w:rsid w:val="00C512A8"/>
    <w:rsid w:val="00C518DC"/>
    <w:rsid w:val="00C51ADE"/>
    <w:rsid w:val="00C51FF8"/>
    <w:rsid w:val="00C529C0"/>
    <w:rsid w:val="00C52E5F"/>
    <w:rsid w:val="00C53A03"/>
    <w:rsid w:val="00C53B70"/>
    <w:rsid w:val="00C53DBA"/>
    <w:rsid w:val="00C53FF5"/>
    <w:rsid w:val="00C55495"/>
    <w:rsid w:val="00C557F4"/>
    <w:rsid w:val="00C55C8E"/>
    <w:rsid w:val="00C564C8"/>
    <w:rsid w:val="00C570D2"/>
    <w:rsid w:val="00C57219"/>
    <w:rsid w:val="00C573D0"/>
    <w:rsid w:val="00C57EA9"/>
    <w:rsid w:val="00C60EC1"/>
    <w:rsid w:val="00C61024"/>
    <w:rsid w:val="00C613D5"/>
    <w:rsid w:val="00C61436"/>
    <w:rsid w:val="00C61768"/>
    <w:rsid w:val="00C61858"/>
    <w:rsid w:val="00C61B53"/>
    <w:rsid w:val="00C638F4"/>
    <w:rsid w:val="00C649F9"/>
    <w:rsid w:val="00C64DC4"/>
    <w:rsid w:val="00C652C3"/>
    <w:rsid w:val="00C65319"/>
    <w:rsid w:val="00C65D97"/>
    <w:rsid w:val="00C660E6"/>
    <w:rsid w:val="00C66909"/>
    <w:rsid w:val="00C672F0"/>
    <w:rsid w:val="00C67C36"/>
    <w:rsid w:val="00C67CED"/>
    <w:rsid w:val="00C71079"/>
    <w:rsid w:val="00C713D0"/>
    <w:rsid w:val="00C7148B"/>
    <w:rsid w:val="00C71C20"/>
    <w:rsid w:val="00C71D0D"/>
    <w:rsid w:val="00C728A5"/>
    <w:rsid w:val="00C73D90"/>
    <w:rsid w:val="00C740A8"/>
    <w:rsid w:val="00C74A5C"/>
    <w:rsid w:val="00C75024"/>
    <w:rsid w:val="00C753E5"/>
    <w:rsid w:val="00C75EBC"/>
    <w:rsid w:val="00C76C4B"/>
    <w:rsid w:val="00C77284"/>
    <w:rsid w:val="00C7789F"/>
    <w:rsid w:val="00C77C66"/>
    <w:rsid w:val="00C807EC"/>
    <w:rsid w:val="00C814E6"/>
    <w:rsid w:val="00C818B4"/>
    <w:rsid w:val="00C8198B"/>
    <w:rsid w:val="00C81C5E"/>
    <w:rsid w:val="00C8278D"/>
    <w:rsid w:val="00C82C5B"/>
    <w:rsid w:val="00C83229"/>
    <w:rsid w:val="00C83BF6"/>
    <w:rsid w:val="00C849E5"/>
    <w:rsid w:val="00C84FAC"/>
    <w:rsid w:val="00C85296"/>
    <w:rsid w:val="00C858E9"/>
    <w:rsid w:val="00C86607"/>
    <w:rsid w:val="00C9012B"/>
    <w:rsid w:val="00C9050C"/>
    <w:rsid w:val="00C906EF"/>
    <w:rsid w:val="00C9085E"/>
    <w:rsid w:val="00C909BE"/>
    <w:rsid w:val="00C91976"/>
    <w:rsid w:val="00C91A84"/>
    <w:rsid w:val="00C91C3C"/>
    <w:rsid w:val="00C93A04"/>
    <w:rsid w:val="00C93A81"/>
    <w:rsid w:val="00C93BA0"/>
    <w:rsid w:val="00C94944"/>
    <w:rsid w:val="00C9524C"/>
    <w:rsid w:val="00C955D5"/>
    <w:rsid w:val="00C95AF5"/>
    <w:rsid w:val="00C95F0F"/>
    <w:rsid w:val="00C9633A"/>
    <w:rsid w:val="00C96A60"/>
    <w:rsid w:val="00C97103"/>
    <w:rsid w:val="00C97C18"/>
    <w:rsid w:val="00C97DC2"/>
    <w:rsid w:val="00CA00FC"/>
    <w:rsid w:val="00CA063D"/>
    <w:rsid w:val="00CA1213"/>
    <w:rsid w:val="00CA28F1"/>
    <w:rsid w:val="00CA30F1"/>
    <w:rsid w:val="00CA3B8F"/>
    <w:rsid w:val="00CA3B9D"/>
    <w:rsid w:val="00CA3F6D"/>
    <w:rsid w:val="00CA437A"/>
    <w:rsid w:val="00CA5AC5"/>
    <w:rsid w:val="00CA6C80"/>
    <w:rsid w:val="00CA7468"/>
    <w:rsid w:val="00CA74A4"/>
    <w:rsid w:val="00CA78E0"/>
    <w:rsid w:val="00CB0029"/>
    <w:rsid w:val="00CB0CBF"/>
    <w:rsid w:val="00CB0FEB"/>
    <w:rsid w:val="00CB1165"/>
    <w:rsid w:val="00CB16D6"/>
    <w:rsid w:val="00CB188E"/>
    <w:rsid w:val="00CB249D"/>
    <w:rsid w:val="00CB3682"/>
    <w:rsid w:val="00CB3E93"/>
    <w:rsid w:val="00CB46D5"/>
    <w:rsid w:val="00CB4761"/>
    <w:rsid w:val="00CB6176"/>
    <w:rsid w:val="00CB69C1"/>
    <w:rsid w:val="00CB6C22"/>
    <w:rsid w:val="00CB7A7B"/>
    <w:rsid w:val="00CC02B9"/>
    <w:rsid w:val="00CC0B00"/>
    <w:rsid w:val="00CC114D"/>
    <w:rsid w:val="00CC29F4"/>
    <w:rsid w:val="00CC2B03"/>
    <w:rsid w:val="00CC30DB"/>
    <w:rsid w:val="00CC34E5"/>
    <w:rsid w:val="00CC414A"/>
    <w:rsid w:val="00CC4334"/>
    <w:rsid w:val="00CC4545"/>
    <w:rsid w:val="00CC4E97"/>
    <w:rsid w:val="00CC5497"/>
    <w:rsid w:val="00CC674C"/>
    <w:rsid w:val="00CC69E9"/>
    <w:rsid w:val="00CC6D0C"/>
    <w:rsid w:val="00CC754E"/>
    <w:rsid w:val="00CC780E"/>
    <w:rsid w:val="00CD0590"/>
    <w:rsid w:val="00CD0C85"/>
    <w:rsid w:val="00CD1645"/>
    <w:rsid w:val="00CD315C"/>
    <w:rsid w:val="00CD351A"/>
    <w:rsid w:val="00CD3CA5"/>
    <w:rsid w:val="00CD3FC4"/>
    <w:rsid w:val="00CD4EAE"/>
    <w:rsid w:val="00CD5413"/>
    <w:rsid w:val="00CD5594"/>
    <w:rsid w:val="00CD61C7"/>
    <w:rsid w:val="00CD6399"/>
    <w:rsid w:val="00CD7665"/>
    <w:rsid w:val="00CD79D7"/>
    <w:rsid w:val="00CD7B81"/>
    <w:rsid w:val="00CD7ED1"/>
    <w:rsid w:val="00CE252D"/>
    <w:rsid w:val="00CE2766"/>
    <w:rsid w:val="00CE315B"/>
    <w:rsid w:val="00CE346A"/>
    <w:rsid w:val="00CE36BA"/>
    <w:rsid w:val="00CE41A4"/>
    <w:rsid w:val="00CE49B7"/>
    <w:rsid w:val="00CE4FA4"/>
    <w:rsid w:val="00CE5749"/>
    <w:rsid w:val="00CE6FBC"/>
    <w:rsid w:val="00CE6FF4"/>
    <w:rsid w:val="00CE736F"/>
    <w:rsid w:val="00CF0485"/>
    <w:rsid w:val="00CF2450"/>
    <w:rsid w:val="00CF255D"/>
    <w:rsid w:val="00CF2E02"/>
    <w:rsid w:val="00CF4540"/>
    <w:rsid w:val="00CF4AAA"/>
    <w:rsid w:val="00CF526A"/>
    <w:rsid w:val="00CF5A54"/>
    <w:rsid w:val="00CF686A"/>
    <w:rsid w:val="00CF6B99"/>
    <w:rsid w:val="00CF6C8F"/>
    <w:rsid w:val="00CF7487"/>
    <w:rsid w:val="00D000B4"/>
    <w:rsid w:val="00D000D6"/>
    <w:rsid w:val="00D00DE2"/>
    <w:rsid w:val="00D01075"/>
    <w:rsid w:val="00D02991"/>
    <w:rsid w:val="00D036FE"/>
    <w:rsid w:val="00D03C09"/>
    <w:rsid w:val="00D04915"/>
    <w:rsid w:val="00D06BEB"/>
    <w:rsid w:val="00D07301"/>
    <w:rsid w:val="00D1040A"/>
    <w:rsid w:val="00D109E9"/>
    <w:rsid w:val="00D10B89"/>
    <w:rsid w:val="00D11261"/>
    <w:rsid w:val="00D11516"/>
    <w:rsid w:val="00D11895"/>
    <w:rsid w:val="00D11D40"/>
    <w:rsid w:val="00D1343E"/>
    <w:rsid w:val="00D1367C"/>
    <w:rsid w:val="00D13823"/>
    <w:rsid w:val="00D138F2"/>
    <w:rsid w:val="00D1392E"/>
    <w:rsid w:val="00D14300"/>
    <w:rsid w:val="00D14B60"/>
    <w:rsid w:val="00D14F01"/>
    <w:rsid w:val="00D15842"/>
    <w:rsid w:val="00D16208"/>
    <w:rsid w:val="00D1639E"/>
    <w:rsid w:val="00D16518"/>
    <w:rsid w:val="00D1722C"/>
    <w:rsid w:val="00D20182"/>
    <w:rsid w:val="00D21B58"/>
    <w:rsid w:val="00D230BF"/>
    <w:rsid w:val="00D23875"/>
    <w:rsid w:val="00D247FB"/>
    <w:rsid w:val="00D248BE"/>
    <w:rsid w:val="00D253E5"/>
    <w:rsid w:val="00D2677A"/>
    <w:rsid w:val="00D26796"/>
    <w:rsid w:val="00D26C1B"/>
    <w:rsid w:val="00D27091"/>
    <w:rsid w:val="00D3027D"/>
    <w:rsid w:val="00D3064D"/>
    <w:rsid w:val="00D32644"/>
    <w:rsid w:val="00D32EBE"/>
    <w:rsid w:val="00D331E5"/>
    <w:rsid w:val="00D33651"/>
    <w:rsid w:val="00D337D1"/>
    <w:rsid w:val="00D337F7"/>
    <w:rsid w:val="00D338BB"/>
    <w:rsid w:val="00D33B30"/>
    <w:rsid w:val="00D33E29"/>
    <w:rsid w:val="00D340BD"/>
    <w:rsid w:val="00D35398"/>
    <w:rsid w:val="00D36092"/>
    <w:rsid w:val="00D37030"/>
    <w:rsid w:val="00D373D2"/>
    <w:rsid w:val="00D3763B"/>
    <w:rsid w:val="00D3798C"/>
    <w:rsid w:val="00D379C7"/>
    <w:rsid w:val="00D37F56"/>
    <w:rsid w:val="00D4008B"/>
    <w:rsid w:val="00D40AF5"/>
    <w:rsid w:val="00D40BAD"/>
    <w:rsid w:val="00D41243"/>
    <w:rsid w:val="00D416B1"/>
    <w:rsid w:val="00D42782"/>
    <w:rsid w:val="00D429DA"/>
    <w:rsid w:val="00D43164"/>
    <w:rsid w:val="00D43172"/>
    <w:rsid w:val="00D435F9"/>
    <w:rsid w:val="00D44C93"/>
    <w:rsid w:val="00D44F2E"/>
    <w:rsid w:val="00D46A3F"/>
    <w:rsid w:val="00D47566"/>
    <w:rsid w:val="00D502FF"/>
    <w:rsid w:val="00D50419"/>
    <w:rsid w:val="00D50570"/>
    <w:rsid w:val="00D5061A"/>
    <w:rsid w:val="00D517E1"/>
    <w:rsid w:val="00D51C51"/>
    <w:rsid w:val="00D5219E"/>
    <w:rsid w:val="00D5267D"/>
    <w:rsid w:val="00D53538"/>
    <w:rsid w:val="00D53EAD"/>
    <w:rsid w:val="00D541B8"/>
    <w:rsid w:val="00D543A2"/>
    <w:rsid w:val="00D5518E"/>
    <w:rsid w:val="00D55216"/>
    <w:rsid w:val="00D55473"/>
    <w:rsid w:val="00D556F1"/>
    <w:rsid w:val="00D55C8F"/>
    <w:rsid w:val="00D5630D"/>
    <w:rsid w:val="00D56FFE"/>
    <w:rsid w:val="00D60A87"/>
    <w:rsid w:val="00D60DCA"/>
    <w:rsid w:val="00D62135"/>
    <w:rsid w:val="00D621D8"/>
    <w:rsid w:val="00D626F7"/>
    <w:rsid w:val="00D62CEE"/>
    <w:rsid w:val="00D64688"/>
    <w:rsid w:val="00D6487F"/>
    <w:rsid w:val="00D650B0"/>
    <w:rsid w:val="00D65A07"/>
    <w:rsid w:val="00D661D9"/>
    <w:rsid w:val="00D676A8"/>
    <w:rsid w:val="00D677A1"/>
    <w:rsid w:val="00D7128C"/>
    <w:rsid w:val="00D7224A"/>
    <w:rsid w:val="00D7264C"/>
    <w:rsid w:val="00D726CC"/>
    <w:rsid w:val="00D72DC2"/>
    <w:rsid w:val="00D7346B"/>
    <w:rsid w:val="00D734EF"/>
    <w:rsid w:val="00D73950"/>
    <w:rsid w:val="00D73BB4"/>
    <w:rsid w:val="00D741BB"/>
    <w:rsid w:val="00D74C4C"/>
    <w:rsid w:val="00D75956"/>
    <w:rsid w:val="00D75F59"/>
    <w:rsid w:val="00D813E1"/>
    <w:rsid w:val="00D82800"/>
    <w:rsid w:val="00D8282C"/>
    <w:rsid w:val="00D82C99"/>
    <w:rsid w:val="00D82FB3"/>
    <w:rsid w:val="00D830CE"/>
    <w:rsid w:val="00D84765"/>
    <w:rsid w:val="00D848E3"/>
    <w:rsid w:val="00D8548D"/>
    <w:rsid w:val="00D85F5C"/>
    <w:rsid w:val="00D868F6"/>
    <w:rsid w:val="00D86BAD"/>
    <w:rsid w:val="00D875C6"/>
    <w:rsid w:val="00D87D38"/>
    <w:rsid w:val="00D90A25"/>
    <w:rsid w:val="00D90DFC"/>
    <w:rsid w:val="00D9170C"/>
    <w:rsid w:val="00D92652"/>
    <w:rsid w:val="00D92BE2"/>
    <w:rsid w:val="00D93F04"/>
    <w:rsid w:val="00D94339"/>
    <w:rsid w:val="00D94FBC"/>
    <w:rsid w:val="00D951FF"/>
    <w:rsid w:val="00D952E5"/>
    <w:rsid w:val="00D96EA8"/>
    <w:rsid w:val="00D9799B"/>
    <w:rsid w:val="00DA035E"/>
    <w:rsid w:val="00DA1C03"/>
    <w:rsid w:val="00DA1CF1"/>
    <w:rsid w:val="00DA29F1"/>
    <w:rsid w:val="00DA2C69"/>
    <w:rsid w:val="00DA3165"/>
    <w:rsid w:val="00DA33FB"/>
    <w:rsid w:val="00DA3672"/>
    <w:rsid w:val="00DA38CC"/>
    <w:rsid w:val="00DA3B21"/>
    <w:rsid w:val="00DA3BB5"/>
    <w:rsid w:val="00DA436D"/>
    <w:rsid w:val="00DA4DAC"/>
    <w:rsid w:val="00DA5E2A"/>
    <w:rsid w:val="00DA5F95"/>
    <w:rsid w:val="00DA685D"/>
    <w:rsid w:val="00DA715A"/>
    <w:rsid w:val="00DB083D"/>
    <w:rsid w:val="00DB1050"/>
    <w:rsid w:val="00DB124E"/>
    <w:rsid w:val="00DB1BF4"/>
    <w:rsid w:val="00DB249E"/>
    <w:rsid w:val="00DB250C"/>
    <w:rsid w:val="00DB3355"/>
    <w:rsid w:val="00DB3AED"/>
    <w:rsid w:val="00DB4660"/>
    <w:rsid w:val="00DB49E6"/>
    <w:rsid w:val="00DC041D"/>
    <w:rsid w:val="00DC0813"/>
    <w:rsid w:val="00DC0CAD"/>
    <w:rsid w:val="00DC1437"/>
    <w:rsid w:val="00DC1883"/>
    <w:rsid w:val="00DC203C"/>
    <w:rsid w:val="00DC3B15"/>
    <w:rsid w:val="00DC426E"/>
    <w:rsid w:val="00DC4AD9"/>
    <w:rsid w:val="00DC4C3C"/>
    <w:rsid w:val="00DC5DC2"/>
    <w:rsid w:val="00DC64F4"/>
    <w:rsid w:val="00DC6515"/>
    <w:rsid w:val="00DC65A0"/>
    <w:rsid w:val="00DC685D"/>
    <w:rsid w:val="00DC6E4A"/>
    <w:rsid w:val="00DC7CAD"/>
    <w:rsid w:val="00DD0668"/>
    <w:rsid w:val="00DD09A1"/>
    <w:rsid w:val="00DD16A6"/>
    <w:rsid w:val="00DD1CB6"/>
    <w:rsid w:val="00DD1E56"/>
    <w:rsid w:val="00DD2598"/>
    <w:rsid w:val="00DD2C00"/>
    <w:rsid w:val="00DD2D25"/>
    <w:rsid w:val="00DD3DF4"/>
    <w:rsid w:val="00DD4127"/>
    <w:rsid w:val="00DD4201"/>
    <w:rsid w:val="00DD48B0"/>
    <w:rsid w:val="00DD49F7"/>
    <w:rsid w:val="00DD4DA6"/>
    <w:rsid w:val="00DD501B"/>
    <w:rsid w:val="00DD50C1"/>
    <w:rsid w:val="00DD5D99"/>
    <w:rsid w:val="00DD62F2"/>
    <w:rsid w:val="00DD6366"/>
    <w:rsid w:val="00DD6483"/>
    <w:rsid w:val="00DD69C4"/>
    <w:rsid w:val="00DD70BC"/>
    <w:rsid w:val="00DE08E2"/>
    <w:rsid w:val="00DE18FE"/>
    <w:rsid w:val="00DE1BA7"/>
    <w:rsid w:val="00DE25D4"/>
    <w:rsid w:val="00DE44D2"/>
    <w:rsid w:val="00DE4814"/>
    <w:rsid w:val="00DE5716"/>
    <w:rsid w:val="00DE76E5"/>
    <w:rsid w:val="00DE7829"/>
    <w:rsid w:val="00DE7BBE"/>
    <w:rsid w:val="00DF05B3"/>
    <w:rsid w:val="00DF067A"/>
    <w:rsid w:val="00DF1AFE"/>
    <w:rsid w:val="00DF21EE"/>
    <w:rsid w:val="00DF2D26"/>
    <w:rsid w:val="00DF3A59"/>
    <w:rsid w:val="00DF416A"/>
    <w:rsid w:val="00DF4A2C"/>
    <w:rsid w:val="00DF4C2B"/>
    <w:rsid w:val="00DF532D"/>
    <w:rsid w:val="00DF594E"/>
    <w:rsid w:val="00DF5ADE"/>
    <w:rsid w:val="00DF5E5D"/>
    <w:rsid w:val="00DF71C2"/>
    <w:rsid w:val="00E00CB5"/>
    <w:rsid w:val="00E015D2"/>
    <w:rsid w:val="00E02848"/>
    <w:rsid w:val="00E029E3"/>
    <w:rsid w:val="00E02C7E"/>
    <w:rsid w:val="00E03A4F"/>
    <w:rsid w:val="00E03F4B"/>
    <w:rsid w:val="00E04290"/>
    <w:rsid w:val="00E04D42"/>
    <w:rsid w:val="00E05924"/>
    <w:rsid w:val="00E05DD5"/>
    <w:rsid w:val="00E05E66"/>
    <w:rsid w:val="00E07274"/>
    <w:rsid w:val="00E072F4"/>
    <w:rsid w:val="00E07692"/>
    <w:rsid w:val="00E076AD"/>
    <w:rsid w:val="00E07817"/>
    <w:rsid w:val="00E103A3"/>
    <w:rsid w:val="00E10606"/>
    <w:rsid w:val="00E10B11"/>
    <w:rsid w:val="00E11052"/>
    <w:rsid w:val="00E1109D"/>
    <w:rsid w:val="00E112DA"/>
    <w:rsid w:val="00E125CC"/>
    <w:rsid w:val="00E12DC5"/>
    <w:rsid w:val="00E13171"/>
    <w:rsid w:val="00E13592"/>
    <w:rsid w:val="00E14480"/>
    <w:rsid w:val="00E14D8B"/>
    <w:rsid w:val="00E152AC"/>
    <w:rsid w:val="00E156FF"/>
    <w:rsid w:val="00E15A66"/>
    <w:rsid w:val="00E169D8"/>
    <w:rsid w:val="00E178F0"/>
    <w:rsid w:val="00E17CA0"/>
    <w:rsid w:val="00E20131"/>
    <w:rsid w:val="00E204EB"/>
    <w:rsid w:val="00E2063B"/>
    <w:rsid w:val="00E20704"/>
    <w:rsid w:val="00E216D4"/>
    <w:rsid w:val="00E21795"/>
    <w:rsid w:val="00E21B32"/>
    <w:rsid w:val="00E21C15"/>
    <w:rsid w:val="00E2205A"/>
    <w:rsid w:val="00E22246"/>
    <w:rsid w:val="00E22D01"/>
    <w:rsid w:val="00E22D86"/>
    <w:rsid w:val="00E2356B"/>
    <w:rsid w:val="00E2414B"/>
    <w:rsid w:val="00E2482B"/>
    <w:rsid w:val="00E24835"/>
    <w:rsid w:val="00E25DEC"/>
    <w:rsid w:val="00E26E3D"/>
    <w:rsid w:val="00E27328"/>
    <w:rsid w:val="00E27A80"/>
    <w:rsid w:val="00E27C39"/>
    <w:rsid w:val="00E303CA"/>
    <w:rsid w:val="00E308F3"/>
    <w:rsid w:val="00E311BE"/>
    <w:rsid w:val="00E3200B"/>
    <w:rsid w:val="00E32C47"/>
    <w:rsid w:val="00E34167"/>
    <w:rsid w:val="00E3429B"/>
    <w:rsid w:val="00E34CC0"/>
    <w:rsid w:val="00E34D07"/>
    <w:rsid w:val="00E3596B"/>
    <w:rsid w:val="00E364DD"/>
    <w:rsid w:val="00E370B6"/>
    <w:rsid w:val="00E37577"/>
    <w:rsid w:val="00E379E8"/>
    <w:rsid w:val="00E4178B"/>
    <w:rsid w:val="00E41A0D"/>
    <w:rsid w:val="00E422B7"/>
    <w:rsid w:val="00E42BC2"/>
    <w:rsid w:val="00E433D8"/>
    <w:rsid w:val="00E4371A"/>
    <w:rsid w:val="00E43E2B"/>
    <w:rsid w:val="00E43F48"/>
    <w:rsid w:val="00E43FC0"/>
    <w:rsid w:val="00E4500B"/>
    <w:rsid w:val="00E4522D"/>
    <w:rsid w:val="00E45543"/>
    <w:rsid w:val="00E45AC3"/>
    <w:rsid w:val="00E4648C"/>
    <w:rsid w:val="00E46A69"/>
    <w:rsid w:val="00E46B2A"/>
    <w:rsid w:val="00E47CE8"/>
    <w:rsid w:val="00E5013F"/>
    <w:rsid w:val="00E5033C"/>
    <w:rsid w:val="00E50B4B"/>
    <w:rsid w:val="00E50DEF"/>
    <w:rsid w:val="00E5456E"/>
    <w:rsid w:val="00E54E33"/>
    <w:rsid w:val="00E54FFA"/>
    <w:rsid w:val="00E55575"/>
    <w:rsid w:val="00E55956"/>
    <w:rsid w:val="00E5596A"/>
    <w:rsid w:val="00E55A3A"/>
    <w:rsid w:val="00E55C74"/>
    <w:rsid w:val="00E55EFE"/>
    <w:rsid w:val="00E57F1F"/>
    <w:rsid w:val="00E60352"/>
    <w:rsid w:val="00E61B71"/>
    <w:rsid w:val="00E61F97"/>
    <w:rsid w:val="00E621F8"/>
    <w:rsid w:val="00E6310E"/>
    <w:rsid w:val="00E6381A"/>
    <w:rsid w:val="00E63D1E"/>
    <w:rsid w:val="00E64C7C"/>
    <w:rsid w:val="00E661B0"/>
    <w:rsid w:val="00E66A28"/>
    <w:rsid w:val="00E671EF"/>
    <w:rsid w:val="00E7078D"/>
    <w:rsid w:val="00E70B7D"/>
    <w:rsid w:val="00E70D9B"/>
    <w:rsid w:val="00E71446"/>
    <w:rsid w:val="00E71986"/>
    <w:rsid w:val="00E72737"/>
    <w:rsid w:val="00E7377F"/>
    <w:rsid w:val="00E73AAB"/>
    <w:rsid w:val="00E74A8D"/>
    <w:rsid w:val="00E74BF6"/>
    <w:rsid w:val="00E76497"/>
    <w:rsid w:val="00E7742C"/>
    <w:rsid w:val="00E77961"/>
    <w:rsid w:val="00E779D6"/>
    <w:rsid w:val="00E77AE9"/>
    <w:rsid w:val="00E77C88"/>
    <w:rsid w:val="00E77CCC"/>
    <w:rsid w:val="00E77E8A"/>
    <w:rsid w:val="00E813E3"/>
    <w:rsid w:val="00E818F7"/>
    <w:rsid w:val="00E827AA"/>
    <w:rsid w:val="00E82C5D"/>
    <w:rsid w:val="00E82CA6"/>
    <w:rsid w:val="00E82E80"/>
    <w:rsid w:val="00E82F51"/>
    <w:rsid w:val="00E83EDB"/>
    <w:rsid w:val="00E8406B"/>
    <w:rsid w:val="00E842D8"/>
    <w:rsid w:val="00E84328"/>
    <w:rsid w:val="00E84DBD"/>
    <w:rsid w:val="00E85754"/>
    <w:rsid w:val="00E85BA4"/>
    <w:rsid w:val="00E85BFB"/>
    <w:rsid w:val="00E85C9B"/>
    <w:rsid w:val="00E85DBE"/>
    <w:rsid w:val="00E85F6E"/>
    <w:rsid w:val="00E8633A"/>
    <w:rsid w:val="00E869A4"/>
    <w:rsid w:val="00E9110E"/>
    <w:rsid w:val="00E917C4"/>
    <w:rsid w:val="00E92353"/>
    <w:rsid w:val="00E93103"/>
    <w:rsid w:val="00E9310C"/>
    <w:rsid w:val="00E9419D"/>
    <w:rsid w:val="00E941BA"/>
    <w:rsid w:val="00E9455F"/>
    <w:rsid w:val="00E948CB"/>
    <w:rsid w:val="00E949B8"/>
    <w:rsid w:val="00E956EF"/>
    <w:rsid w:val="00E958BA"/>
    <w:rsid w:val="00E96225"/>
    <w:rsid w:val="00E9626D"/>
    <w:rsid w:val="00E96D2D"/>
    <w:rsid w:val="00E96FF6"/>
    <w:rsid w:val="00E9745A"/>
    <w:rsid w:val="00E97723"/>
    <w:rsid w:val="00EA0451"/>
    <w:rsid w:val="00EA0632"/>
    <w:rsid w:val="00EA0645"/>
    <w:rsid w:val="00EA0CD3"/>
    <w:rsid w:val="00EA1F39"/>
    <w:rsid w:val="00EA2328"/>
    <w:rsid w:val="00EA28D9"/>
    <w:rsid w:val="00EA2C9D"/>
    <w:rsid w:val="00EA3860"/>
    <w:rsid w:val="00EA3934"/>
    <w:rsid w:val="00EA417C"/>
    <w:rsid w:val="00EA581B"/>
    <w:rsid w:val="00EA59B3"/>
    <w:rsid w:val="00EA6461"/>
    <w:rsid w:val="00EA7AB7"/>
    <w:rsid w:val="00EA7F2D"/>
    <w:rsid w:val="00EB011E"/>
    <w:rsid w:val="00EB0C37"/>
    <w:rsid w:val="00EB12D8"/>
    <w:rsid w:val="00EB2158"/>
    <w:rsid w:val="00EB430A"/>
    <w:rsid w:val="00EB50F8"/>
    <w:rsid w:val="00EB67CD"/>
    <w:rsid w:val="00EB6F0C"/>
    <w:rsid w:val="00EB7ADA"/>
    <w:rsid w:val="00EC2B3F"/>
    <w:rsid w:val="00EC2CC2"/>
    <w:rsid w:val="00EC3C60"/>
    <w:rsid w:val="00EC3E31"/>
    <w:rsid w:val="00EC501F"/>
    <w:rsid w:val="00EC6973"/>
    <w:rsid w:val="00EC7AB9"/>
    <w:rsid w:val="00ED0B8D"/>
    <w:rsid w:val="00ED1C45"/>
    <w:rsid w:val="00ED2059"/>
    <w:rsid w:val="00ED32E4"/>
    <w:rsid w:val="00ED379C"/>
    <w:rsid w:val="00ED3C89"/>
    <w:rsid w:val="00ED3D36"/>
    <w:rsid w:val="00ED484B"/>
    <w:rsid w:val="00ED4FF4"/>
    <w:rsid w:val="00ED69DD"/>
    <w:rsid w:val="00EE0DE9"/>
    <w:rsid w:val="00EE0E8C"/>
    <w:rsid w:val="00EE101C"/>
    <w:rsid w:val="00EE17E1"/>
    <w:rsid w:val="00EE2792"/>
    <w:rsid w:val="00EE2F44"/>
    <w:rsid w:val="00EE301B"/>
    <w:rsid w:val="00EE3AF7"/>
    <w:rsid w:val="00EE3CD9"/>
    <w:rsid w:val="00EE4C06"/>
    <w:rsid w:val="00EE4D42"/>
    <w:rsid w:val="00EE5DB9"/>
    <w:rsid w:val="00EE64E8"/>
    <w:rsid w:val="00EE668D"/>
    <w:rsid w:val="00EE6A5A"/>
    <w:rsid w:val="00EE6F5A"/>
    <w:rsid w:val="00EF068A"/>
    <w:rsid w:val="00EF071D"/>
    <w:rsid w:val="00EF177D"/>
    <w:rsid w:val="00EF2FAA"/>
    <w:rsid w:val="00EF3B08"/>
    <w:rsid w:val="00EF4900"/>
    <w:rsid w:val="00EF4CFA"/>
    <w:rsid w:val="00EF4EBD"/>
    <w:rsid w:val="00EF5907"/>
    <w:rsid w:val="00EF5F00"/>
    <w:rsid w:val="00EF6463"/>
    <w:rsid w:val="00EF6D6E"/>
    <w:rsid w:val="00EF72DD"/>
    <w:rsid w:val="00EF7337"/>
    <w:rsid w:val="00EF7F1B"/>
    <w:rsid w:val="00F001AF"/>
    <w:rsid w:val="00F01908"/>
    <w:rsid w:val="00F02A80"/>
    <w:rsid w:val="00F03451"/>
    <w:rsid w:val="00F0457F"/>
    <w:rsid w:val="00F066E3"/>
    <w:rsid w:val="00F06844"/>
    <w:rsid w:val="00F06D41"/>
    <w:rsid w:val="00F073B5"/>
    <w:rsid w:val="00F10D5A"/>
    <w:rsid w:val="00F11CE4"/>
    <w:rsid w:val="00F12AB5"/>
    <w:rsid w:val="00F15810"/>
    <w:rsid w:val="00F15F86"/>
    <w:rsid w:val="00F16509"/>
    <w:rsid w:val="00F179B6"/>
    <w:rsid w:val="00F17FE9"/>
    <w:rsid w:val="00F205CC"/>
    <w:rsid w:val="00F20C19"/>
    <w:rsid w:val="00F20E8F"/>
    <w:rsid w:val="00F2131C"/>
    <w:rsid w:val="00F21DA1"/>
    <w:rsid w:val="00F230F1"/>
    <w:rsid w:val="00F253B1"/>
    <w:rsid w:val="00F25877"/>
    <w:rsid w:val="00F262BD"/>
    <w:rsid w:val="00F2634D"/>
    <w:rsid w:val="00F2710E"/>
    <w:rsid w:val="00F2752E"/>
    <w:rsid w:val="00F27FAE"/>
    <w:rsid w:val="00F31A85"/>
    <w:rsid w:val="00F32A24"/>
    <w:rsid w:val="00F32FBA"/>
    <w:rsid w:val="00F33B21"/>
    <w:rsid w:val="00F33BB4"/>
    <w:rsid w:val="00F33DB5"/>
    <w:rsid w:val="00F340F1"/>
    <w:rsid w:val="00F3495A"/>
    <w:rsid w:val="00F34D75"/>
    <w:rsid w:val="00F3676B"/>
    <w:rsid w:val="00F36838"/>
    <w:rsid w:val="00F37E71"/>
    <w:rsid w:val="00F41530"/>
    <w:rsid w:val="00F41E88"/>
    <w:rsid w:val="00F4248F"/>
    <w:rsid w:val="00F4255F"/>
    <w:rsid w:val="00F426CA"/>
    <w:rsid w:val="00F42E2F"/>
    <w:rsid w:val="00F43152"/>
    <w:rsid w:val="00F43DA7"/>
    <w:rsid w:val="00F43FD0"/>
    <w:rsid w:val="00F441B1"/>
    <w:rsid w:val="00F44C71"/>
    <w:rsid w:val="00F45A22"/>
    <w:rsid w:val="00F45A59"/>
    <w:rsid w:val="00F463A9"/>
    <w:rsid w:val="00F464B1"/>
    <w:rsid w:val="00F47394"/>
    <w:rsid w:val="00F47952"/>
    <w:rsid w:val="00F479D0"/>
    <w:rsid w:val="00F47BDA"/>
    <w:rsid w:val="00F47CEB"/>
    <w:rsid w:val="00F500AF"/>
    <w:rsid w:val="00F50C90"/>
    <w:rsid w:val="00F50E09"/>
    <w:rsid w:val="00F518B7"/>
    <w:rsid w:val="00F52B34"/>
    <w:rsid w:val="00F532DA"/>
    <w:rsid w:val="00F54035"/>
    <w:rsid w:val="00F54422"/>
    <w:rsid w:val="00F546B8"/>
    <w:rsid w:val="00F55002"/>
    <w:rsid w:val="00F558B5"/>
    <w:rsid w:val="00F5657E"/>
    <w:rsid w:val="00F5669C"/>
    <w:rsid w:val="00F60296"/>
    <w:rsid w:val="00F60A08"/>
    <w:rsid w:val="00F61EC2"/>
    <w:rsid w:val="00F62CEC"/>
    <w:rsid w:val="00F6362D"/>
    <w:rsid w:val="00F64A7A"/>
    <w:rsid w:val="00F64D75"/>
    <w:rsid w:val="00F664AE"/>
    <w:rsid w:val="00F66828"/>
    <w:rsid w:val="00F66C80"/>
    <w:rsid w:val="00F70295"/>
    <w:rsid w:val="00F7104D"/>
    <w:rsid w:val="00F7146B"/>
    <w:rsid w:val="00F71927"/>
    <w:rsid w:val="00F719ED"/>
    <w:rsid w:val="00F71BD2"/>
    <w:rsid w:val="00F71BF0"/>
    <w:rsid w:val="00F72E4B"/>
    <w:rsid w:val="00F73D42"/>
    <w:rsid w:val="00F75C96"/>
    <w:rsid w:val="00F75FB4"/>
    <w:rsid w:val="00F7613F"/>
    <w:rsid w:val="00F762F3"/>
    <w:rsid w:val="00F76C7B"/>
    <w:rsid w:val="00F7710F"/>
    <w:rsid w:val="00F77341"/>
    <w:rsid w:val="00F80F63"/>
    <w:rsid w:val="00F81013"/>
    <w:rsid w:val="00F82B46"/>
    <w:rsid w:val="00F82F4D"/>
    <w:rsid w:val="00F831AA"/>
    <w:rsid w:val="00F83618"/>
    <w:rsid w:val="00F83855"/>
    <w:rsid w:val="00F83944"/>
    <w:rsid w:val="00F83E4B"/>
    <w:rsid w:val="00F849F2"/>
    <w:rsid w:val="00F84A75"/>
    <w:rsid w:val="00F85339"/>
    <w:rsid w:val="00F85823"/>
    <w:rsid w:val="00F85BB6"/>
    <w:rsid w:val="00F85C6E"/>
    <w:rsid w:val="00F85FF0"/>
    <w:rsid w:val="00F863BF"/>
    <w:rsid w:val="00F87594"/>
    <w:rsid w:val="00F8766A"/>
    <w:rsid w:val="00F87737"/>
    <w:rsid w:val="00F90DC9"/>
    <w:rsid w:val="00F91827"/>
    <w:rsid w:val="00F91DBB"/>
    <w:rsid w:val="00F91F31"/>
    <w:rsid w:val="00F92347"/>
    <w:rsid w:val="00F92A18"/>
    <w:rsid w:val="00F93053"/>
    <w:rsid w:val="00F930BC"/>
    <w:rsid w:val="00F93D8C"/>
    <w:rsid w:val="00F93F4D"/>
    <w:rsid w:val="00F94A32"/>
    <w:rsid w:val="00F9593B"/>
    <w:rsid w:val="00F95A91"/>
    <w:rsid w:val="00F95E0D"/>
    <w:rsid w:val="00F97B7B"/>
    <w:rsid w:val="00FA0281"/>
    <w:rsid w:val="00FA044D"/>
    <w:rsid w:val="00FA08FD"/>
    <w:rsid w:val="00FA0B79"/>
    <w:rsid w:val="00FA0E9D"/>
    <w:rsid w:val="00FA160C"/>
    <w:rsid w:val="00FA1674"/>
    <w:rsid w:val="00FA2227"/>
    <w:rsid w:val="00FA2284"/>
    <w:rsid w:val="00FA2597"/>
    <w:rsid w:val="00FA3CDD"/>
    <w:rsid w:val="00FA4A8D"/>
    <w:rsid w:val="00FA5294"/>
    <w:rsid w:val="00FA5306"/>
    <w:rsid w:val="00FA6937"/>
    <w:rsid w:val="00FA7585"/>
    <w:rsid w:val="00FA7F24"/>
    <w:rsid w:val="00FB011D"/>
    <w:rsid w:val="00FB0D21"/>
    <w:rsid w:val="00FB10DE"/>
    <w:rsid w:val="00FB19E8"/>
    <w:rsid w:val="00FB1E7C"/>
    <w:rsid w:val="00FB2CAC"/>
    <w:rsid w:val="00FB2F63"/>
    <w:rsid w:val="00FB326D"/>
    <w:rsid w:val="00FB388D"/>
    <w:rsid w:val="00FB4BF6"/>
    <w:rsid w:val="00FB7206"/>
    <w:rsid w:val="00FB74A0"/>
    <w:rsid w:val="00FB7823"/>
    <w:rsid w:val="00FB7888"/>
    <w:rsid w:val="00FC0888"/>
    <w:rsid w:val="00FC0AB2"/>
    <w:rsid w:val="00FC0B05"/>
    <w:rsid w:val="00FC0D72"/>
    <w:rsid w:val="00FC1D2C"/>
    <w:rsid w:val="00FC32ED"/>
    <w:rsid w:val="00FC3CF7"/>
    <w:rsid w:val="00FC49EC"/>
    <w:rsid w:val="00FC508E"/>
    <w:rsid w:val="00FC55CB"/>
    <w:rsid w:val="00FC5734"/>
    <w:rsid w:val="00FC69FC"/>
    <w:rsid w:val="00FC6A68"/>
    <w:rsid w:val="00FD00E8"/>
    <w:rsid w:val="00FD0221"/>
    <w:rsid w:val="00FD054C"/>
    <w:rsid w:val="00FD110B"/>
    <w:rsid w:val="00FD118F"/>
    <w:rsid w:val="00FD2DB1"/>
    <w:rsid w:val="00FD3C22"/>
    <w:rsid w:val="00FD4377"/>
    <w:rsid w:val="00FD44AD"/>
    <w:rsid w:val="00FD4712"/>
    <w:rsid w:val="00FD4899"/>
    <w:rsid w:val="00FD4CE1"/>
    <w:rsid w:val="00FD6057"/>
    <w:rsid w:val="00FD6E0F"/>
    <w:rsid w:val="00FE0156"/>
    <w:rsid w:val="00FE0295"/>
    <w:rsid w:val="00FE056C"/>
    <w:rsid w:val="00FE0729"/>
    <w:rsid w:val="00FE17AC"/>
    <w:rsid w:val="00FE2C2D"/>
    <w:rsid w:val="00FE326D"/>
    <w:rsid w:val="00FE3292"/>
    <w:rsid w:val="00FE34DC"/>
    <w:rsid w:val="00FE3A9B"/>
    <w:rsid w:val="00FE3D87"/>
    <w:rsid w:val="00FE4B7B"/>
    <w:rsid w:val="00FE4FE8"/>
    <w:rsid w:val="00FE505D"/>
    <w:rsid w:val="00FE5C3B"/>
    <w:rsid w:val="00FE5CAE"/>
    <w:rsid w:val="00FE5D4A"/>
    <w:rsid w:val="00FE6174"/>
    <w:rsid w:val="00FE6F20"/>
    <w:rsid w:val="00FE79E6"/>
    <w:rsid w:val="00FE7C1A"/>
    <w:rsid w:val="00FE7F1B"/>
    <w:rsid w:val="00FF046A"/>
    <w:rsid w:val="00FF1264"/>
    <w:rsid w:val="00FF1A16"/>
    <w:rsid w:val="00FF213C"/>
    <w:rsid w:val="00FF3383"/>
    <w:rsid w:val="00FF3BBC"/>
    <w:rsid w:val="00FF44AE"/>
    <w:rsid w:val="00FF46C6"/>
    <w:rsid w:val="00FF4A74"/>
    <w:rsid w:val="00FF4C5A"/>
    <w:rsid w:val="00FF4C71"/>
    <w:rsid w:val="00FF51A4"/>
    <w:rsid w:val="00FF59C9"/>
    <w:rsid w:val="00FF6742"/>
    <w:rsid w:val="00FF717A"/>
    <w:rsid w:val="00FF7A0C"/>
    <w:rsid w:val="00FF7FEE"/>
    <w:rsid w:val="02592115"/>
    <w:rsid w:val="025C4DA7"/>
    <w:rsid w:val="03C05008"/>
    <w:rsid w:val="041901C7"/>
    <w:rsid w:val="078D026C"/>
    <w:rsid w:val="09817596"/>
    <w:rsid w:val="09E91986"/>
    <w:rsid w:val="0A8159EF"/>
    <w:rsid w:val="0B14133A"/>
    <w:rsid w:val="0BCE30B8"/>
    <w:rsid w:val="0D23109A"/>
    <w:rsid w:val="0F6A0BD0"/>
    <w:rsid w:val="10713580"/>
    <w:rsid w:val="10B0706C"/>
    <w:rsid w:val="13DD5026"/>
    <w:rsid w:val="14015E72"/>
    <w:rsid w:val="154767F6"/>
    <w:rsid w:val="15674095"/>
    <w:rsid w:val="15D70575"/>
    <w:rsid w:val="17DF39DC"/>
    <w:rsid w:val="1C8A7070"/>
    <w:rsid w:val="1CEA07BA"/>
    <w:rsid w:val="1D9537B3"/>
    <w:rsid w:val="1E4A35C1"/>
    <w:rsid w:val="1FA93A1E"/>
    <w:rsid w:val="208B7373"/>
    <w:rsid w:val="2184235D"/>
    <w:rsid w:val="284B47B1"/>
    <w:rsid w:val="292048C4"/>
    <w:rsid w:val="29450B9A"/>
    <w:rsid w:val="297301CA"/>
    <w:rsid w:val="29C03AD7"/>
    <w:rsid w:val="2A41490A"/>
    <w:rsid w:val="2C727D5D"/>
    <w:rsid w:val="2EA64631"/>
    <w:rsid w:val="2F53084F"/>
    <w:rsid w:val="30036A3D"/>
    <w:rsid w:val="31710936"/>
    <w:rsid w:val="31DE6089"/>
    <w:rsid w:val="31F20FFF"/>
    <w:rsid w:val="32B819F1"/>
    <w:rsid w:val="32E41F1F"/>
    <w:rsid w:val="32E974D3"/>
    <w:rsid w:val="33F7044F"/>
    <w:rsid w:val="34180462"/>
    <w:rsid w:val="347B62B0"/>
    <w:rsid w:val="362B32E5"/>
    <w:rsid w:val="373352F8"/>
    <w:rsid w:val="3857585E"/>
    <w:rsid w:val="38D6366C"/>
    <w:rsid w:val="38F81C85"/>
    <w:rsid w:val="39C51E54"/>
    <w:rsid w:val="3C8850F4"/>
    <w:rsid w:val="3D476EDF"/>
    <w:rsid w:val="3E363367"/>
    <w:rsid w:val="3F260716"/>
    <w:rsid w:val="409D6CA8"/>
    <w:rsid w:val="436C1CAB"/>
    <w:rsid w:val="44AD4F79"/>
    <w:rsid w:val="44BB7769"/>
    <w:rsid w:val="44F71FE6"/>
    <w:rsid w:val="46C14A80"/>
    <w:rsid w:val="4A8C6B54"/>
    <w:rsid w:val="4E8D34E4"/>
    <w:rsid w:val="50005CD0"/>
    <w:rsid w:val="526B3F89"/>
    <w:rsid w:val="537517FC"/>
    <w:rsid w:val="53BE17F7"/>
    <w:rsid w:val="54D4350C"/>
    <w:rsid w:val="54EC5875"/>
    <w:rsid w:val="552832EE"/>
    <w:rsid w:val="55C33307"/>
    <w:rsid w:val="55F70AE6"/>
    <w:rsid w:val="56234C57"/>
    <w:rsid w:val="562E3F2D"/>
    <w:rsid w:val="57796194"/>
    <w:rsid w:val="593C1ADD"/>
    <w:rsid w:val="5A67489D"/>
    <w:rsid w:val="62106F85"/>
    <w:rsid w:val="631E03E8"/>
    <w:rsid w:val="634402B4"/>
    <w:rsid w:val="64EC2761"/>
    <w:rsid w:val="66FC6DC8"/>
    <w:rsid w:val="68C55F71"/>
    <w:rsid w:val="69F5068D"/>
    <w:rsid w:val="6A9D3DC4"/>
    <w:rsid w:val="6FB03B84"/>
    <w:rsid w:val="705B0F61"/>
    <w:rsid w:val="710C7916"/>
    <w:rsid w:val="7282126C"/>
    <w:rsid w:val="74AB4274"/>
    <w:rsid w:val="753E745B"/>
    <w:rsid w:val="761B705D"/>
    <w:rsid w:val="780C178E"/>
    <w:rsid w:val="78D66076"/>
    <w:rsid w:val="792E0506"/>
    <w:rsid w:val="7B6C638A"/>
    <w:rsid w:val="7D592DB3"/>
    <w:rsid w:val="7E3E3B83"/>
    <w:rsid w:val="7EE3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8"/>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link w:val="59"/>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0"/>
    <w:autoRedefine/>
    <w:qFormat/>
    <w:uiPriority w:val="0"/>
    <w:pPr>
      <w:keepNext/>
      <w:keepLines/>
      <w:spacing w:before="260" w:after="260" w:line="413" w:lineRule="auto"/>
      <w:outlineLvl w:val="2"/>
    </w:pPr>
    <w:rPr>
      <w:b/>
      <w:bCs/>
      <w:sz w:val="32"/>
      <w:szCs w:val="32"/>
    </w:rPr>
  </w:style>
  <w:style w:type="paragraph" w:styleId="5">
    <w:name w:val="heading 4"/>
    <w:basedOn w:val="1"/>
    <w:next w:val="1"/>
    <w:link w:val="61"/>
    <w:autoRedefine/>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spacing w:before="280" w:after="290" w:line="376" w:lineRule="auto"/>
      <w:outlineLvl w:val="4"/>
    </w:pPr>
    <w:rPr>
      <w:b/>
      <w:bCs/>
      <w:sz w:val="28"/>
      <w:szCs w:val="28"/>
    </w:rPr>
  </w:style>
  <w:style w:type="paragraph" w:styleId="7">
    <w:name w:val="heading 6"/>
    <w:basedOn w:val="1"/>
    <w:next w:val="1"/>
    <w:link w:val="63"/>
    <w:autoRedefine/>
    <w:qFormat/>
    <w:uiPriority w:val="0"/>
    <w:pPr>
      <w:keepNext/>
      <w:keepLines/>
      <w:widowControl/>
      <w:tabs>
        <w:tab w:val="left" w:pos="1440"/>
        <w:tab w:val="left" w:pos="1830"/>
      </w:tabs>
      <w:spacing w:before="240" w:after="64" w:line="317" w:lineRule="auto"/>
      <w:ind w:left="1830" w:hanging="360"/>
      <w:jc w:val="left"/>
      <w:outlineLvl w:val="5"/>
    </w:pPr>
    <w:rPr>
      <w:rFonts w:ascii="Arial" w:hAnsi="Arial" w:eastAsia="黑体"/>
      <w:b/>
      <w:bCs/>
      <w:kern w:val="0"/>
      <w:sz w:val="24"/>
      <w:szCs w:val="24"/>
    </w:rPr>
  </w:style>
  <w:style w:type="paragraph" w:styleId="8">
    <w:name w:val="heading 7"/>
    <w:basedOn w:val="1"/>
    <w:next w:val="1"/>
    <w:link w:val="64"/>
    <w:autoRedefine/>
    <w:qFormat/>
    <w:uiPriority w:val="0"/>
    <w:pPr>
      <w:keepNext/>
      <w:keepLines/>
      <w:widowControl/>
      <w:tabs>
        <w:tab w:val="left" w:pos="1830"/>
        <w:tab w:val="left" w:pos="2520"/>
      </w:tabs>
      <w:spacing w:before="240" w:after="64" w:line="317" w:lineRule="auto"/>
      <w:ind w:left="1830" w:hanging="360"/>
      <w:jc w:val="left"/>
      <w:outlineLvl w:val="6"/>
    </w:pPr>
    <w:rPr>
      <w:b/>
      <w:bCs/>
      <w:kern w:val="0"/>
      <w:sz w:val="24"/>
      <w:szCs w:val="24"/>
    </w:rPr>
  </w:style>
  <w:style w:type="paragraph" w:styleId="9">
    <w:name w:val="heading 8"/>
    <w:basedOn w:val="1"/>
    <w:next w:val="1"/>
    <w:link w:val="65"/>
    <w:autoRedefine/>
    <w:qFormat/>
    <w:uiPriority w:val="0"/>
    <w:pPr>
      <w:keepNext/>
      <w:keepLines/>
      <w:widowControl/>
      <w:tabs>
        <w:tab w:val="left" w:pos="1440"/>
        <w:tab w:val="left" w:pos="1830"/>
      </w:tabs>
      <w:spacing w:before="240" w:after="64" w:line="317" w:lineRule="auto"/>
      <w:ind w:left="1830" w:hanging="360"/>
      <w:jc w:val="left"/>
      <w:outlineLvl w:val="7"/>
    </w:pPr>
    <w:rPr>
      <w:rFonts w:ascii="Arial" w:hAnsi="Arial" w:eastAsia="黑体"/>
      <w:kern w:val="0"/>
      <w:sz w:val="24"/>
      <w:szCs w:val="24"/>
    </w:rPr>
  </w:style>
  <w:style w:type="paragraph" w:styleId="10">
    <w:name w:val="heading 9"/>
    <w:basedOn w:val="1"/>
    <w:next w:val="1"/>
    <w:link w:val="66"/>
    <w:autoRedefine/>
    <w:qFormat/>
    <w:uiPriority w:val="0"/>
    <w:pPr>
      <w:keepNext/>
      <w:keepLines/>
      <w:widowControl/>
      <w:tabs>
        <w:tab w:val="left" w:pos="1584"/>
        <w:tab w:val="left" w:pos="1830"/>
      </w:tabs>
      <w:spacing w:before="240" w:after="64" w:line="317" w:lineRule="auto"/>
      <w:ind w:left="1830" w:hanging="360"/>
      <w:jc w:val="left"/>
      <w:outlineLvl w:val="8"/>
    </w:pPr>
    <w:rPr>
      <w:rFonts w:ascii="Arial" w:hAnsi="Arial" w:eastAsia="黑体"/>
      <w:kern w:val="0"/>
      <w:szCs w:val="21"/>
    </w:rPr>
  </w:style>
  <w:style w:type="character" w:default="1" w:styleId="51">
    <w:name w:val="Default Paragraph Font"/>
    <w:autoRedefine/>
    <w:unhideWhenUsed/>
    <w:qFormat/>
    <w:uiPriority w:val="1"/>
  </w:style>
  <w:style w:type="table" w:default="1" w:styleId="49">
    <w:name w:val="Normal Table"/>
    <w:autoRedefine/>
    <w:unhideWhenUsed/>
    <w:qFormat/>
    <w:uiPriority w:val="99"/>
    <w:tblPr>
      <w:tblCellMar>
        <w:top w:w="0" w:type="dxa"/>
        <w:left w:w="108" w:type="dxa"/>
        <w:bottom w:w="0" w:type="dxa"/>
        <w:right w:w="108" w:type="dxa"/>
      </w:tblCellMar>
    </w:tblPr>
  </w:style>
  <w:style w:type="paragraph" w:styleId="11">
    <w:name w:val="List 3"/>
    <w:basedOn w:val="12"/>
    <w:autoRedefine/>
    <w:qFormat/>
    <w:uiPriority w:val="0"/>
    <w:pPr>
      <w:widowControl/>
      <w:spacing w:after="120" w:line="240" w:lineRule="atLeast"/>
      <w:ind w:left="0" w:firstLine="0"/>
    </w:pPr>
    <w:rPr>
      <w:rFonts w:eastAsia="PMingLiU" w:cs="Arial"/>
      <w:spacing w:val="-5"/>
      <w:kern w:val="0"/>
      <w:sz w:val="20"/>
      <w:lang w:eastAsia="zh-TW"/>
    </w:rPr>
  </w:style>
  <w:style w:type="paragraph" w:styleId="12">
    <w:name w:val="List"/>
    <w:basedOn w:val="1"/>
    <w:autoRedefine/>
    <w:qFormat/>
    <w:uiPriority w:val="0"/>
    <w:pPr>
      <w:ind w:left="420" w:hanging="420"/>
    </w:pPr>
    <w:rPr>
      <w:rFonts w:ascii="Arial" w:hAnsi="Arial" w:eastAsia="楷体_GB2312"/>
      <w:sz w:val="28"/>
    </w:rPr>
  </w:style>
  <w:style w:type="paragraph" w:styleId="13">
    <w:name w:val="toc 7"/>
    <w:basedOn w:val="1"/>
    <w:next w:val="1"/>
    <w:autoRedefine/>
    <w:qFormat/>
    <w:uiPriority w:val="0"/>
    <w:pPr>
      <w:ind w:left="2520" w:leftChars="1200"/>
    </w:pPr>
  </w:style>
  <w:style w:type="paragraph" w:styleId="14">
    <w:name w:val="Normal Indent"/>
    <w:basedOn w:val="1"/>
    <w:link w:val="67"/>
    <w:autoRedefine/>
    <w:qFormat/>
    <w:uiPriority w:val="0"/>
    <w:pPr>
      <w:adjustRightInd w:val="0"/>
      <w:spacing w:line="360" w:lineRule="atLeast"/>
      <w:ind w:firstLine="482"/>
      <w:textAlignment w:val="baseline"/>
    </w:pPr>
    <w:rPr>
      <w:kern w:val="0"/>
      <w:sz w:val="24"/>
    </w:rPr>
  </w:style>
  <w:style w:type="paragraph" w:styleId="15">
    <w:name w:val="caption"/>
    <w:basedOn w:val="1"/>
    <w:next w:val="1"/>
    <w:autoRedefine/>
    <w:qFormat/>
    <w:uiPriority w:val="0"/>
    <w:rPr>
      <w:rFonts w:ascii="Cambria" w:hAnsi="Cambria" w:eastAsia="黑体"/>
      <w:sz w:val="20"/>
    </w:rPr>
  </w:style>
  <w:style w:type="paragraph" w:styleId="16">
    <w:name w:val="Document Map"/>
    <w:basedOn w:val="1"/>
    <w:link w:val="68"/>
    <w:autoRedefine/>
    <w:qFormat/>
    <w:uiPriority w:val="0"/>
    <w:rPr>
      <w:rFonts w:ascii="宋体"/>
      <w:sz w:val="18"/>
      <w:szCs w:val="18"/>
    </w:rPr>
  </w:style>
  <w:style w:type="paragraph" w:styleId="17">
    <w:name w:val="toa heading"/>
    <w:basedOn w:val="1"/>
    <w:next w:val="1"/>
    <w:autoRedefine/>
    <w:qFormat/>
    <w:uiPriority w:val="0"/>
    <w:pPr>
      <w:spacing w:before="120"/>
    </w:pPr>
    <w:rPr>
      <w:rFonts w:ascii="Arial" w:hAnsi="Arial"/>
      <w:b/>
      <w:bCs/>
      <w:szCs w:val="24"/>
    </w:rPr>
  </w:style>
  <w:style w:type="paragraph" w:styleId="18">
    <w:name w:val="annotation text"/>
    <w:basedOn w:val="1"/>
    <w:link w:val="69"/>
    <w:autoRedefine/>
    <w:semiHidden/>
    <w:qFormat/>
    <w:uiPriority w:val="0"/>
    <w:pPr>
      <w:jc w:val="left"/>
    </w:pPr>
  </w:style>
  <w:style w:type="paragraph" w:styleId="19">
    <w:name w:val="Body Text"/>
    <w:basedOn w:val="1"/>
    <w:link w:val="70"/>
    <w:autoRedefine/>
    <w:qFormat/>
    <w:uiPriority w:val="0"/>
    <w:pPr>
      <w:jc w:val="left"/>
    </w:pPr>
    <w:rPr>
      <w:rFonts w:ascii="Arial" w:hAnsi="Arial" w:eastAsia="黑体"/>
      <w:b/>
      <w:sz w:val="32"/>
    </w:rPr>
  </w:style>
  <w:style w:type="paragraph" w:styleId="20">
    <w:name w:val="Body Text Indent"/>
    <w:basedOn w:val="1"/>
    <w:next w:val="21"/>
    <w:link w:val="71"/>
    <w:autoRedefine/>
    <w:qFormat/>
    <w:uiPriority w:val="0"/>
    <w:pPr>
      <w:ind w:firstLine="645"/>
    </w:pPr>
    <w:rPr>
      <w:rFonts w:ascii="Arial" w:hAnsi="Arial" w:eastAsia="仿宋_GB2312"/>
      <w:sz w:val="28"/>
    </w:rPr>
  </w:style>
  <w:style w:type="paragraph" w:styleId="21">
    <w:name w:val="envelope return"/>
    <w:basedOn w:val="1"/>
    <w:autoRedefine/>
    <w:unhideWhenUsed/>
    <w:qFormat/>
    <w:uiPriority w:val="99"/>
    <w:pPr>
      <w:snapToGrid w:val="0"/>
    </w:pPr>
    <w:rPr>
      <w:rFonts w:hint="eastAsia" w:ascii="Arial" w:hAnsi="Arial"/>
      <w:sz w:val="24"/>
    </w:rPr>
  </w:style>
  <w:style w:type="paragraph" w:styleId="22">
    <w:name w:val="List 2"/>
    <w:basedOn w:val="1"/>
    <w:next w:val="1"/>
    <w:autoRedefine/>
    <w:qFormat/>
    <w:uiPriority w:val="0"/>
    <w:pPr>
      <w:widowControl/>
      <w:tabs>
        <w:tab w:val="left" w:pos="1440"/>
      </w:tabs>
      <w:spacing w:after="120"/>
      <w:ind w:left="1440" w:hanging="360"/>
    </w:pPr>
    <w:rPr>
      <w:rFonts w:ascii="Arial" w:hAnsi="Arial" w:eastAsia="PMingLiU" w:cs="Arial"/>
      <w:spacing w:val="-5"/>
      <w:kern w:val="0"/>
      <w:sz w:val="20"/>
      <w:lang w:eastAsia="zh-TW"/>
    </w:rPr>
  </w:style>
  <w:style w:type="paragraph" w:styleId="23">
    <w:name w:val="index 4"/>
    <w:basedOn w:val="1"/>
    <w:next w:val="1"/>
    <w:autoRedefine/>
    <w:unhideWhenUsed/>
    <w:qFormat/>
    <w:uiPriority w:val="0"/>
    <w:pPr>
      <w:ind w:left="600" w:leftChars="600"/>
    </w:pPr>
    <w:rPr>
      <w:szCs w:val="24"/>
    </w:rPr>
  </w:style>
  <w:style w:type="paragraph" w:styleId="24">
    <w:name w:val="toc 5"/>
    <w:basedOn w:val="1"/>
    <w:next w:val="1"/>
    <w:autoRedefine/>
    <w:qFormat/>
    <w:uiPriority w:val="0"/>
    <w:pPr>
      <w:ind w:left="1680" w:leftChars="800"/>
    </w:pPr>
  </w:style>
  <w:style w:type="paragraph" w:styleId="25">
    <w:name w:val="toc 3"/>
    <w:basedOn w:val="1"/>
    <w:next w:val="1"/>
    <w:autoRedefine/>
    <w:qFormat/>
    <w:uiPriority w:val="0"/>
    <w:pPr>
      <w:ind w:left="840" w:leftChars="400"/>
    </w:pPr>
  </w:style>
  <w:style w:type="paragraph" w:styleId="26">
    <w:name w:val="Plain Text"/>
    <w:basedOn w:val="1"/>
    <w:link w:val="72"/>
    <w:autoRedefine/>
    <w:qFormat/>
    <w:uiPriority w:val="0"/>
    <w:rPr>
      <w:rFonts w:ascii="宋体" w:hAnsi="Courier New"/>
    </w:rPr>
  </w:style>
  <w:style w:type="paragraph" w:styleId="27">
    <w:name w:val="toc 8"/>
    <w:basedOn w:val="1"/>
    <w:next w:val="1"/>
    <w:autoRedefine/>
    <w:qFormat/>
    <w:uiPriority w:val="0"/>
    <w:pPr>
      <w:ind w:left="2940" w:leftChars="1400"/>
    </w:pPr>
  </w:style>
  <w:style w:type="paragraph" w:styleId="28">
    <w:name w:val="Date"/>
    <w:basedOn w:val="1"/>
    <w:next w:val="1"/>
    <w:link w:val="73"/>
    <w:autoRedefine/>
    <w:qFormat/>
    <w:uiPriority w:val="0"/>
    <w:rPr>
      <w:rFonts w:ascii="仿宋_GB2312" w:eastAsia="仿宋_GB2312"/>
      <w:sz w:val="30"/>
      <w:lang w:bidi="he-IL"/>
    </w:rPr>
  </w:style>
  <w:style w:type="paragraph" w:styleId="29">
    <w:name w:val="Body Text Indent 2"/>
    <w:basedOn w:val="1"/>
    <w:autoRedefine/>
    <w:qFormat/>
    <w:uiPriority w:val="0"/>
    <w:pPr>
      <w:ind w:firstLine="570"/>
    </w:pPr>
    <w:rPr>
      <w:rFonts w:ascii="Arial" w:hAnsi="Arial" w:eastAsia="仿宋_GB2312"/>
      <w:b/>
      <w:sz w:val="28"/>
    </w:rPr>
  </w:style>
  <w:style w:type="paragraph" w:styleId="30">
    <w:name w:val="Balloon Text"/>
    <w:basedOn w:val="1"/>
    <w:link w:val="74"/>
    <w:autoRedefine/>
    <w:qFormat/>
    <w:uiPriority w:val="0"/>
    <w:rPr>
      <w:sz w:val="18"/>
      <w:szCs w:val="18"/>
    </w:rPr>
  </w:style>
  <w:style w:type="paragraph" w:styleId="31">
    <w:name w:val="footer"/>
    <w:basedOn w:val="1"/>
    <w:link w:val="75"/>
    <w:autoRedefine/>
    <w:qFormat/>
    <w:uiPriority w:val="0"/>
    <w:pPr>
      <w:tabs>
        <w:tab w:val="center" w:pos="4153"/>
        <w:tab w:val="right" w:pos="8306"/>
      </w:tabs>
      <w:snapToGrid w:val="0"/>
      <w:jc w:val="left"/>
    </w:pPr>
    <w:rPr>
      <w:sz w:val="18"/>
      <w:lang w:bidi="he-IL"/>
    </w:rPr>
  </w:style>
  <w:style w:type="paragraph" w:styleId="32">
    <w:name w:val="header"/>
    <w:basedOn w:val="1"/>
    <w:link w:val="76"/>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34"/>
    <w:next w:val="1"/>
    <w:autoRedefine/>
    <w:qFormat/>
    <w:uiPriority w:val="39"/>
    <w:rPr>
      <w:rFonts w:eastAsia="黑体"/>
      <w:sz w:val="28"/>
    </w:rPr>
  </w:style>
  <w:style w:type="paragraph" w:styleId="34">
    <w:name w:val="index 1"/>
    <w:basedOn w:val="1"/>
    <w:next w:val="1"/>
    <w:autoRedefine/>
    <w:qFormat/>
    <w:uiPriority w:val="0"/>
    <w:rPr>
      <w:rFonts w:eastAsia="仿宋_GB2312"/>
      <w:b/>
      <w:sz w:val="24"/>
    </w:rPr>
  </w:style>
  <w:style w:type="paragraph" w:styleId="35">
    <w:name w:val="toc 4"/>
    <w:basedOn w:val="1"/>
    <w:next w:val="1"/>
    <w:autoRedefine/>
    <w:qFormat/>
    <w:uiPriority w:val="0"/>
    <w:pPr>
      <w:ind w:left="1260" w:leftChars="600"/>
    </w:pPr>
  </w:style>
  <w:style w:type="paragraph" w:styleId="36">
    <w:name w:val="Subtitle"/>
    <w:basedOn w:val="1"/>
    <w:next w:val="1"/>
    <w:link w:val="77"/>
    <w:autoRedefine/>
    <w:qFormat/>
    <w:uiPriority w:val="0"/>
    <w:pPr>
      <w:spacing w:before="240" w:after="60" w:line="312" w:lineRule="auto"/>
      <w:jc w:val="center"/>
      <w:outlineLvl w:val="1"/>
    </w:pPr>
    <w:rPr>
      <w:sz w:val="18"/>
      <w:szCs w:val="18"/>
    </w:rPr>
  </w:style>
  <w:style w:type="paragraph" w:styleId="37">
    <w:name w:val="toc 6"/>
    <w:basedOn w:val="1"/>
    <w:next w:val="1"/>
    <w:autoRedefine/>
    <w:qFormat/>
    <w:uiPriority w:val="0"/>
    <w:pPr>
      <w:ind w:left="2100" w:leftChars="1000"/>
    </w:pPr>
  </w:style>
  <w:style w:type="paragraph" w:styleId="38">
    <w:name w:val="Body Text Indent 3"/>
    <w:basedOn w:val="1"/>
    <w:link w:val="78"/>
    <w:autoRedefine/>
    <w:qFormat/>
    <w:uiPriority w:val="0"/>
    <w:pPr>
      <w:ind w:left="2" w:firstLine="628" w:firstLineChars="196"/>
    </w:pPr>
    <w:rPr>
      <w:rFonts w:ascii="Arial" w:hAnsi="Arial" w:eastAsia="仿宋_GB2312"/>
      <w:b/>
      <w:sz w:val="32"/>
      <w:lang w:bidi="he-IL"/>
    </w:rPr>
  </w:style>
  <w:style w:type="paragraph" w:styleId="39">
    <w:name w:val="toc 2"/>
    <w:basedOn w:val="40"/>
    <w:next w:val="40"/>
    <w:autoRedefine/>
    <w:qFormat/>
    <w:uiPriority w:val="39"/>
    <w:pPr>
      <w:ind w:left="420"/>
    </w:pPr>
    <w:rPr>
      <w:rFonts w:eastAsia="仿宋_GB2312"/>
      <w:b/>
      <w:sz w:val="24"/>
    </w:rPr>
  </w:style>
  <w:style w:type="paragraph" w:styleId="40">
    <w:name w:val="index 2"/>
    <w:basedOn w:val="1"/>
    <w:next w:val="1"/>
    <w:autoRedefine/>
    <w:qFormat/>
    <w:uiPriority w:val="0"/>
    <w:pPr>
      <w:ind w:left="200" w:leftChars="200"/>
    </w:pPr>
  </w:style>
  <w:style w:type="paragraph" w:styleId="41">
    <w:name w:val="toc 9"/>
    <w:basedOn w:val="1"/>
    <w:next w:val="1"/>
    <w:autoRedefine/>
    <w:qFormat/>
    <w:uiPriority w:val="0"/>
    <w:pPr>
      <w:ind w:left="3360" w:leftChars="1600"/>
    </w:pPr>
  </w:style>
  <w:style w:type="paragraph" w:styleId="42">
    <w:name w:val="Body Text 2"/>
    <w:basedOn w:val="1"/>
    <w:autoRedefine/>
    <w:qFormat/>
    <w:uiPriority w:val="0"/>
    <w:pPr>
      <w:spacing w:after="120" w:line="480" w:lineRule="auto"/>
    </w:pPr>
  </w:style>
  <w:style w:type="paragraph" w:styleId="43">
    <w:name w:val="HTML Preformatted"/>
    <w:basedOn w:val="1"/>
    <w:link w:val="7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4">
    <w:name w:val="Normal (Web)"/>
    <w:basedOn w:val="1"/>
    <w:autoRedefine/>
    <w:unhideWhenUsed/>
    <w:qFormat/>
    <w:uiPriority w:val="0"/>
    <w:pPr>
      <w:widowControl/>
      <w:spacing w:before="100" w:beforeAutospacing="1" w:after="100" w:afterAutospacing="1" w:line="320" w:lineRule="atLeast"/>
      <w:jc w:val="left"/>
    </w:pPr>
    <w:rPr>
      <w:rFonts w:ascii="宋体" w:hAnsi="宋体"/>
      <w:kern w:val="0"/>
      <w:sz w:val="18"/>
      <w:szCs w:val="18"/>
    </w:rPr>
  </w:style>
  <w:style w:type="paragraph" w:styleId="45">
    <w:name w:val="Title"/>
    <w:basedOn w:val="1"/>
    <w:next w:val="1"/>
    <w:link w:val="80"/>
    <w:autoRedefine/>
    <w:qFormat/>
    <w:uiPriority w:val="0"/>
    <w:pPr>
      <w:spacing w:before="240" w:after="60"/>
      <w:jc w:val="center"/>
      <w:outlineLvl w:val="0"/>
    </w:pPr>
    <w:rPr>
      <w:sz w:val="18"/>
      <w:szCs w:val="18"/>
    </w:rPr>
  </w:style>
  <w:style w:type="paragraph" w:styleId="46">
    <w:name w:val="annotation subject"/>
    <w:basedOn w:val="18"/>
    <w:next w:val="18"/>
    <w:link w:val="81"/>
    <w:autoRedefine/>
    <w:semiHidden/>
    <w:qFormat/>
    <w:uiPriority w:val="0"/>
    <w:rPr>
      <w:b/>
      <w:bCs/>
    </w:rPr>
  </w:style>
  <w:style w:type="paragraph" w:styleId="47">
    <w:name w:val="Body Text First Indent"/>
    <w:basedOn w:val="19"/>
    <w:autoRedefine/>
    <w:qFormat/>
    <w:uiPriority w:val="0"/>
    <w:pPr>
      <w:spacing w:after="120"/>
      <w:ind w:firstLine="420" w:firstLineChars="100"/>
      <w:jc w:val="both"/>
    </w:pPr>
    <w:rPr>
      <w:rFonts w:ascii="Times New Roman" w:hAnsi="Times New Roman" w:eastAsia="宋体"/>
      <w:b w:val="0"/>
      <w:sz w:val="21"/>
      <w:szCs w:val="24"/>
    </w:rPr>
  </w:style>
  <w:style w:type="paragraph" w:styleId="48">
    <w:name w:val="Body Text First Indent 2"/>
    <w:basedOn w:val="20"/>
    <w:autoRedefine/>
    <w:qFormat/>
    <w:uiPriority w:val="0"/>
    <w:pPr>
      <w:spacing w:after="120"/>
      <w:ind w:left="420" w:leftChars="200" w:firstLine="420" w:firstLineChars="200"/>
    </w:pPr>
    <w:rPr>
      <w:rFonts w:ascii="Times New Roman" w:hAnsi="Times New Roman" w:eastAsia="宋体"/>
      <w:sz w:val="21"/>
      <w:szCs w:val="24"/>
    </w:rPr>
  </w:style>
  <w:style w:type="table" w:styleId="50">
    <w:name w:val="Table Grid"/>
    <w:basedOn w:val="4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0"/>
    <w:rPr>
      <w:i/>
      <w:iCs/>
    </w:rPr>
  </w:style>
  <w:style w:type="character" w:styleId="56">
    <w:name w:val="Hyperlink"/>
    <w:autoRedefine/>
    <w:qFormat/>
    <w:uiPriority w:val="99"/>
    <w:rPr>
      <w:color w:val="0000FF"/>
      <w:u w:val="single"/>
    </w:rPr>
  </w:style>
  <w:style w:type="character" w:styleId="57">
    <w:name w:val="annotation reference"/>
    <w:autoRedefine/>
    <w:qFormat/>
    <w:uiPriority w:val="99"/>
    <w:rPr>
      <w:sz w:val="21"/>
      <w:szCs w:val="21"/>
    </w:rPr>
  </w:style>
  <w:style w:type="character" w:customStyle="1" w:styleId="58">
    <w:name w:val="标题 1 字符"/>
    <w:link w:val="2"/>
    <w:autoRedefine/>
    <w:qFormat/>
    <w:uiPriority w:val="0"/>
    <w:rPr>
      <w:rFonts w:ascii="Arial" w:hAnsi="Arial" w:eastAsia="仿宋_GB2312"/>
      <w:kern w:val="2"/>
      <w:sz w:val="28"/>
      <w:lang w:bidi="he-IL"/>
    </w:rPr>
  </w:style>
  <w:style w:type="character" w:customStyle="1" w:styleId="59">
    <w:name w:val="标题 2 字符"/>
    <w:link w:val="3"/>
    <w:autoRedefine/>
    <w:qFormat/>
    <w:uiPriority w:val="0"/>
    <w:rPr>
      <w:rFonts w:ascii="Arial" w:hAnsi="Arial" w:eastAsia="黑体"/>
      <w:b/>
      <w:bCs/>
      <w:kern w:val="2"/>
      <w:sz w:val="32"/>
      <w:szCs w:val="32"/>
      <w:lang w:val="en-US" w:eastAsia="zh-CN" w:bidi="ar-SA"/>
    </w:rPr>
  </w:style>
  <w:style w:type="character" w:customStyle="1" w:styleId="60">
    <w:name w:val="标题 3 字符"/>
    <w:basedOn w:val="51"/>
    <w:link w:val="4"/>
    <w:autoRedefine/>
    <w:qFormat/>
    <w:uiPriority w:val="0"/>
    <w:rPr>
      <w:rFonts w:eastAsia="宋体"/>
      <w:b/>
      <w:bCs/>
      <w:kern w:val="2"/>
      <w:sz w:val="32"/>
      <w:szCs w:val="32"/>
      <w:lang w:val="en-US" w:eastAsia="zh-CN" w:bidi="ar-SA"/>
    </w:rPr>
  </w:style>
  <w:style w:type="character" w:customStyle="1" w:styleId="61">
    <w:name w:val="标题 4 字符"/>
    <w:basedOn w:val="51"/>
    <w:link w:val="5"/>
    <w:autoRedefine/>
    <w:qFormat/>
    <w:uiPriority w:val="0"/>
    <w:rPr>
      <w:rFonts w:ascii="Arial" w:hAnsi="Arial" w:eastAsia="黑体"/>
      <w:b/>
      <w:bCs/>
      <w:kern w:val="2"/>
      <w:sz w:val="28"/>
      <w:szCs w:val="28"/>
      <w:lang w:val="en-US" w:eastAsia="zh-CN" w:bidi="ar-SA"/>
    </w:rPr>
  </w:style>
  <w:style w:type="character" w:customStyle="1" w:styleId="62">
    <w:name w:val="标题 5 字符"/>
    <w:basedOn w:val="51"/>
    <w:link w:val="6"/>
    <w:autoRedefine/>
    <w:qFormat/>
    <w:uiPriority w:val="0"/>
    <w:rPr>
      <w:rFonts w:eastAsia="宋体"/>
      <w:b/>
      <w:bCs/>
      <w:kern w:val="2"/>
      <w:sz w:val="28"/>
      <w:szCs w:val="28"/>
      <w:lang w:val="en-US" w:eastAsia="zh-CN" w:bidi="ar-SA"/>
    </w:rPr>
  </w:style>
  <w:style w:type="character" w:customStyle="1" w:styleId="63">
    <w:name w:val="标题 6 字符"/>
    <w:basedOn w:val="51"/>
    <w:link w:val="7"/>
    <w:autoRedefine/>
    <w:qFormat/>
    <w:uiPriority w:val="0"/>
    <w:rPr>
      <w:rFonts w:ascii="Arial" w:hAnsi="Arial" w:eastAsia="黑体"/>
      <w:b/>
      <w:bCs/>
      <w:sz w:val="24"/>
      <w:szCs w:val="24"/>
    </w:rPr>
  </w:style>
  <w:style w:type="character" w:customStyle="1" w:styleId="64">
    <w:name w:val="标题 7 字符"/>
    <w:basedOn w:val="51"/>
    <w:link w:val="8"/>
    <w:autoRedefine/>
    <w:qFormat/>
    <w:uiPriority w:val="0"/>
    <w:rPr>
      <w:b/>
      <w:bCs/>
      <w:sz w:val="24"/>
      <w:szCs w:val="24"/>
    </w:rPr>
  </w:style>
  <w:style w:type="character" w:customStyle="1" w:styleId="65">
    <w:name w:val="标题 8 字符"/>
    <w:basedOn w:val="51"/>
    <w:link w:val="9"/>
    <w:autoRedefine/>
    <w:qFormat/>
    <w:uiPriority w:val="0"/>
    <w:rPr>
      <w:rFonts w:ascii="Arial" w:hAnsi="Arial" w:eastAsia="黑体"/>
      <w:sz w:val="24"/>
      <w:szCs w:val="24"/>
    </w:rPr>
  </w:style>
  <w:style w:type="character" w:customStyle="1" w:styleId="66">
    <w:name w:val="标题 9 字符"/>
    <w:basedOn w:val="51"/>
    <w:link w:val="10"/>
    <w:autoRedefine/>
    <w:qFormat/>
    <w:uiPriority w:val="0"/>
    <w:rPr>
      <w:rFonts w:ascii="Arial" w:hAnsi="Arial" w:eastAsia="黑体"/>
      <w:sz w:val="21"/>
      <w:szCs w:val="21"/>
    </w:rPr>
  </w:style>
  <w:style w:type="character" w:customStyle="1" w:styleId="67">
    <w:name w:val="正文缩进 字符"/>
    <w:link w:val="14"/>
    <w:autoRedefine/>
    <w:qFormat/>
    <w:uiPriority w:val="0"/>
    <w:rPr>
      <w:rFonts w:eastAsia="宋体"/>
      <w:sz w:val="24"/>
      <w:lang w:val="en-US" w:eastAsia="zh-CN" w:bidi="ar-SA"/>
    </w:rPr>
  </w:style>
  <w:style w:type="character" w:customStyle="1" w:styleId="68">
    <w:name w:val="文档结构图 字符"/>
    <w:link w:val="16"/>
    <w:autoRedefine/>
    <w:qFormat/>
    <w:uiPriority w:val="0"/>
    <w:rPr>
      <w:rFonts w:ascii="宋体"/>
      <w:kern w:val="2"/>
      <w:sz w:val="18"/>
      <w:szCs w:val="18"/>
    </w:rPr>
  </w:style>
  <w:style w:type="character" w:customStyle="1" w:styleId="69">
    <w:name w:val="批注文字 字符"/>
    <w:basedOn w:val="51"/>
    <w:link w:val="18"/>
    <w:autoRedefine/>
    <w:qFormat/>
    <w:uiPriority w:val="0"/>
    <w:rPr>
      <w:rFonts w:eastAsia="宋体"/>
      <w:kern w:val="2"/>
      <w:sz w:val="21"/>
      <w:lang w:val="en-US" w:eastAsia="zh-CN" w:bidi="ar-SA"/>
    </w:rPr>
  </w:style>
  <w:style w:type="character" w:customStyle="1" w:styleId="70">
    <w:name w:val="正文文本 字符"/>
    <w:link w:val="19"/>
    <w:autoRedefine/>
    <w:qFormat/>
    <w:uiPriority w:val="0"/>
    <w:rPr>
      <w:rFonts w:ascii="Arial" w:hAnsi="Arial" w:eastAsia="黑体"/>
      <w:b/>
      <w:kern w:val="2"/>
      <w:sz w:val="32"/>
    </w:rPr>
  </w:style>
  <w:style w:type="character" w:customStyle="1" w:styleId="71">
    <w:name w:val="正文文本缩进 字符"/>
    <w:link w:val="20"/>
    <w:autoRedefine/>
    <w:qFormat/>
    <w:uiPriority w:val="0"/>
    <w:rPr>
      <w:rFonts w:ascii="Arial" w:hAnsi="Arial" w:eastAsia="仿宋_GB2312"/>
      <w:kern w:val="2"/>
      <w:sz w:val="28"/>
      <w:lang w:val="en-US" w:eastAsia="zh-CN" w:bidi="ar-SA"/>
    </w:rPr>
  </w:style>
  <w:style w:type="character" w:customStyle="1" w:styleId="72">
    <w:name w:val="纯文本 字符"/>
    <w:basedOn w:val="51"/>
    <w:link w:val="26"/>
    <w:autoRedefine/>
    <w:qFormat/>
    <w:uiPriority w:val="0"/>
    <w:rPr>
      <w:rFonts w:ascii="宋体" w:hAnsi="Courier New" w:eastAsia="宋体"/>
      <w:kern w:val="2"/>
      <w:sz w:val="21"/>
      <w:lang w:val="en-US" w:eastAsia="zh-CN" w:bidi="ar-SA"/>
    </w:rPr>
  </w:style>
  <w:style w:type="character" w:customStyle="1" w:styleId="73">
    <w:name w:val="日期 字符"/>
    <w:link w:val="28"/>
    <w:autoRedefine/>
    <w:qFormat/>
    <w:uiPriority w:val="0"/>
    <w:rPr>
      <w:rFonts w:ascii="仿宋_GB2312" w:eastAsia="仿宋_GB2312"/>
      <w:kern w:val="2"/>
      <w:sz w:val="30"/>
      <w:lang w:val="en-US" w:eastAsia="zh-CN" w:bidi="he-IL"/>
    </w:rPr>
  </w:style>
  <w:style w:type="character" w:customStyle="1" w:styleId="74">
    <w:name w:val="批注框文本 字符"/>
    <w:link w:val="30"/>
    <w:autoRedefine/>
    <w:qFormat/>
    <w:uiPriority w:val="0"/>
    <w:rPr>
      <w:kern w:val="2"/>
      <w:sz w:val="18"/>
      <w:szCs w:val="18"/>
    </w:rPr>
  </w:style>
  <w:style w:type="character" w:customStyle="1" w:styleId="75">
    <w:name w:val="页脚 字符"/>
    <w:basedOn w:val="51"/>
    <w:link w:val="31"/>
    <w:autoRedefine/>
    <w:qFormat/>
    <w:uiPriority w:val="0"/>
    <w:rPr>
      <w:rFonts w:eastAsia="宋体"/>
      <w:kern w:val="2"/>
      <w:sz w:val="18"/>
      <w:lang w:val="en-US" w:eastAsia="zh-CN" w:bidi="he-IL"/>
    </w:rPr>
  </w:style>
  <w:style w:type="character" w:customStyle="1" w:styleId="76">
    <w:name w:val="页眉 字符"/>
    <w:basedOn w:val="51"/>
    <w:link w:val="32"/>
    <w:autoRedefine/>
    <w:qFormat/>
    <w:uiPriority w:val="0"/>
    <w:rPr>
      <w:rFonts w:eastAsia="宋体"/>
      <w:kern w:val="2"/>
      <w:sz w:val="18"/>
      <w:szCs w:val="18"/>
      <w:lang w:val="en-US" w:eastAsia="zh-CN" w:bidi="ar-SA"/>
    </w:rPr>
  </w:style>
  <w:style w:type="character" w:customStyle="1" w:styleId="77">
    <w:name w:val="副标题 字符"/>
    <w:basedOn w:val="51"/>
    <w:link w:val="36"/>
    <w:autoRedefine/>
    <w:qFormat/>
    <w:uiPriority w:val="0"/>
    <w:rPr>
      <w:rFonts w:eastAsia="宋体"/>
      <w:kern w:val="2"/>
      <w:sz w:val="18"/>
      <w:szCs w:val="18"/>
      <w:lang w:val="en-US" w:eastAsia="zh-CN" w:bidi="ar-SA"/>
    </w:rPr>
  </w:style>
  <w:style w:type="character" w:customStyle="1" w:styleId="78">
    <w:name w:val="正文文本缩进 3 字符"/>
    <w:basedOn w:val="51"/>
    <w:link w:val="38"/>
    <w:autoRedefine/>
    <w:qFormat/>
    <w:uiPriority w:val="0"/>
    <w:rPr>
      <w:rFonts w:ascii="Arial" w:hAnsi="Arial" w:eastAsia="仿宋_GB2312"/>
      <w:b/>
      <w:kern w:val="2"/>
      <w:sz w:val="32"/>
      <w:lang w:val="en-US" w:eastAsia="zh-CN" w:bidi="he-IL"/>
    </w:rPr>
  </w:style>
  <w:style w:type="character" w:customStyle="1" w:styleId="79">
    <w:name w:val="HTML 预设格式 字符"/>
    <w:link w:val="43"/>
    <w:autoRedefine/>
    <w:qFormat/>
    <w:uiPriority w:val="0"/>
    <w:rPr>
      <w:rFonts w:ascii="Arial" w:hAnsi="Arial" w:eastAsia="宋体"/>
      <w:sz w:val="24"/>
      <w:szCs w:val="24"/>
      <w:lang w:bidi="ar-SA"/>
    </w:rPr>
  </w:style>
  <w:style w:type="character" w:customStyle="1" w:styleId="80">
    <w:name w:val="标题 字符"/>
    <w:link w:val="45"/>
    <w:autoRedefine/>
    <w:qFormat/>
    <w:uiPriority w:val="0"/>
    <w:rPr>
      <w:rFonts w:eastAsia="宋体"/>
      <w:kern w:val="2"/>
      <w:sz w:val="18"/>
      <w:szCs w:val="18"/>
      <w:lang w:val="en-US" w:eastAsia="zh-CN" w:bidi="ar-SA"/>
    </w:rPr>
  </w:style>
  <w:style w:type="character" w:customStyle="1" w:styleId="81">
    <w:name w:val="批注主题 字符"/>
    <w:basedOn w:val="69"/>
    <w:link w:val="46"/>
    <w:autoRedefine/>
    <w:qFormat/>
    <w:uiPriority w:val="0"/>
    <w:rPr>
      <w:rFonts w:eastAsia="宋体"/>
      <w:b/>
      <w:bCs/>
      <w:kern w:val="2"/>
      <w:sz w:val="21"/>
      <w:lang w:val="en-US" w:eastAsia="zh-CN" w:bidi="ar-SA"/>
    </w:rPr>
  </w:style>
  <w:style w:type="character" w:customStyle="1" w:styleId="82">
    <w:name w:val="标题 1 Char1"/>
    <w:autoRedefine/>
    <w:qFormat/>
    <w:uiPriority w:val="0"/>
    <w:rPr>
      <w:rFonts w:ascii="黑体" w:eastAsia="黑体"/>
      <w:sz w:val="52"/>
      <w:lang w:val="en-US" w:eastAsia="zh-CN" w:bidi="ar-SA"/>
    </w:rPr>
  </w:style>
  <w:style w:type="character" w:customStyle="1" w:styleId="83">
    <w:name w:val="Char Char17"/>
    <w:basedOn w:val="51"/>
    <w:autoRedefine/>
    <w:qFormat/>
    <w:locked/>
    <w:uiPriority w:val="0"/>
    <w:rPr>
      <w:rFonts w:ascii="Arial" w:hAnsi="Arial" w:eastAsia="黑体"/>
      <w:b/>
      <w:bCs/>
      <w:kern w:val="2"/>
      <w:sz w:val="28"/>
      <w:szCs w:val="28"/>
      <w:lang w:val="en-US" w:eastAsia="zh-CN" w:bidi="ar-SA"/>
    </w:rPr>
  </w:style>
  <w:style w:type="character" w:customStyle="1" w:styleId="84">
    <w:name w:val="标题 Char"/>
    <w:basedOn w:val="51"/>
    <w:autoRedefine/>
    <w:qFormat/>
    <w:uiPriority w:val="0"/>
    <w:rPr>
      <w:rFonts w:ascii="Cambria" w:hAnsi="Cambria" w:eastAsia="宋体" w:cs="Times New Roman"/>
      <w:b/>
      <w:bCs/>
      <w:sz w:val="32"/>
      <w:szCs w:val="32"/>
    </w:rPr>
  </w:style>
  <w:style w:type="character" w:customStyle="1" w:styleId="85">
    <w:name w:val="textcontents"/>
    <w:autoRedefine/>
    <w:qFormat/>
    <w:uiPriority w:val="0"/>
    <w:rPr>
      <w:rFonts w:hint="default" w:ascii="Times New Roman" w:hAnsi="Times New Roman" w:cs="Times New Roman"/>
    </w:rPr>
  </w:style>
  <w:style w:type="character" w:customStyle="1" w:styleId="86">
    <w:name w:val="(use for figures) Char"/>
    <w:basedOn w:val="51"/>
    <w:autoRedefine/>
    <w:qFormat/>
    <w:uiPriority w:val="0"/>
    <w:rPr>
      <w:rFonts w:ascii="Arial" w:hAnsi="Arial" w:eastAsia="黑体"/>
      <w:sz w:val="24"/>
      <w:szCs w:val="24"/>
    </w:rPr>
  </w:style>
  <w:style w:type="character" w:customStyle="1" w:styleId="87">
    <w:name w:val="页脚 Char Char"/>
    <w:basedOn w:val="51"/>
    <w:autoRedefine/>
    <w:qFormat/>
    <w:uiPriority w:val="0"/>
    <w:rPr>
      <w:rFonts w:ascii="Times New Roman" w:hAnsi="Times New Roman"/>
      <w:kern w:val="2"/>
      <w:sz w:val="18"/>
      <w:szCs w:val="18"/>
    </w:rPr>
  </w:style>
  <w:style w:type="character" w:customStyle="1" w:styleId="88">
    <w:name w:val="Char Char13"/>
    <w:basedOn w:val="51"/>
    <w:autoRedefine/>
    <w:qFormat/>
    <w:locked/>
    <w:uiPriority w:val="0"/>
    <w:rPr>
      <w:rFonts w:ascii="Arial" w:hAnsi="Arial" w:eastAsia="黑体"/>
      <w:sz w:val="24"/>
      <w:szCs w:val="24"/>
      <w:lang w:val="en-US" w:eastAsia="zh-CN" w:bidi="ar-SA"/>
    </w:rPr>
  </w:style>
  <w:style w:type="character" w:customStyle="1" w:styleId="89">
    <w:name w:val="正文文字 Char1"/>
    <w:autoRedefine/>
    <w:qFormat/>
    <w:uiPriority w:val="0"/>
    <w:rPr>
      <w:rFonts w:ascii="Arial" w:hAnsi="Arial" w:eastAsia="黑体"/>
      <w:b/>
      <w:kern w:val="2"/>
      <w:sz w:val="32"/>
      <w:lang w:val="en-US" w:eastAsia="zh-CN" w:bidi="ar-SA"/>
    </w:rPr>
  </w:style>
  <w:style w:type="character" w:customStyle="1" w:styleId="90">
    <w:name w:val="段 Char"/>
    <w:link w:val="91"/>
    <w:autoRedefine/>
    <w:qFormat/>
    <w:uiPriority w:val="0"/>
    <w:rPr>
      <w:rFonts w:ascii="宋体" w:eastAsia="Times New Roman"/>
      <w:sz w:val="21"/>
      <w:lang w:val="en-US" w:eastAsia="zh-CN" w:bidi="ar-SA"/>
    </w:rPr>
  </w:style>
  <w:style w:type="paragraph" w:customStyle="1" w:styleId="91">
    <w:name w:val="段"/>
    <w:link w:val="90"/>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92">
    <w:name w:val="Char Char10"/>
    <w:basedOn w:val="51"/>
    <w:autoRedefine/>
    <w:qFormat/>
    <w:locked/>
    <w:uiPriority w:val="0"/>
    <w:rPr>
      <w:rFonts w:ascii="宋体" w:hAnsi="宋体" w:eastAsia="宋体"/>
      <w:kern w:val="2"/>
      <w:sz w:val="18"/>
      <w:szCs w:val="18"/>
      <w:lang w:val="en-US" w:eastAsia="zh-CN" w:bidi="ar-SA"/>
    </w:rPr>
  </w:style>
  <w:style w:type="character" w:customStyle="1" w:styleId="93">
    <w:name w:val="Char Char14"/>
    <w:basedOn w:val="51"/>
    <w:autoRedefine/>
    <w:qFormat/>
    <w:locked/>
    <w:uiPriority w:val="0"/>
    <w:rPr>
      <w:rFonts w:eastAsia="宋体"/>
      <w:b/>
      <w:bCs/>
      <w:sz w:val="24"/>
      <w:szCs w:val="24"/>
      <w:lang w:val="en-US" w:eastAsia="zh-CN" w:bidi="ar-SA"/>
    </w:rPr>
  </w:style>
  <w:style w:type="character" w:customStyle="1" w:styleId="94">
    <w:name w:val="Char Char4"/>
    <w:basedOn w:val="51"/>
    <w:autoRedefine/>
    <w:qFormat/>
    <w:locked/>
    <w:uiPriority w:val="0"/>
    <w:rPr>
      <w:rFonts w:ascii="宋体" w:hAnsi="宋体" w:eastAsia="宋体"/>
      <w:kern w:val="2"/>
      <w:sz w:val="24"/>
      <w:lang w:val="en-US" w:eastAsia="zh-CN" w:bidi="ar-SA"/>
    </w:rPr>
  </w:style>
  <w:style w:type="character" w:customStyle="1" w:styleId="95">
    <w:name w:val="(use for tables) Char"/>
    <w:basedOn w:val="51"/>
    <w:autoRedefine/>
    <w:qFormat/>
    <w:uiPriority w:val="0"/>
    <w:rPr>
      <w:rFonts w:ascii="Arial" w:hAnsi="Arial" w:eastAsia="黑体"/>
      <w:sz w:val="21"/>
      <w:szCs w:val="21"/>
    </w:rPr>
  </w:style>
  <w:style w:type="character" w:customStyle="1" w:styleId="96">
    <w:name w:val="61 Char"/>
    <w:basedOn w:val="51"/>
    <w:autoRedefine/>
    <w:qFormat/>
    <w:uiPriority w:val="0"/>
    <w:rPr>
      <w:rFonts w:ascii="Arial" w:hAnsi="Arial" w:eastAsia="黑体"/>
      <w:b/>
      <w:bCs/>
      <w:sz w:val="24"/>
      <w:szCs w:val="24"/>
    </w:rPr>
  </w:style>
  <w:style w:type="character" w:customStyle="1" w:styleId="97">
    <w:name w:val="l0 Char1"/>
    <w:basedOn w:val="51"/>
    <w:autoRedefine/>
    <w:qFormat/>
    <w:uiPriority w:val="0"/>
    <w:rPr>
      <w:rFonts w:ascii="Arial" w:hAnsi="Arial" w:eastAsia="仿宋_GB2312"/>
      <w:kern w:val="2"/>
      <w:sz w:val="28"/>
      <w:lang w:bidi="he-IL"/>
    </w:rPr>
  </w:style>
  <w:style w:type="character" w:customStyle="1" w:styleId="98">
    <w:name w:val="Char Char1"/>
    <w:basedOn w:val="99"/>
    <w:autoRedefine/>
    <w:qFormat/>
    <w:locked/>
    <w:uiPriority w:val="0"/>
    <w:rPr>
      <w:rFonts w:hint="eastAsia" w:ascii="宋体" w:hAnsi="宋体" w:eastAsia="宋体"/>
      <w:b/>
      <w:bCs/>
      <w:sz w:val="28"/>
      <w:lang w:val="en-US" w:eastAsia="zh-CN" w:bidi="ar-SA"/>
    </w:rPr>
  </w:style>
  <w:style w:type="character" w:customStyle="1" w:styleId="99">
    <w:name w:val="Char Char9"/>
    <w:basedOn w:val="51"/>
    <w:autoRedefine/>
    <w:qFormat/>
    <w:locked/>
    <w:uiPriority w:val="0"/>
    <w:rPr>
      <w:rFonts w:hint="eastAsia" w:ascii="宋体" w:hAnsi="宋体" w:eastAsia="宋体"/>
      <w:sz w:val="24"/>
      <w:lang w:val="en-US" w:eastAsia="zh-CN" w:bidi="ar-SA"/>
    </w:rPr>
  </w:style>
  <w:style w:type="character" w:customStyle="1" w:styleId="100">
    <w:name w:val="Blockquote Char"/>
    <w:basedOn w:val="51"/>
    <w:link w:val="101"/>
    <w:autoRedefine/>
    <w:qFormat/>
    <w:locked/>
    <w:uiPriority w:val="0"/>
    <w:rPr>
      <w:sz w:val="24"/>
      <w:lang w:bidi="ar-SA"/>
    </w:rPr>
  </w:style>
  <w:style w:type="paragraph" w:customStyle="1" w:styleId="101">
    <w:name w:val="Blockquote"/>
    <w:basedOn w:val="1"/>
    <w:link w:val="100"/>
    <w:autoRedefine/>
    <w:qFormat/>
    <w:uiPriority w:val="0"/>
    <w:pPr>
      <w:autoSpaceDE w:val="0"/>
      <w:autoSpaceDN w:val="0"/>
      <w:adjustRightInd w:val="0"/>
      <w:spacing w:before="100" w:after="100"/>
      <w:ind w:left="360" w:right="360"/>
      <w:jc w:val="left"/>
    </w:pPr>
    <w:rPr>
      <w:rFonts w:eastAsia="Times New Roman"/>
      <w:kern w:val="0"/>
      <w:sz w:val="24"/>
    </w:rPr>
  </w:style>
  <w:style w:type="character" w:customStyle="1" w:styleId="102">
    <w:name w:val="标书正文格式 Char"/>
    <w:link w:val="103"/>
    <w:autoRedefine/>
    <w:qFormat/>
    <w:uiPriority w:val="0"/>
    <w:rPr>
      <w:rFonts w:eastAsia="楷体_GB2312"/>
      <w:kern w:val="2"/>
      <w:sz w:val="24"/>
      <w:szCs w:val="24"/>
      <w:lang w:val="en-US" w:eastAsia="zh-CN" w:bidi="ar-SA"/>
    </w:rPr>
  </w:style>
  <w:style w:type="paragraph" w:customStyle="1" w:styleId="103">
    <w:name w:val="标书正文格式"/>
    <w:link w:val="102"/>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104">
    <w:name w:val="Char Char20"/>
    <w:basedOn w:val="51"/>
    <w:autoRedefine/>
    <w:qFormat/>
    <w:uiPriority w:val="0"/>
    <w:rPr>
      <w:rFonts w:ascii="黑体" w:hAnsi="Times New Roman" w:eastAsia="黑体" w:cs="宋体"/>
      <w:kern w:val="0"/>
      <w:sz w:val="52"/>
      <w:szCs w:val="20"/>
    </w:rPr>
  </w:style>
  <w:style w:type="character" w:customStyle="1" w:styleId="105">
    <w:name w:val="批注框文本 Char1"/>
    <w:autoRedefine/>
    <w:qFormat/>
    <w:uiPriority w:val="0"/>
    <w:rPr>
      <w:kern w:val="2"/>
      <w:sz w:val="18"/>
      <w:szCs w:val="18"/>
    </w:rPr>
  </w:style>
  <w:style w:type="character" w:customStyle="1" w:styleId="106">
    <w:name w:val="no Char Char"/>
    <w:autoRedefine/>
    <w:qFormat/>
    <w:uiPriority w:val="0"/>
    <w:rPr>
      <w:rFonts w:ascii="Arial" w:hAnsi="Arial" w:eastAsia="黑体"/>
      <w:b/>
      <w:kern w:val="2"/>
      <w:sz w:val="32"/>
      <w:lang w:val="en-US" w:eastAsia="zh-CN" w:bidi="ar-SA"/>
    </w:rPr>
  </w:style>
  <w:style w:type="character" w:customStyle="1" w:styleId="107">
    <w:name w:val="Char Char22"/>
    <w:autoRedefine/>
    <w:qFormat/>
    <w:locked/>
    <w:uiPriority w:val="0"/>
    <w:rPr>
      <w:rFonts w:hint="default" w:ascii="Arial" w:hAnsi="Arial" w:eastAsia="黑体" w:cs="Arial"/>
      <w:b/>
      <w:bCs/>
      <w:kern w:val="2"/>
      <w:sz w:val="32"/>
      <w:szCs w:val="32"/>
      <w:lang w:val="en-US" w:eastAsia="zh-CN" w:bidi="ar-SA"/>
    </w:rPr>
  </w:style>
  <w:style w:type="character" w:customStyle="1" w:styleId="108">
    <w:name w:val="h Char"/>
    <w:autoRedefine/>
    <w:qFormat/>
    <w:locked/>
    <w:uiPriority w:val="0"/>
    <w:rPr>
      <w:kern w:val="2"/>
      <w:sz w:val="18"/>
      <w:szCs w:val="18"/>
    </w:rPr>
  </w:style>
  <w:style w:type="character" w:customStyle="1" w:styleId="109">
    <w:name w:val="三级标题 Char1"/>
    <w:autoRedefine/>
    <w:qFormat/>
    <w:uiPriority w:val="0"/>
    <w:rPr>
      <w:b/>
      <w:bCs/>
      <w:kern w:val="2"/>
      <w:sz w:val="32"/>
      <w:szCs w:val="32"/>
    </w:rPr>
  </w:style>
  <w:style w:type="character" w:customStyle="1" w:styleId="110">
    <w:name w:val="表正文 Char1"/>
    <w:basedOn w:val="51"/>
    <w:autoRedefine/>
    <w:qFormat/>
    <w:uiPriority w:val="0"/>
    <w:rPr>
      <w:rFonts w:eastAsia="宋体"/>
      <w:sz w:val="24"/>
      <w:lang w:val="en-US" w:eastAsia="zh-CN" w:bidi="ar-SA"/>
    </w:rPr>
  </w:style>
  <w:style w:type="character" w:customStyle="1" w:styleId="111">
    <w:name w:val="批注文字 Char Char"/>
    <w:autoRedefine/>
    <w:qFormat/>
    <w:uiPriority w:val="0"/>
    <w:rPr>
      <w:rFonts w:hint="eastAsia" w:ascii="宋体" w:hAnsi="Times New Roman" w:eastAsia="宋体" w:cs="Times New Roman"/>
      <w:sz w:val="28"/>
      <w:szCs w:val="20"/>
    </w:rPr>
  </w:style>
  <w:style w:type="character" w:customStyle="1" w:styleId="112">
    <w:name w:val="Char Char21"/>
    <w:autoRedefine/>
    <w:qFormat/>
    <w:locked/>
    <w:uiPriority w:val="0"/>
    <w:rPr>
      <w:rFonts w:hint="eastAsia" w:ascii="宋体" w:hAnsi="宋体" w:eastAsia="宋体"/>
      <w:b/>
      <w:sz w:val="32"/>
      <w:lang w:val="en-US" w:eastAsia="zh-CN" w:bidi="ar-SA"/>
    </w:rPr>
  </w:style>
  <w:style w:type="character" w:customStyle="1" w:styleId="113">
    <w:name w:val="Char Char15"/>
    <w:basedOn w:val="51"/>
    <w:autoRedefine/>
    <w:qFormat/>
    <w:locked/>
    <w:uiPriority w:val="0"/>
    <w:rPr>
      <w:rFonts w:ascii="Arial" w:hAnsi="Arial" w:eastAsia="黑体"/>
      <w:b/>
      <w:bCs/>
      <w:sz w:val="24"/>
      <w:szCs w:val="24"/>
      <w:lang w:val="en-US" w:eastAsia="zh-CN" w:bidi="ar-SA"/>
    </w:rPr>
  </w:style>
  <w:style w:type="character" w:customStyle="1" w:styleId="114">
    <w:name w:val="正文文本 Char1"/>
    <w:autoRedefine/>
    <w:qFormat/>
    <w:uiPriority w:val="0"/>
    <w:rPr>
      <w:kern w:val="2"/>
      <w:sz w:val="21"/>
      <w:szCs w:val="22"/>
    </w:rPr>
  </w:style>
  <w:style w:type="character" w:customStyle="1" w:styleId="115">
    <w:name w:val="H4 Char"/>
    <w:autoRedefine/>
    <w:qFormat/>
    <w:uiPriority w:val="0"/>
    <w:rPr>
      <w:rFonts w:ascii="Arial" w:hAnsi="Arial" w:eastAsia="黑体"/>
      <w:b/>
      <w:bCs/>
      <w:kern w:val="2"/>
      <w:sz w:val="28"/>
      <w:szCs w:val="28"/>
      <w:lang w:val="en-US" w:eastAsia="zh-CN" w:bidi="ar-SA"/>
    </w:rPr>
  </w:style>
  <w:style w:type="character" w:customStyle="1" w:styleId="116">
    <w:name w:val="日期 Char1"/>
    <w:autoRedefine/>
    <w:qFormat/>
    <w:uiPriority w:val="0"/>
    <w:rPr>
      <w:kern w:val="2"/>
      <w:sz w:val="21"/>
      <w:szCs w:val="22"/>
    </w:rPr>
  </w:style>
  <w:style w:type="character" w:customStyle="1" w:styleId="117">
    <w:name w:val="Char Char7"/>
    <w:autoRedefine/>
    <w:qFormat/>
    <w:uiPriority w:val="0"/>
    <w:rPr>
      <w:rFonts w:eastAsia="宋体"/>
      <w:kern w:val="2"/>
      <w:sz w:val="18"/>
      <w:szCs w:val="18"/>
      <w:lang w:val="en-US" w:eastAsia="zh-CN" w:bidi="ar-SA"/>
    </w:rPr>
  </w:style>
  <w:style w:type="character" w:customStyle="1" w:styleId="118">
    <w:name w:val="Char Char201"/>
    <w:basedOn w:val="51"/>
    <w:autoRedefine/>
    <w:qFormat/>
    <w:locked/>
    <w:uiPriority w:val="0"/>
    <w:rPr>
      <w:rFonts w:ascii="黑体" w:eastAsia="黑体" w:cs="宋体"/>
      <w:sz w:val="52"/>
      <w:lang w:val="en-US" w:eastAsia="zh-CN" w:bidi="ar-SA"/>
    </w:rPr>
  </w:style>
  <w:style w:type="character" w:customStyle="1" w:styleId="119">
    <w:name w:val="55 Char"/>
    <w:basedOn w:val="51"/>
    <w:autoRedefine/>
    <w:qFormat/>
    <w:uiPriority w:val="0"/>
    <w:rPr>
      <w:b/>
      <w:bCs/>
      <w:kern w:val="2"/>
      <w:sz w:val="28"/>
      <w:szCs w:val="28"/>
    </w:rPr>
  </w:style>
  <w:style w:type="character" w:customStyle="1" w:styleId="120">
    <w:name w:val="Char Char2"/>
    <w:autoRedefine/>
    <w:qFormat/>
    <w:locked/>
    <w:uiPriority w:val="0"/>
    <w:rPr>
      <w:rFonts w:hint="eastAsia" w:ascii="宋体" w:hAnsi="宋体" w:eastAsia="宋体"/>
      <w:b/>
      <w:bCs/>
      <w:kern w:val="2"/>
      <w:sz w:val="28"/>
      <w:szCs w:val="28"/>
      <w:lang w:val="en-US" w:eastAsia="zh-CN" w:bidi="ar-SA"/>
    </w:rPr>
  </w:style>
  <w:style w:type="character" w:customStyle="1" w:styleId="121">
    <w:name w:val="(use for appendix) Char"/>
    <w:basedOn w:val="51"/>
    <w:autoRedefine/>
    <w:qFormat/>
    <w:uiPriority w:val="0"/>
    <w:rPr>
      <w:b/>
      <w:bCs/>
      <w:sz w:val="24"/>
      <w:szCs w:val="24"/>
    </w:rPr>
  </w:style>
  <w:style w:type="character" w:customStyle="1" w:styleId="122">
    <w:name w:val="Char Char12"/>
    <w:basedOn w:val="51"/>
    <w:autoRedefine/>
    <w:qFormat/>
    <w:locked/>
    <w:uiPriority w:val="0"/>
    <w:rPr>
      <w:rFonts w:ascii="Arial" w:hAnsi="Arial" w:eastAsia="黑体"/>
      <w:sz w:val="21"/>
      <w:szCs w:val="21"/>
      <w:lang w:val="en-US" w:eastAsia="zh-CN" w:bidi="ar-SA"/>
    </w:rPr>
  </w:style>
  <w:style w:type="character" w:customStyle="1" w:styleId="123">
    <w:name w:val="标题5 Char Char"/>
    <w:link w:val="124"/>
    <w:autoRedefine/>
    <w:qFormat/>
    <w:locked/>
    <w:uiPriority w:val="0"/>
    <w:rPr>
      <w:rFonts w:ascii="Arial" w:hAnsi="Arial"/>
      <w:b/>
      <w:bCs/>
      <w:sz w:val="24"/>
      <w:szCs w:val="32"/>
      <w:lang w:bidi="ar-SA"/>
    </w:rPr>
  </w:style>
  <w:style w:type="paragraph" w:customStyle="1" w:styleId="124">
    <w:name w:val="标题5"/>
    <w:basedOn w:val="4"/>
    <w:link w:val="123"/>
    <w:autoRedefine/>
    <w:qFormat/>
    <w:uiPriority w:val="0"/>
    <w:pPr>
      <w:spacing w:line="408" w:lineRule="auto"/>
    </w:pPr>
    <w:rPr>
      <w:rFonts w:ascii="Arial" w:hAnsi="Arial"/>
      <w:kern w:val="0"/>
      <w:sz w:val="24"/>
    </w:rPr>
  </w:style>
  <w:style w:type="character" w:customStyle="1" w:styleId="125">
    <w:name w:val="Char Char5"/>
    <w:basedOn w:val="51"/>
    <w:autoRedefine/>
    <w:qFormat/>
    <w:locked/>
    <w:uiPriority w:val="0"/>
    <w:rPr>
      <w:rFonts w:ascii="宋体" w:hAnsi="宋体" w:eastAsia="宋体"/>
      <w:kern w:val="2"/>
      <w:sz w:val="18"/>
      <w:szCs w:val="18"/>
      <w:lang w:val="en-US" w:eastAsia="zh-CN" w:bidi="ar-SA"/>
    </w:rPr>
  </w:style>
  <w:style w:type="character" w:customStyle="1" w:styleId="126">
    <w:name w:val="样式1 Char Char"/>
    <w:basedOn w:val="51"/>
    <w:link w:val="127"/>
    <w:autoRedefine/>
    <w:qFormat/>
    <w:locked/>
    <w:uiPriority w:val="0"/>
    <w:rPr>
      <w:rFonts w:eastAsia="宋体"/>
      <w:b/>
      <w:bCs/>
      <w:kern w:val="2"/>
      <w:sz w:val="24"/>
      <w:szCs w:val="28"/>
      <w:lang w:val="en-US" w:eastAsia="zh-CN" w:bidi="ar-SA"/>
    </w:rPr>
  </w:style>
  <w:style w:type="paragraph" w:customStyle="1" w:styleId="127">
    <w:name w:val="样式1"/>
    <w:basedOn w:val="5"/>
    <w:link w:val="126"/>
    <w:autoRedefine/>
    <w:qFormat/>
    <w:uiPriority w:val="0"/>
    <w:pPr>
      <w:spacing w:line="300" w:lineRule="exact"/>
    </w:pPr>
    <w:rPr>
      <w:rFonts w:ascii="Times New Roman" w:hAnsi="Times New Roman" w:eastAsia="宋体"/>
      <w:sz w:val="24"/>
    </w:rPr>
  </w:style>
  <w:style w:type="character" w:customStyle="1" w:styleId="128">
    <w:name w:val="明显引用 字符"/>
    <w:basedOn w:val="51"/>
    <w:link w:val="129"/>
    <w:autoRedefine/>
    <w:qFormat/>
    <w:locked/>
    <w:uiPriority w:val="0"/>
    <w:rPr>
      <w:rFonts w:eastAsia="宋体"/>
      <w:b/>
      <w:bCs/>
      <w:i/>
      <w:iCs/>
      <w:color w:val="4F81BD"/>
      <w:kern w:val="2"/>
      <w:sz w:val="21"/>
      <w:szCs w:val="22"/>
      <w:lang w:val="en-US" w:eastAsia="zh-CN" w:bidi="ar-SA"/>
    </w:rPr>
  </w:style>
  <w:style w:type="paragraph" w:styleId="129">
    <w:name w:val="Intense Quote"/>
    <w:basedOn w:val="1"/>
    <w:next w:val="1"/>
    <w:link w:val="128"/>
    <w:autoRedefine/>
    <w:qFormat/>
    <w:uiPriority w:val="0"/>
    <w:pPr>
      <w:pBdr>
        <w:bottom w:val="single" w:color="4F81BD" w:sz="4" w:space="4"/>
      </w:pBdr>
      <w:spacing w:before="200" w:after="280"/>
      <w:ind w:left="936" w:right="936"/>
    </w:pPr>
    <w:rPr>
      <w:b/>
      <w:bCs/>
      <w:i/>
      <w:iCs/>
      <w:color w:val="4F81BD"/>
      <w:szCs w:val="22"/>
    </w:rPr>
  </w:style>
  <w:style w:type="character" w:customStyle="1" w:styleId="130">
    <w:name w:val=" Char Char9"/>
    <w:basedOn w:val="51"/>
    <w:autoRedefine/>
    <w:qFormat/>
    <w:locked/>
    <w:uiPriority w:val="0"/>
    <w:rPr>
      <w:rFonts w:ascii="宋体" w:hAnsi="宋体"/>
      <w:sz w:val="24"/>
    </w:rPr>
  </w:style>
  <w:style w:type="character" w:customStyle="1" w:styleId="131">
    <w:name w:val="Char Char18"/>
    <w:basedOn w:val="51"/>
    <w:autoRedefine/>
    <w:qFormat/>
    <w:locked/>
    <w:uiPriority w:val="0"/>
    <w:rPr>
      <w:rFonts w:eastAsia="宋体"/>
      <w:b/>
      <w:sz w:val="32"/>
      <w:lang w:val="en-US" w:eastAsia="zh-CN" w:bidi="ar-SA"/>
    </w:rPr>
  </w:style>
  <w:style w:type="character" w:customStyle="1" w:styleId="132">
    <w:name w:val="无间隔 字符"/>
    <w:basedOn w:val="51"/>
    <w:link w:val="133"/>
    <w:autoRedefine/>
    <w:qFormat/>
    <w:uiPriority w:val="0"/>
    <w:rPr>
      <w:rFonts w:ascii="Calibri" w:hAnsi="Calibri"/>
      <w:kern w:val="2"/>
      <w:sz w:val="21"/>
      <w:szCs w:val="22"/>
      <w:lang w:val="en-US" w:eastAsia="zh-CN" w:bidi="ar-SA"/>
    </w:rPr>
  </w:style>
  <w:style w:type="paragraph" w:styleId="133">
    <w:name w:val="No Spacing"/>
    <w:link w:val="13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引用 字符"/>
    <w:basedOn w:val="51"/>
    <w:link w:val="135"/>
    <w:autoRedefine/>
    <w:qFormat/>
    <w:locked/>
    <w:uiPriority w:val="0"/>
    <w:rPr>
      <w:rFonts w:eastAsia="宋体"/>
      <w:i/>
      <w:iCs/>
      <w:color w:val="000000"/>
      <w:kern w:val="2"/>
      <w:sz w:val="21"/>
      <w:szCs w:val="22"/>
      <w:lang w:val="en-US" w:eastAsia="zh-CN" w:bidi="ar-SA"/>
    </w:rPr>
  </w:style>
  <w:style w:type="paragraph" w:styleId="135">
    <w:name w:val="Quote"/>
    <w:basedOn w:val="1"/>
    <w:next w:val="1"/>
    <w:link w:val="134"/>
    <w:autoRedefine/>
    <w:qFormat/>
    <w:uiPriority w:val="0"/>
    <w:rPr>
      <w:i/>
      <w:iCs/>
      <w:color w:val="000000"/>
      <w:szCs w:val="22"/>
    </w:rPr>
  </w:style>
  <w:style w:type="character" w:customStyle="1" w:styleId="136">
    <w:name w:val="正文缩进 Char1"/>
    <w:autoRedefine/>
    <w:qFormat/>
    <w:uiPriority w:val="0"/>
    <w:rPr>
      <w:rFonts w:eastAsia="宋体"/>
      <w:lang w:val="en-US" w:eastAsia="zh-CN" w:bidi="ar-SA"/>
    </w:rPr>
  </w:style>
  <w:style w:type="character" w:customStyle="1" w:styleId="137">
    <w:name w:val="标题4 Char Char"/>
    <w:link w:val="138"/>
    <w:autoRedefine/>
    <w:qFormat/>
    <w:locked/>
    <w:uiPriority w:val="0"/>
    <w:rPr>
      <w:rFonts w:ascii="Arial" w:hAnsi="Arial"/>
      <w:b/>
      <w:bCs/>
      <w:sz w:val="24"/>
      <w:szCs w:val="32"/>
      <w:lang w:bidi="ar-SA"/>
    </w:rPr>
  </w:style>
  <w:style w:type="paragraph" w:customStyle="1" w:styleId="138">
    <w:name w:val="标题4"/>
    <w:basedOn w:val="3"/>
    <w:next w:val="23"/>
    <w:link w:val="137"/>
    <w:autoRedefine/>
    <w:qFormat/>
    <w:uiPriority w:val="0"/>
    <w:pPr>
      <w:spacing w:line="408" w:lineRule="auto"/>
    </w:pPr>
    <w:rPr>
      <w:rFonts w:eastAsia="宋体"/>
      <w:kern w:val="0"/>
      <w:sz w:val="24"/>
    </w:rPr>
  </w:style>
  <w:style w:type="character" w:customStyle="1" w:styleId="139">
    <w:name w:val="Char Char11"/>
    <w:basedOn w:val="51"/>
    <w:autoRedefine/>
    <w:qFormat/>
    <w:locked/>
    <w:uiPriority w:val="0"/>
    <w:rPr>
      <w:rFonts w:ascii="宋体" w:hAnsi="宋体" w:eastAsia="宋体"/>
      <w:kern w:val="2"/>
      <w:sz w:val="18"/>
      <w:szCs w:val="18"/>
      <w:lang w:val="en-US" w:eastAsia="zh-CN" w:bidi="ar-SA"/>
    </w:rPr>
  </w:style>
  <w:style w:type="character" w:customStyle="1" w:styleId="140">
    <w:name w:val="三级标题 Char"/>
    <w:autoRedefine/>
    <w:qFormat/>
    <w:uiPriority w:val="0"/>
    <w:rPr>
      <w:rFonts w:eastAsia="宋体"/>
      <w:b/>
      <w:bCs/>
      <w:kern w:val="2"/>
      <w:sz w:val="32"/>
      <w:szCs w:val="32"/>
      <w:lang w:val="en-US" w:eastAsia="zh-CN" w:bidi="ar-SA"/>
    </w:rPr>
  </w:style>
  <w:style w:type="character" w:customStyle="1" w:styleId="141">
    <w:name w:val="Char Char71"/>
    <w:basedOn w:val="51"/>
    <w:autoRedefine/>
    <w:qFormat/>
    <w:locked/>
    <w:uiPriority w:val="0"/>
    <w:rPr>
      <w:rFonts w:ascii="宋体" w:hAnsi="宋体" w:eastAsia="宋体"/>
      <w:lang w:val="en-US" w:eastAsia="zh-CN" w:bidi="ar-SA"/>
    </w:rPr>
  </w:style>
  <w:style w:type="character" w:customStyle="1" w:styleId="142">
    <w:name w:val="封面日期 Char Char1"/>
    <w:autoRedefine/>
    <w:qFormat/>
    <w:uiPriority w:val="0"/>
    <w:rPr>
      <w:rFonts w:ascii="仿宋_GB2312" w:eastAsia="仿宋_GB2312"/>
      <w:kern w:val="2"/>
      <w:sz w:val="30"/>
      <w:lang w:val="en-US" w:eastAsia="zh-CN" w:bidi="he-IL"/>
    </w:rPr>
  </w:style>
  <w:style w:type="character" w:customStyle="1" w:styleId="143">
    <w:name w:val="Book Title"/>
    <w:autoRedefine/>
    <w:qFormat/>
    <w:uiPriority w:val="0"/>
    <w:rPr>
      <w:b/>
      <w:bCs/>
      <w:smallCaps/>
      <w:spacing w:val="5"/>
    </w:rPr>
  </w:style>
  <w:style w:type="character" w:customStyle="1" w:styleId="144">
    <w:name w:val="Char Char16"/>
    <w:basedOn w:val="51"/>
    <w:autoRedefine/>
    <w:qFormat/>
    <w:locked/>
    <w:uiPriority w:val="0"/>
    <w:rPr>
      <w:rFonts w:eastAsia="宋体"/>
      <w:b/>
      <w:bCs/>
      <w:kern w:val="2"/>
      <w:sz w:val="28"/>
      <w:szCs w:val="28"/>
      <w:lang w:val="en-US" w:eastAsia="zh-CN" w:bidi="ar-SA"/>
    </w:rPr>
  </w:style>
  <w:style w:type="character" w:customStyle="1" w:styleId="145">
    <w:name w:val="引用 Char"/>
    <w:basedOn w:val="51"/>
    <w:autoRedefine/>
    <w:qFormat/>
    <w:uiPriority w:val="0"/>
    <w:rPr>
      <w:rFonts w:ascii="Times New Roman" w:hAnsi="Times New Roman" w:eastAsia="宋体" w:cs="Times New Roman"/>
      <w:i/>
      <w:iCs/>
      <w:color w:val="000000"/>
      <w:szCs w:val="24"/>
    </w:rPr>
  </w:style>
  <w:style w:type="character" w:customStyle="1" w:styleId="146">
    <w:name w:val="Intense Emphasis"/>
    <w:autoRedefine/>
    <w:qFormat/>
    <w:uiPriority w:val="0"/>
    <w:rPr>
      <w:b/>
      <w:bCs/>
      <w:i/>
      <w:iCs/>
      <w:color w:val="4F81BD"/>
    </w:rPr>
  </w:style>
  <w:style w:type="character" w:customStyle="1" w:styleId="147">
    <w:name w:val="Char Char19"/>
    <w:autoRedefine/>
    <w:qFormat/>
    <w:uiPriority w:val="0"/>
    <w:rPr>
      <w:rFonts w:ascii="Arial" w:hAnsi="Arial" w:eastAsia="黑体"/>
      <w:b/>
      <w:bCs/>
      <w:kern w:val="2"/>
      <w:sz w:val="32"/>
      <w:szCs w:val="32"/>
      <w:lang w:val="en-US" w:eastAsia="zh-CN" w:bidi="ar-SA"/>
    </w:rPr>
  </w:style>
  <w:style w:type="character" w:customStyle="1" w:styleId="148">
    <w:name w:val="Char Char191"/>
    <w:basedOn w:val="51"/>
    <w:autoRedefine/>
    <w:qFormat/>
    <w:uiPriority w:val="0"/>
    <w:rPr>
      <w:rFonts w:hint="default" w:ascii="Arial" w:hAnsi="Arial" w:eastAsia="黑体" w:cs="Arial"/>
      <w:b/>
      <w:bCs/>
      <w:kern w:val="2"/>
      <w:sz w:val="32"/>
      <w:szCs w:val="32"/>
      <w:lang w:val="en-US" w:eastAsia="zh-CN" w:bidi="ar-SA"/>
    </w:rPr>
  </w:style>
  <w:style w:type="character" w:customStyle="1" w:styleId="149">
    <w:name w:val="f14"/>
    <w:basedOn w:val="51"/>
    <w:autoRedefine/>
    <w:qFormat/>
    <w:uiPriority w:val="0"/>
  </w:style>
  <w:style w:type="character" w:customStyle="1" w:styleId="150">
    <w:name w:val="正文文本缩进 Char"/>
    <w:basedOn w:val="51"/>
    <w:autoRedefine/>
    <w:qFormat/>
    <w:uiPriority w:val="0"/>
    <w:rPr>
      <w:rFonts w:ascii="Times New Roman" w:hAnsi="Times New Roman" w:eastAsia="宋体" w:cs="Times New Roman"/>
      <w:szCs w:val="24"/>
    </w:rPr>
  </w:style>
  <w:style w:type="character" w:customStyle="1" w:styleId="151">
    <w:name w:val="四级标题 Char"/>
    <w:autoRedefine/>
    <w:qFormat/>
    <w:uiPriority w:val="0"/>
    <w:rPr>
      <w:rFonts w:ascii="Arial" w:hAnsi="Arial" w:eastAsia="黑体"/>
      <w:b/>
      <w:bCs/>
      <w:kern w:val="2"/>
      <w:sz w:val="28"/>
      <w:szCs w:val="28"/>
    </w:rPr>
  </w:style>
  <w:style w:type="character" w:customStyle="1" w:styleId="152">
    <w:name w:val="PIM2 Char"/>
    <w:autoRedefine/>
    <w:qFormat/>
    <w:uiPriority w:val="0"/>
    <w:rPr>
      <w:rFonts w:ascii="Arial" w:hAnsi="Arial" w:eastAsia="黑体"/>
      <w:b/>
      <w:bCs/>
      <w:kern w:val="2"/>
      <w:sz w:val="32"/>
      <w:szCs w:val="32"/>
      <w:lang w:val="en-US" w:eastAsia="zh-CN" w:bidi="ar-SA"/>
    </w:rPr>
  </w:style>
  <w:style w:type="character" w:customStyle="1" w:styleId="153">
    <w:name w:val="表格 Char Char"/>
    <w:link w:val="154"/>
    <w:autoRedefine/>
    <w:qFormat/>
    <w:uiPriority w:val="0"/>
    <w:rPr>
      <w:rFonts w:ascii="Arial" w:hAnsi="Arial"/>
      <w:sz w:val="24"/>
      <w:lang w:val="en-US" w:eastAsia="zh-CN" w:bidi="ar-SA"/>
    </w:rPr>
  </w:style>
  <w:style w:type="paragraph" w:customStyle="1" w:styleId="154">
    <w:name w:val="表格"/>
    <w:next w:val="1"/>
    <w:link w:val="153"/>
    <w:autoRedefine/>
    <w:qFormat/>
    <w:uiPriority w:val="0"/>
    <w:rPr>
      <w:rFonts w:ascii="Arial" w:hAnsi="Arial" w:eastAsia="宋体" w:cs="Times New Roman"/>
      <w:sz w:val="24"/>
      <w:lang w:val="en-US" w:eastAsia="zh-CN" w:bidi="ar-SA"/>
    </w:rPr>
  </w:style>
  <w:style w:type="character" w:customStyle="1" w:styleId="155">
    <w:name w:val="Footer-Even Char Char"/>
    <w:autoRedefine/>
    <w:qFormat/>
    <w:locked/>
    <w:uiPriority w:val="0"/>
    <w:rPr>
      <w:kern w:val="2"/>
      <w:sz w:val="18"/>
      <w:lang w:bidi="he-IL"/>
    </w:rPr>
  </w:style>
  <w:style w:type="character" w:customStyle="1" w:styleId="156">
    <w:name w:val="Level 3 Head Char1"/>
    <w:autoRedefine/>
    <w:qFormat/>
    <w:uiPriority w:val="0"/>
    <w:rPr>
      <w:rFonts w:eastAsia="宋体"/>
      <w:b/>
      <w:bCs/>
      <w:kern w:val="2"/>
      <w:sz w:val="32"/>
      <w:szCs w:val="32"/>
      <w:lang w:val="en-US" w:eastAsia="zh-CN" w:bidi="ar-SA"/>
    </w:rPr>
  </w:style>
  <w:style w:type="character" w:customStyle="1" w:styleId="157">
    <w:name w:val="封面日期 Char Char2"/>
    <w:autoRedefine/>
    <w:qFormat/>
    <w:uiPriority w:val="0"/>
    <w:rPr>
      <w:rFonts w:ascii="仿宋_GB2312" w:eastAsia="仿宋_GB2312"/>
      <w:kern w:val="2"/>
      <w:sz w:val="30"/>
      <w:lang w:val="en-US" w:eastAsia="zh-CN" w:bidi="he-IL"/>
    </w:rPr>
  </w:style>
  <w:style w:type="character" w:customStyle="1" w:styleId="158">
    <w:name w:val="Subtle Emphasis"/>
    <w:autoRedefine/>
    <w:qFormat/>
    <w:uiPriority w:val="0"/>
    <w:rPr>
      <w:i/>
      <w:iCs/>
      <w:color w:val="808080"/>
    </w:rPr>
  </w:style>
  <w:style w:type="character" w:customStyle="1" w:styleId="159">
    <w:name w:val="明显引用 Char"/>
    <w:basedOn w:val="51"/>
    <w:autoRedefine/>
    <w:qFormat/>
    <w:uiPriority w:val="0"/>
    <w:rPr>
      <w:rFonts w:ascii="Times New Roman" w:hAnsi="Times New Roman" w:eastAsia="宋体" w:cs="Times New Roman"/>
      <w:b/>
      <w:bCs/>
      <w:i/>
      <w:iCs/>
      <w:color w:val="4F81BD"/>
      <w:szCs w:val="24"/>
    </w:rPr>
  </w:style>
  <w:style w:type="character" w:customStyle="1" w:styleId="160">
    <w:name w:val="ed1"/>
    <w:basedOn w:val="51"/>
    <w:autoRedefine/>
    <w:qFormat/>
    <w:uiPriority w:val="0"/>
  </w:style>
  <w:style w:type="character" w:customStyle="1" w:styleId="161">
    <w:name w:val="正文文本 Char"/>
    <w:basedOn w:val="51"/>
    <w:autoRedefine/>
    <w:qFormat/>
    <w:uiPriority w:val="0"/>
    <w:rPr>
      <w:rFonts w:ascii="Times New Roman" w:hAnsi="Times New Roman" w:eastAsia="宋体" w:cs="Times New Roman"/>
      <w:szCs w:val="24"/>
    </w:rPr>
  </w:style>
  <w:style w:type="character" w:customStyle="1" w:styleId="162">
    <w:name w:val="Char Char8"/>
    <w:basedOn w:val="51"/>
    <w:autoRedefine/>
    <w:qFormat/>
    <w:locked/>
    <w:uiPriority w:val="0"/>
    <w:rPr>
      <w:rFonts w:ascii="宋体" w:hAnsi="宋体" w:eastAsia="宋体"/>
      <w:kern w:val="2"/>
      <w:sz w:val="18"/>
      <w:szCs w:val="18"/>
      <w:lang w:val="en-US" w:eastAsia="zh-CN" w:bidi="ar-SA"/>
    </w:rPr>
  </w:style>
  <w:style w:type="character" w:customStyle="1" w:styleId="163">
    <w:name w:val="Intense Reference"/>
    <w:autoRedefine/>
    <w:qFormat/>
    <w:uiPriority w:val="0"/>
    <w:rPr>
      <w:b/>
      <w:bCs/>
      <w:smallCaps/>
      <w:color w:val="C0504D"/>
      <w:spacing w:val="5"/>
      <w:u w:val="single"/>
    </w:rPr>
  </w:style>
  <w:style w:type="character" w:customStyle="1" w:styleId="164">
    <w:name w:val="正文文字 Char"/>
    <w:autoRedefine/>
    <w:qFormat/>
    <w:uiPriority w:val="0"/>
    <w:rPr>
      <w:rFonts w:ascii="Arial" w:hAnsi="Arial" w:eastAsia="黑体"/>
      <w:b/>
      <w:kern w:val="2"/>
      <w:sz w:val="32"/>
      <w:lang w:val="en-US" w:eastAsia="zh-CN" w:bidi="ar-SA"/>
    </w:rPr>
  </w:style>
  <w:style w:type="character" w:customStyle="1" w:styleId="165">
    <w:name w:val="样式1 Char"/>
    <w:autoRedefine/>
    <w:qFormat/>
    <w:uiPriority w:val="0"/>
    <w:rPr>
      <w:b/>
      <w:bCs/>
      <w:kern w:val="2"/>
      <w:sz w:val="24"/>
      <w:szCs w:val="28"/>
    </w:rPr>
  </w:style>
  <w:style w:type="character" w:customStyle="1" w:styleId="166">
    <w:name w:val="Subtle Reference"/>
    <w:autoRedefine/>
    <w:qFormat/>
    <w:uiPriority w:val="0"/>
    <w:rPr>
      <w:smallCaps/>
      <w:color w:val="C0504D"/>
      <w:u w:val="single"/>
    </w:rPr>
  </w:style>
  <w:style w:type="character" w:customStyle="1" w:styleId="167">
    <w:name w:val="Default Char Char"/>
    <w:basedOn w:val="51"/>
    <w:link w:val="168"/>
    <w:autoRedefine/>
    <w:qFormat/>
    <w:uiPriority w:val="0"/>
    <w:rPr>
      <w:rFonts w:ascii="宋体" w:eastAsia="Times New Roman" w:cs="宋体"/>
      <w:color w:val="000000"/>
      <w:sz w:val="24"/>
      <w:szCs w:val="24"/>
      <w:lang w:val="en-US" w:eastAsia="zh-CN" w:bidi="ar-SA"/>
    </w:rPr>
  </w:style>
  <w:style w:type="paragraph" w:customStyle="1" w:styleId="168">
    <w:name w:val="Default"/>
    <w:link w:val="167"/>
    <w:autoRedefine/>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character" w:customStyle="1" w:styleId="169">
    <w:name w:val="文档结构图 Char"/>
    <w:basedOn w:val="51"/>
    <w:autoRedefine/>
    <w:qFormat/>
    <w:uiPriority w:val="0"/>
    <w:rPr>
      <w:rFonts w:ascii="宋体" w:hAnsi="Times New Roman" w:eastAsia="宋体" w:cs="Times New Roman"/>
      <w:sz w:val="18"/>
      <w:szCs w:val="18"/>
    </w:rPr>
  </w:style>
  <w:style w:type="character" w:customStyle="1" w:styleId="170">
    <w:name w:val="封面日期 Char Char"/>
    <w:autoRedefine/>
    <w:qFormat/>
    <w:uiPriority w:val="0"/>
    <w:rPr>
      <w:rFonts w:ascii="仿宋_GB2312" w:eastAsia="仿宋_GB2312"/>
      <w:kern w:val="2"/>
      <w:sz w:val="30"/>
      <w:lang w:val="en-US" w:eastAsia="zh-CN" w:bidi="he-IL"/>
    </w:rPr>
  </w:style>
  <w:style w:type="paragraph" w:customStyle="1" w:styleId="171">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17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17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4">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0"/>
    </w:rPr>
  </w:style>
  <w:style w:type="paragraph" w:customStyle="1" w:styleId="175">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177">
    <w:name w:val="D&amp;L"/>
    <w:basedOn w:val="3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78">
    <w:name w:val="正文4"/>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79">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0"/>
    </w:rPr>
  </w:style>
  <w:style w:type="paragraph" w:customStyle="1" w:styleId="180">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81">
    <w:name w:val="reader-word-layer reader-word-s5-1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2">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83">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184">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18"/>
      <w:szCs w:val="18"/>
    </w:rPr>
  </w:style>
  <w:style w:type="paragraph" w:customStyle="1" w:styleId="18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186">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jc w:val="left"/>
      <w:textAlignment w:val="center"/>
    </w:pPr>
    <w:rPr>
      <w:rFonts w:ascii="仿宋" w:hAnsi="仿宋" w:eastAsia="仿宋" w:cs="宋体"/>
      <w:kern w:val="0"/>
      <w:sz w:val="20"/>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styleId="188">
    <w:name w:val="List Paragraph"/>
    <w:basedOn w:val="1"/>
    <w:autoRedefine/>
    <w:qFormat/>
    <w:uiPriority w:val="34"/>
    <w:pPr>
      <w:ind w:firstLine="420" w:firstLineChars="200"/>
    </w:pPr>
    <w:rPr>
      <w:rFonts w:ascii="Calibri" w:hAnsi="Calibri"/>
      <w:szCs w:val="22"/>
    </w:rPr>
  </w:style>
  <w:style w:type="paragraph" w:customStyle="1" w:styleId="189">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19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191">
    <w:name w:val="Char1 Char Char Char Char Char Char1"/>
    <w:basedOn w:val="1"/>
    <w:autoRedefine/>
    <w:qFormat/>
    <w:uiPriority w:val="0"/>
    <w:rPr>
      <w:rFonts w:ascii="Tahoma" w:hAnsi="Tahoma"/>
      <w:sz w:val="24"/>
    </w:rPr>
  </w:style>
  <w:style w:type="paragraph" w:customStyle="1" w:styleId="192">
    <w:name w:val="flName"/>
    <w:basedOn w:val="1"/>
    <w:autoRedefine/>
    <w:qFormat/>
    <w:uiPriority w:val="0"/>
    <w:pPr>
      <w:adjustRightInd w:val="0"/>
      <w:spacing w:before="320" w:after="160" w:line="360" w:lineRule="atLeast"/>
      <w:jc w:val="center"/>
      <w:textAlignment w:val="baseline"/>
    </w:pPr>
    <w:rPr>
      <w:rFonts w:ascii="Arial" w:eastAsia="黑体"/>
      <w:kern w:val="0"/>
      <w:sz w:val="32"/>
    </w:rPr>
  </w:style>
  <w:style w:type="paragraph" w:customStyle="1" w:styleId="193">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18"/>
      <w:szCs w:val="18"/>
    </w:rPr>
  </w:style>
  <w:style w:type="paragraph" w:customStyle="1" w:styleId="194">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0"/>
    </w:rPr>
  </w:style>
  <w:style w:type="paragraph" w:customStyle="1" w:styleId="195">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96">
    <w:name w:val="xl1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 w:hAnsi="仿宋" w:eastAsia="仿宋" w:cs="宋体"/>
      <w:b/>
      <w:bCs/>
      <w:kern w:val="0"/>
      <w:sz w:val="20"/>
    </w:rPr>
  </w:style>
  <w:style w:type="paragraph" w:customStyle="1" w:styleId="197">
    <w:name w:val="font2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98">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18"/>
      <w:szCs w:val="18"/>
    </w:rPr>
  </w:style>
  <w:style w:type="paragraph" w:customStyle="1" w:styleId="19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kern w:val="0"/>
      <w:sz w:val="18"/>
      <w:szCs w:val="18"/>
    </w:rPr>
  </w:style>
  <w:style w:type="paragraph" w:customStyle="1" w:styleId="200">
    <w:name w:val="正文3"/>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01">
    <w:name w:val="招标公告"/>
    <w:basedOn w:val="1"/>
    <w:autoRedefine/>
    <w:qFormat/>
    <w:uiPriority w:val="0"/>
    <w:pPr>
      <w:widowControl/>
      <w:topLinePunct/>
      <w:spacing w:line="540" w:lineRule="exact"/>
      <w:jc w:val="left"/>
    </w:pPr>
    <w:rPr>
      <w:rFonts w:ascii="宋体" w:hAnsi="宋体"/>
      <w:kern w:val="0"/>
      <w:sz w:val="28"/>
      <w:szCs w:val="28"/>
      <w:lang w:eastAsia="en-US" w:bidi="en-US"/>
    </w:rPr>
  </w:style>
  <w:style w:type="paragraph" w:customStyle="1" w:styleId="202">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20"/>
    </w:rPr>
  </w:style>
  <w:style w:type="paragraph" w:customStyle="1" w:styleId="203">
    <w:name w:val="xl2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204">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jc w:val="center"/>
      <w:textAlignment w:val="center"/>
    </w:pPr>
    <w:rPr>
      <w:rFonts w:ascii="仿宋" w:hAnsi="仿宋" w:eastAsia="仿宋" w:cs="宋体"/>
      <w:kern w:val="0"/>
      <w:sz w:val="18"/>
      <w:szCs w:val="18"/>
    </w:rPr>
  </w:style>
  <w:style w:type="paragraph" w:customStyle="1" w:styleId="205">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206">
    <w:name w:val="菲页1"/>
    <w:basedOn w:val="3"/>
    <w:autoRedefine/>
    <w:qFormat/>
    <w:uiPriority w:val="0"/>
    <w:pPr>
      <w:widowControl/>
      <w:spacing w:line="240" w:lineRule="auto"/>
      <w:ind w:left="1020"/>
      <w:jc w:val="center"/>
    </w:pPr>
    <w:rPr>
      <w:rFonts w:ascii="黑体" w:hAnsi="宋体" w:eastAsia="宋体"/>
      <w:b w:val="0"/>
      <w:color w:val="000000"/>
      <w:kern w:val="0"/>
      <w:sz w:val="52"/>
    </w:rPr>
  </w:style>
  <w:style w:type="paragraph" w:customStyle="1" w:styleId="20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18"/>
      <w:szCs w:val="18"/>
    </w:rPr>
  </w:style>
  <w:style w:type="paragraph" w:customStyle="1" w:styleId="208">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宋体"/>
      <w:kern w:val="0"/>
      <w:sz w:val="20"/>
    </w:rPr>
  </w:style>
  <w:style w:type="paragraph" w:customStyle="1" w:styleId="209">
    <w:name w:val="Default Paragraph Char Char Char Char"/>
    <w:basedOn w:val="1"/>
    <w:next w:val="1"/>
    <w:autoRedefine/>
    <w:qFormat/>
    <w:uiPriority w:val="0"/>
    <w:pPr>
      <w:widowControl/>
      <w:spacing w:line="360" w:lineRule="auto"/>
      <w:jc w:val="left"/>
    </w:pPr>
  </w:style>
  <w:style w:type="paragraph" w:customStyle="1" w:styleId="210">
    <w:name w:val="正文6"/>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11">
    <w:name w:val="xl1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 w:hAnsi="仿宋" w:eastAsia="仿宋" w:cs="宋体"/>
      <w:kern w:val="0"/>
      <w:sz w:val="20"/>
    </w:rPr>
  </w:style>
  <w:style w:type="paragraph" w:customStyle="1" w:styleId="212">
    <w:name w:val="font2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214">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jc w:val="left"/>
      <w:textAlignment w:val="center"/>
    </w:pPr>
    <w:rPr>
      <w:rFonts w:ascii="仿宋" w:hAnsi="仿宋" w:eastAsia="仿宋" w:cs="宋体"/>
      <w:kern w:val="0"/>
      <w:sz w:val="20"/>
    </w:rPr>
  </w:style>
  <w:style w:type="paragraph" w:customStyle="1" w:styleId="215">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216">
    <w:name w:val="空半行"/>
    <w:basedOn w:val="1"/>
    <w:autoRedefine/>
    <w:qFormat/>
    <w:uiPriority w:val="0"/>
    <w:pPr>
      <w:adjustRightInd w:val="0"/>
      <w:spacing w:line="120" w:lineRule="exact"/>
    </w:pPr>
    <w:rPr>
      <w:rFonts w:eastAsia="仿宋_GB2312"/>
      <w:color w:val="FFFFFF"/>
      <w:kern w:val="0"/>
      <w:sz w:val="30"/>
    </w:rPr>
  </w:style>
  <w:style w:type="paragraph" w:customStyle="1" w:styleId="217">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18">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19">
    <w:name w:val="xl2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20">
    <w:name w:val="TOC Heading"/>
    <w:basedOn w:val="2"/>
    <w:next w:val="1"/>
    <w:autoRedefine/>
    <w:qFormat/>
    <w:uiPriority w:val="0"/>
    <w:pPr>
      <w:keepLines/>
      <w:numPr>
        <w:numId w:val="0"/>
      </w:numPr>
      <w:spacing w:before="340" w:after="330" w:line="576" w:lineRule="auto"/>
      <w:outlineLvl w:val="9"/>
    </w:pPr>
    <w:rPr>
      <w:rFonts w:ascii="Calibri" w:hAnsi="Calibri" w:eastAsia="宋体"/>
      <w:b/>
      <w:bCs/>
      <w:kern w:val="44"/>
      <w:sz w:val="44"/>
      <w:szCs w:val="44"/>
      <w:lang w:bidi="ar-SA"/>
    </w:rPr>
  </w:style>
  <w:style w:type="paragraph" w:customStyle="1" w:styleId="221">
    <w:name w:val="flNote"/>
    <w:basedOn w:val="1"/>
    <w:autoRedefine/>
    <w:qFormat/>
    <w:uiPriority w:val="0"/>
    <w:pPr>
      <w:adjustRightInd w:val="0"/>
      <w:spacing w:before="320" w:after="160" w:line="360" w:lineRule="atLeast"/>
      <w:jc w:val="center"/>
    </w:pPr>
    <w:rPr>
      <w:rFonts w:ascii="Arial" w:eastAsia="黑体"/>
      <w:kern w:val="0"/>
      <w:sz w:val="30"/>
    </w:rPr>
  </w:style>
  <w:style w:type="paragraph" w:customStyle="1" w:styleId="222">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23">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kern w:val="0"/>
      <w:sz w:val="20"/>
    </w:rPr>
  </w:style>
  <w:style w:type="paragraph" w:customStyle="1" w:styleId="224">
    <w:name w:val="正文文字2"/>
    <w:basedOn w:val="19"/>
    <w:autoRedefine/>
    <w:qFormat/>
    <w:uiPriority w:val="0"/>
    <w:pPr>
      <w:adjustRightInd w:val="0"/>
      <w:spacing w:after="60" w:line="360" w:lineRule="atLeast"/>
      <w:ind w:left="72" w:leftChars="30" w:right="72" w:rightChars="30"/>
      <w:jc w:val="center"/>
      <w:textAlignment w:val="baseline"/>
    </w:pPr>
    <w:rPr>
      <w:rFonts w:hAnsi="Times New Roman"/>
      <w:b w:val="0"/>
      <w:kern w:val="0"/>
      <w:sz w:val="21"/>
    </w:rPr>
  </w:style>
  <w:style w:type="paragraph" w:customStyle="1" w:styleId="225">
    <w:name w:val="17"/>
    <w:basedOn w:val="1"/>
    <w:autoRedefine/>
    <w:qFormat/>
    <w:uiPriority w:val="0"/>
    <w:pPr>
      <w:widowControl/>
      <w:spacing w:before="100" w:beforeAutospacing="1" w:after="100" w:afterAutospacing="1"/>
      <w:jc w:val="left"/>
    </w:pPr>
    <w:rPr>
      <w:kern w:val="0"/>
      <w:sz w:val="20"/>
    </w:rPr>
  </w:style>
  <w:style w:type="paragraph" w:customStyle="1" w:styleId="226">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7">
    <w:name w:val="xl17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8">
    <w:name w:val="Char11"/>
    <w:basedOn w:val="1"/>
    <w:autoRedefine/>
    <w:qFormat/>
    <w:uiPriority w:val="0"/>
    <w:pPr>
      <w:spacing w:line="360" w:lineRule="auto"/>
    </w:pPr>
    <w:rPr>
      <w:rFonts w:ascii="宋体" w:hAnsi="宋体"/>
      <w:b/>
      <w:sz w:val="28"/>
      <w:szCs w:val="28"/>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23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31">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 w:hAnsi="仿宋" w:eastAsia="仿宋" w:cs="宋体"/>
      <w:b/>
      <w:bCs/>
      <w:color w:val="000000"/>
      <w:kern w:val="0"/>
      <w:sz w:val="20"/>
    </w:rPr>
  </w:style>
  <w:style w:type="paragraph" w:customStyle="1" w:styleId="232">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0"/>
    </w:rPr>
  </w:style>
  <w:style w:type="paragraph" w:customStyle="1" w:styleId="233">
    <w:name w:val="xl2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34">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35">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236">
    <w:name w:val="xl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37">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38">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 w:hAnsi="仿宋" w:eastAsia="仿宋" w:cs="宋体"/>
      <w:kern w:val="0"/>
      <w:sz w:val="20"/>
    </w:rPr>
  </w:style>
  <w:style w:type="paragraph" w:customStyle="1" w:styleId="239">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0">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1">
    <w:name w:val="reader-word-layer reader-word-s3-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43">
    <w:name w:val="font29"/>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244">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45">
    <w:name w:val="xl3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6">
    <w:name w:val="Char Char16 Char Char Char Char Char Char Char Char"/>
    <w:basedOn w:val="1"/>
    <w:autoRedefine/>
    <w:qFormat/>
    <w:uiPriority w:val="0"/>
    <w:pPr>
      <w:spacing w:line="360" w:lineRule="auto"/>
    </w:pPr>
    <w:rPr>
      <w:rFonts w:ascii="宋体" w:hAnsi="宋体"/>
      <w:b/>
      <w:sz w:val="28"/>
      <w:szCs w:val="28"/>
    </w:rPr>
  </w:style>
  <w:style w:type="paragraph" w:customStyle="1" w:styleId="247">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48">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 w:hAnsi="仿宋" w:eastAsia="仿宋" w:cs="宋体"/>
      <w:kern w:val="0"/>
      <w:sz w:val="18"/>
      <w:szCs w:val="18"/>
    </w:rPr>
  </w:style>
  <w:style w:type="paragraph" w:customStyle="1" w:styleId="249">
    <w:name w:val="样式2"/>
    <w:basedOn w:val="1"/>
    <w:autoRedefine/>
    <w:qFormat/>
    <w:uiPriority w:val="0"/>
    <w:pPr>
      <w:tabs>
        <w:tab w:val="left" w:pos="420"/>
      </w:tabs>
      <w:adjustRightInd w:val="0"/>
      <w:spacing w:beforeLines="50" w:afterLines="50"/>
      <w:ind w:left="800" w:leftChars="400" w:hanging="400" w:hangingChars="400"/>
      <w:textAlignment w:val="baseline"/>
    </w:pPr>
  </w:style>
  <w:style w:type="paragraph" w:customStyle="1" w:styleId="250">
    <w:name w:val="缺省文本"/>
    <w:basedOn w:val="1"/>
    <w:autoRedefine/>
    <w:qFormat/>
    <w:uiPriority w:val="0"/>
    <w:pPr>
      <w:autoSpaceDE w:val="0"/>
      <w:autoSpaceDN w:val="0"/>
      <w:adjustRightInd w:val="0"/>
      <w:jc w:val="left"/>
    </w:pPr>
    <w:rPr>
      <w:kern w:val="0"/>
      <w:sz w:val="24"/>
    </w:rPr>
  </w:style>
  <w:style w:type="paragraph" w:customStyle="1" w:styleId="251">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52">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25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54">
    <w:name w:val="Char"/>
    <w:basedOn w:val="1"/>
    <w:autoRedefine/>
    <w:qFormat/>
    <w:uiPriority w:val="0"/>
    <w:pPr>
      <w:spacing w:line="360" w:lineRule="auto"/>
    </w:pPr>
    <w:rPr>
      <w:rFonts w:ascii="宋体" w:hAnsi="宋体"/>
      <w:b/>
      <w:sz w:val="28"/>
      <w:szCs w:val="28"/>
    </w:rPr>
  </w:style>
  <w:style w:type="paragraph" w:customStyle="1" w:styleId="255">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56">
    <w:name w:val="font14"/>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257">
    <w:name w:val="正文1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58">
    <w:name w:val="p0"/>
    <w:basedOn w:val="1"/>
    <w:autoRedefine/>
    <w:qFormat/>
    <w:uiPriority w:val="0"/>
    <w:pPr>
      <w:widowControl/>
    </w:pPr>
    <w:rPr>
      <w:kern w:val="0"/>
      <w:szCs w:val="21"/>
    </w:rPr>
  </w:style>
  <w:style w:type="paragraph" w:customStyle="1" w:styleId="259">
    <w:name w:val="xl16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260">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0"/>
    </w:rPr>
  </w:style>
  <w:style w:type="paragraph" w:customStyle="1" w:styleId="261">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18"/>
      <w:szCs w:val="18"/>
    </w:rPr>
  </w:style>
  <w:style w:type="paragraph" w:customStyle="1" w:styleId="26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6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64">
    <w:name w:val="reader-word-layer reader-word-s1-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6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66">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kern w:val="0"/>
      <w:sz w:val="18"/>
      <w:szCs w:val="18"/>
    </w:rPr>
  </w:style>
  <w:style w:type="paragraph" w:customStyle="1" w:styleId="267">
    <w:name w:val="项目3"/>
    <w:basedOn w:val="1"/>
    <w:autoRedefine/>
    <w:qFormat/>
    <w:uiPriority w:val="0"/>
    <w:pPr>
      <w:spacing w:line="360" w:lineRule="auto"/>
      <w:ind w:left="1245" w:hanging="1245"/>
    </w:pPr>
    <w:rPr>
      <w:b/>
      <w:sz w:val="24"/>
      <w:szCs w:val="24"/>
    </w:rPr>
  </w:style>
  <w:style w:type="paragraph" w:customStyle="1" w:styleId="268">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kern w:val="0"/>
      <w:sz w:val="20"/>
    </w:rPr>
  </w:style>
  <w:style w:type="paragraph" w:customStyle="1" w:styleId="269">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jc w:val="center"/>
      <w:textAlignment w:val="center"/>
    </w:pPr>
    <w:rPr>
      <w:rFonts w:ascii="仿宋" w:hAnsi="仿宋" w:eastAsia="仿宋" w:cs="宋体"/>
      <w:kern w:val="0"/>
      <w:sz w:val="20"/>
    </w:rPr>
  </w:style>
  <w:style w:type="paragraph" w:customStyle="1" w:styleId="270">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kern w:val="0"/>
      <w:sz w:val="20"/>
    </w:rPr>
  </w:style>
  <w:style w:type="paragraph" w:customStyle="1" w:styleId="2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18"/>
      <w:szCs w:val="18"/>
    </w:rPr>
  </w:style>
  <w:style w:type="paragraph" w:customStyle="1" w:styleId="27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kern w:val="0"/>
      <w:sz w:val="20"/>
    </w:rPr>
  </w:style>
  <w:style w:type="paragraph" w:customStyle="1" w:styleId="273">
    <w:name w:val="Char Char Char Char Char Char Char"/>
    <w:basedOn w:val="1"/>
    <w:autoRedefine/>
    <w:qFormat/>
    <w:uiPriority w:val="0"/>
    <w:pPr>
      <w:tabs>
        <w:tab w:val="left" w:pos="432"/>
      </w:tabs>
      <w:ind w:left="432" w:hanging="432"/>
    </w:pPr>
    <w:rPr>
      <w:color w:val="000000"/>
      <w:kern w:val="0"/>
      <w:u w:color="000000"/>
    </w:rPr>
  </w:style>
  <w:style w:type="paragraph" w:customStyle="1" w:styleId="274">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275">
    <w:name w:val="Char Char Char Char Char Char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76">
    <w:name w:val="xl25"/>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277">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18"/>
      <w:szCs w:val="18"/>
    </w:rPr>
  </w:style>
  <w:style w:type="paragraph" w:customStyle="1" w:styleId="27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279">
    <w:name w:val="Char Char Char Char1"/>
    <w:basedOn w:val="1"/>
    <w:autoRedefine/>
    <w:qFormat/>
    <w:uiPriority w:val="0"/>
    <w:pPr>
      <w:spacing w:line="360" w:lineRule="auto"/>
    </w:pPr>
    <w:rPr>
      <w:rFonts w:ascii="宋体" w:hAnsi="宋体"/>
      <w:b/>
      <w:sz w:val="28"/>
      <w:szCs w:val="28"/>
    </w:rPr>
  </w:style>
  <w:style w:type="paragraph" w:customStyle="1" w:styleId="28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1">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18"/>
      <w:szCs w:val="18"/>
    </w:rPr>
  </w:style>
  <w:style w:type="paragraph" w:customStyle="1" w:styleId="282">
    <w:name w:val="xl1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8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28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color w:val="000000"/>
      <w:kern w:val="0"/>
      <w:sz w:val="20"/>
    </w:rPr>
  </w:style>
  <w:style w:type="paragraph" w:customStyle="1" w:styleId="285">
    <w:name w:val="xl1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286">
    <w:name w:val="reader-word-layer reader-word-s3-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7">
    <w:name w:val="xl3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289">
    <w:name w:val="font1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90">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91">
    <w:name w:val="Char1"/>
    <w:basedOn w:val="1"/>
    <w:autoRedefine/>
    <w:qFormat/>
    <w:uiPriority w:val="0"/>
    <w:pPr>
      <w:widowControl/>
      <w:spacing w:after="160" w:line="240" w:lineRule="exact"/>
      <w:jc w:val="left"/>
    </w:pPr>
    <w:rPr>
      <w:rFonts w:ascii="Tahoma" w:hAnsi="Tahoma"/>
      <w:sz w:val="24"/>
    </w:rPr>
  </w:style>
  <w:style w:type="paragraph" w:customStyle="1" w:styleId="292">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0"/>
    </w:rPr>
  </w:style>
  <w:style w:type="paragraph" w:customStyle="1" w:styleId="29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9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rPr>
  </w:style>
  <w:style w:type="paragraph" w:customStyle="1" w:styleId="295">
    <w:name w:val="xl3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6">
    <w:name w:val="font1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297">
    <w:name w:val="ZW"/>
    <w:basedOn w:val="1"/>
    <w:autoRedefine/>
    <w:qFormat/>
    <w:uiPriority w:val="0"/>
    <w:pPr>
      <w:adjustRightInd w:val="0"/>
      <w:snapToGrid w:val="0"/>
      <w:spacing w:line="360" w:lineRule="auto"/>
      <w:ind w:firstLine="567"/>
    </w:pPr>
    <w:rPr>
      <w:sz w:val="24"/>
    </w:rPr>
  </w:style>
  <w:style w:type="paragraph" w:customStyle="1" w:styleId="298">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29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000000"/>
      <w:kern w:val="0"/>
      <w:sz w:val="20"/>
    </w:rPr>
  </w:style>
  <w:style w:type="paragraph" w:customStyle="1" w:styleId="300">
    <w:name w:val="正文段"/>
    <w:basedOn w:val="1"/>
    <w:autoRedefine/>
    <w:qFormat/>
    <w:uiPriority w:val="0"/>
    <w:pPr>
      <w:widowControl/>
      <w:adjustRightInd w:val="0"/>
      <w:spacing w:after="240" w:line="360" w:lineRule="atLeast"/>
      <w:ind w:firstLine="454"/>
      <w:textAlignment w:val="bottom"/>
    </w:pPr>
    <w:rPr>
      <w:rFonts w:ascii="宋体"/>
      <w:kern w:val="0"/>
      <w:sz w:val="24"/>
    </w:rPr>
  </w:style>
  <w:style w:type="paragraph" w:customStyle="1" w:styleId="301">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02">
    <w:name w:val="font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3">
    <w:name w:val="项目符号A Char"/>
    <w:basedOn w:val="1"/>
    <w:autoRedefine/>
    <w:qFormat/>
    <w:uiPriority w:val="0"/>
    <w:pPr>
      <w:tabs>
        <w:tab w:val="left" w:pos="1830"/>
      </w:tabs>
      <w:spacing w:line="360" w:lineRule="auto"/>
      <w:ind w:left="1830" w:hanging="360"/>
    </w:pPr>
    <w:rPr>
      <w:rFonts w:ascii="Arial" w:hAnsi="Arial"/>
      <w:sz w:val="24"/>
    </w:rPr>
  </w:style>
  <w:style w:type="paragraph" w:customStyle="1" w:styleId="30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5">
    <w:name w:val="默认段落字体 Para Char"/>
    <w:basedOn w:val="1"/>
    <w:autoRedefine/>
    <w:qFormat/>
    <w:uiPriority w:val="0"/>
    <w:rPr>
      <w:szCs w:val="24"/>
    </w:rPr>
  </w:style>
  <w:style w:type="paragraph" w:customStyle="1" w:styleId="306">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0"/>
    </w:rPr>
  </w:style>
  <w:style w:type="paragraph" w:customStyle="1" w:styleId="307">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308">
    <w:name w:val="正文2"/>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09">
    <w:name w:val="xl37"/>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0">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0"/>
    </w:rPr>
  </w:style>
  <w:style w:type="paragraph" w:customStyle="1" w:styleId="311">
    <w:name w:val="title1"/>
    <w:basedOn w:val="1"/>
    <w:autoRedefine/>
    <w:qFormat/>
    <w:uiPriority w:val="0"/>
    <w:pPr>
      <w:widowControl/>
      <w:spacing w:before="100" w:beforeAutospacing="1" w:after="100" w:afterAutospacing="1"/>
      <w:jc w:val="left"/>
    </w:pPr>
    <w:rPr>
      <w:rFonts w:ascii="Arial Unicode MS" w:hAnsi="Arial Unicode MS" w:eastAsia="Arial Unicode MS"/>
      <w:kern w:val="0"/>
      <w:szCs w:val="21"/>
    </w:rPr>
  </w:style>
  <w:style w:type="paragraph" w:customStyle="1" w:styleId="312">
    <w:name w:val="Char1 Char Char Char Char Char Char"/>
    <w:basedOn w:val="1"/>
    <w:autoRedefine/>
    <w:qFormat/>
    <w:uiPriority w:val="0"/>
    <w:rPr>
      <w:rFonts w:ascii="Tahoma" w:hAnsi="Tahoma"/>
      <w:sz w:val="24"/>
    </w:rPr>
  </w:style>
  <w:style w:type="paragraph" w:customStyle="1" w:styleId="313">
    <w:name w:val="xl16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314">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rPr>
  </w:style>
  <w:style w:type="paragraph" w:customStyle="1" w:styleId="315">
    <w:name w:val="Char Char Char2 Char Char Char Char Char Char Char Char Char Char Char Char"/>
    <w:basedOn w:val="1"/>
    <w:autoRedefine/>
    <w:qFormat/>
    <w:uiPriority w:val="0"/>
    <w:rPr>
      <w:rFonts w:ascii="Tahoma" w:hAnsi="Tahoma" w:eastAsia="黑体"/>
      <w:sz w:val="24"/>
    </w:rPr>
  </w:style>
  <w:style w:type="paragraph" w:customStyle="1" w:styleId="316">
    <w:name w:val="小节标题"/>
    <w:basedOn w:val="1"/>
    <w:next w:val="1"/>
    <w:autoRedefine/>
    <w:qFormat/>
    <w:uiPriority w:val="0"/>
    <w:pPr>
      <w:widowControl/>
      <w:spacing w:before="175" w:after="102" w:line="351" w:lineRule="atLeast"/>
      <w:textAlignment w:val="baseline"/>
    </w:pPr>
    <w:rPr>
      <w:rFonts w:eastAsia="黑体"/>
      <w:color w:val="000000"/>
      <w:kern w:val="0"/>
      <w:u w:color="000000"/>
    </w:rPr>
  </w:style>
  <w:style w:type="paragraph" w:customStyle="1" w:styleId="317">
    <w:name w:val="正文5"/>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18">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 w:hAnsi="仿宋" w:eastAsia="仿宋" w:cs="宋体"/>
      <w:b/>
      <w:bCs/>
      <w:kern w:val="0"/>
      <w:sz w:val="20"/>
    </w:rPr>
  </w:style>
  <w:style w:type="paragraph" w:customStyle="1" w:styleId="319">
    <w:name w:val="font2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 w:hAnsi="仿宋" w:eastAsia="仿宋" w:cs="宋体"/>
      <w:kern w:val="0"/>
      <w:sz w:val="20"/>
    </w:rPr>
  </w:style>
  <w:style w:type="paragraph" w:customStyle="1" w:styleId="32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2">
    <w:name w:val="xl16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32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18"/>
      <w:szCs w:val="18"/>
    </w:rPr>
  </w:style>
  <w:style w:type="paragraph" w:customStyle="1" w:styleId="324">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 w:hAnsi="仿宋" w:eastAsia="仿宋" w:cs="宋体"/>
      <w:kern w:val="0"/>
      <w:sz w:val="18"/>
      <w:szCs w:val="18"/>
    </w:rPr>
  </w:style>
  <w:style w:type="paragraph" w:customStyle="1" w:styleId="325">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326">
    <w:name w:val="BT-3"/>
    <w:autoRedefine/>
    <w:qFormat/>
    <w:uiPriority w:val="0"/>
    <w:pPr>
      <w:adjustRightInd w:val="0"/>
      <w:snapToGrid w:val="0"/>
      <w:spacing w:beforeLines="40" w:afterLines="40" w:line="336" w:lineRule="auto"/>
      <w:outlineLvl w:val="2"/>
    </w:pPr>
    <w:rPr>
      <w:rFonts w:ascii="Times New Roman" w:hAnsi="Times New Roman" w:eastAsia="楷体_GB2312" w:cs="Times New Roman"/>
      <w:b/>
      <w:sz w:val="32"/>
      <w:szCs w:val="28"/>
      <w:lang w:val="en-US" w:eastAsia="zh-CN" w:bidi="ar-SA"/>
    </w:rPr>
  </w:style>
  <w:style w:type="paragraph" w:customStyle="1" w:styleId="32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328">
    <w:name w:val="Char Char"/>
    <w:basedOn w:val="1"/>
    <w:autoRedefine/>
    <w:qFormat/>
    <w:uiPriority w:val="0"/>
    <w:rPr>
      <w:rFonts w:ascii="仿宋_GB2312" w:eastAsia="仿宋_GB2312"/>
      <w:b/>
      <w:sz w:val="32"/>
      <w:szCs w:val="32"/>
    </w:rPr>
  </w:style>
  <w:style w:type="paragraph" w:customStyle="1" w:styleId="32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30">
    <w:name w:val="正文文本 21"/>
    <w:basedOn w:val="1"/>
    <w:autoRedefine/>
    <w:qFormat/>
    <w:uiPriority w:val="0"/>
    <w:pPr>
      <w:autoSpaceDE w:val="0"/>
      <w:autoSpaceDN w:val="0"/>
      <w:adjustRightInd w:val="0"/>
      <w:spacing w:line="440" w:lineRule="exact"/>
      <w:ind w:firstLine="564"/>
      <w:jc w:val="left"/>
      <w:textAlignment w:val="baseline"/>
    </w:pPr>
    <w:rPr>
      <w:rFonts w:ascii="楷体_GB2312" w:eastAsia="楷体_GB2312"/>
      <w:sz w:val="32"/>
    </w:rPr>
  </w:style>
  <w:style w:type="paragraph" w:customStyle="1" w:styleId="331">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332">
    <w:name w:val="Char Char Char Char"/>
    <w:basedOn w:val="1"/>
    <w:autoRedefine/>
    <w:qFormat/>
    <w:uiPriority w:val="0"/>
    <w:pPr>
      <w:widowControl/>
      <w:adjustRightInd w:val="0"/>
      <w:snapToGrid w:val="0"/>
      <w:spacing w:after="160" w:line="240" w:lineRule="exact"/>
      <w:ind w:firstLine="200" w:firstLineChars="200"/>
      <w:jc w:val="left"/>
    </w:pPr>
  </w:style>
  <w:style w:type="paragraph" w:customStyle="1" w:styleId="333">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 w:hAnsi="仿宋" w:eastAsia="仿宋" w:cs="宋体"/>
      <w:b/>
      <w:bCs/>
      <w:kern w:val="0"/>
      <w:sz w:val="20"/>
    </w:rPr>
  </w:style>
  <w:style w:type="paragraph" w:customStyle="1" w:styleId="33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5">
    <w:name w:val="节标题"/>
    <w:basedOn w:val="1"/>
    <w:next w:val="1"/>
    <w:autoRedefine/>
    <w:qFormat/>
    <w:uiPriority w:val="0"/>
    <w:pPr>
      <w:widowControl/>
      <w:spacing w:line="289" w:lineRule="atLeast"/>
      <w:jc w:val="center"/>
      <w:textAlignment w:val="baseline"/>
    </w:pPr>
    <w:rPr>
      <w:color w:val="000000"/>
      <w:kern w:val="0"/>
      <w:sz w:val="28"/>
      <w:u w:color="000000"/>
    </w:rPr>
  </w:style>
  <w:style w:type="paragraph" w:customStyle="1" w:styleId="33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20"/>
    </w:rPr>
  </w:style>
  <w:style w:type="paragraph" w:customStyle="1" w:styleId="337">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338">
    <w:name w:val="xl32"/>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0">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kern w:val="0"/>
      <w:sz w:val="20"/>
    </w:rPr>
  </w:style>
  <w:style w:type="paragraph" w:customStyle="1" w:styleId="34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2">
    <w:name w:val="xl36"/>
    <w:basedOn w:val="1"/>
    <w:autoRedefine/>
    <w:qFormat/>
    <w:uiPriority w:val="0"/>
    <w:pPr>
      <w:widowControl/>
      <w:pBdr>
        <w:top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3">
    <w:name w:val="目录文字"/>
    <w:basedOn w:val="1"/>
    <w:autoRedefine/>
    <w:qFormat/>
    <w:uiPriority w:val="0"/>
    <w:pPr>
      <w:widowControl/>
      <w:spacing w:line="480" w:lineRule="auto"/>
      <w:jc w:val="left"/>
    </w:pPr>
    <w:rPr>
      <w:rFonts w:ascii="宋体" w:hAnsi="宋体"/>
      <w:kern w:val="0"/>
      <w:sz w:val="24"/>
    </w:rPr>
  </w:style>
  <w:style w:type="paragraph" w:customStyle="1" w:styleId="344">
    <w:name w:val="font1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5">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 w:hAnsi="仿宋" w:eastAsia="仿宋" w:cs="宋体"/>
      <w:b/>
      <w:bCs/>
      <w:kern w:val="0"/>
      <w:sz w:val="20"/>
    </w:rPr>
  </w:style>
  <w:style w:type="paragraph" w:customStyle="1" w:styleId="34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347">
    <w:name w:val="方案文档 Char"/>
    <w:basedOn w:val="1"/>
    <w:autoRedefine/>
    <w:qFormat/>
    <w:uiPriority w:val="0"/>
    <w:pPr>
      <w:numPr>
        <w:ilvl w:val="0"/>
        <w:numId w:val="2"/>
      </w:numPr>
      <w:spacing w:line="360" w:lineRule="auto"/>
      <w:ind w:left="0" w:right="34" w:firstLine="566" w:firstLineChars="236"/>
    </w:pPr>
    <w:rPr>
      <w:rFonts w:ascii="Arial" w:hAnsi="Arial"/>
      <w:sz w:val="24"/>
    </w:rPr>
  </w:style>
  <w:style w:type="paragraph" w:customStyle="1" w:styleId="348">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0"/>
    </w:rPr>
  </w:style>
  <w:style w:type="paragraph" w:customStyle="1" w:styleId="349">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0">
    <w:name w:val="xl3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51">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rPr>
  </w:style>
  <w:style w:type="paragraph" w:customStyle="1" w:styleId="35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0"/>
    </w:rPr>
  </w:style>
  <w:style w:type="paragraph" w:customStyle="1" w:styleId="353">
    <w:name w:val="xl1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 w:hAnsi="仿宋" w:eastAsia="仿宋" w:cs="宋体"/>
      <w:b/>
      <w:bCs/>
      <w:kern w:val="0"/>
      <w:sz w:val="20"/>
    </w:rPr>
  </w:style>
  <w:style w:type="paragraph" w:customStyle="1" w:styleId="354">
    <w:name w:val="xl17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5">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56">
    <w:name w:val="xl2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7">
    <w:name w:val="A正文四号"/>
    <w:basedOn w:val="1"/>
    <w:autoRedefine/>
    <w:qFormat/>
    <w:uiPriority w:val="0"/>
    <w:pPr>
      <w:spacing w:line="360" w:lineRule="auto"/>
      <w:ind w:firstLine="200" w:firstLineChars="200"/>
    </w:pPr>
    <w:rPr>
      <w:rFonts w:eastAsia="仿宋"/>
      <w:sz w:val="28"/>
      <w:szCs w:val="24"/>
    </w:rPr>
  </w:style>
  <w:style w:type="paragraph" w:customStyle="1" w:styleId="358">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59">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360">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0"/>
    </w:rPr>
  </w:style>
  <w:style w:type="paragraph" w:customStyle="1" w:styleId="361">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62">
    <w:name w:val="xl6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3">
    <w:name w:val="百姓X"/>
    <w:basedOn w:val="1"/>
    <w:autoRedefine/>
    <w:qFormat/>
    <w:uiPriority w:val="0"/>
    <w:pPr>
      <w:spacing w:before="100" w:beforeAutospacing="1" w:after="100" w:afterAutospacing="1" w:line="360" w:lineRule="auto"/>
      <w:ind w:firstLine="480" w:firstLineChars="200"/>
      <w:jc w:val="left"/>
    </w:pPr>
    <w:rPr>
      <w:sz w:val="24"/>
    </w:rPr>
  </w:style>
  <w:style w:type="paragraph" w:customStyle="1" w:styleId="36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000000"/>
      <w:kern w:val="0"/>
      <w:sz w:val="20"/>
    </w:rPr>
  </w:style>
  <w:style w:type="paragraph" w:customStyle="1" w:styleId="365">
    <w:name w:val="Item List-正文"/>
    <w:basedOn w:val="1"/>
    <w:autoRedefine/>
    <w:qFormat/>
    <w:uiPriority w:val="0"/>
    <w:pPr>
      <w:widowControl/>
      <w:tabs>
        <w:tab w:val="left" w:pos="851"/>
      </w:tabs>
      <w:snapToGrid w:val="0"/>
      <w:spacing w:before="60"/>
      <w:ind w:left="851" w:hanging="426"/>
    </w:pPr>
    <w:rPr>
      <w:rFonts w:ascii="Arial" w:hAnsi="Arial" w:cs="Arial"/>
      <w:kern w:val="0"/>
      <w:szCs w:val="21"/>
    </w:rPr>
  </w:style>
  <w:style w:type="paragraph" w:customStyle="1" w:styleId="366">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rPr>
  </w:style>
  <w:style w:type="paragraph" w:customStyle="1" w:styleId="367">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18"/>
      <w:szCs w:val="18"/>
    </w:rPr>
  </w:style>
  <w:style w:type="paragraph" w:customStyle="1" w:styleId="368">
    <w:name w:val="默认段落字体 Para Char Char Char Char"/>
    <w:basedOn w:val="1"/>
    <w:autoRedefine/>
    <w:qFormat/>
    <w:uiPriority w:val="0"/>
    <w:rPr>
      <w:szCs w:val="24"/>
    </w:rPr>
  </w:style>
  <w:style w:type="paragraph" w:customStyle="1" w:styleId="369">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0">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宋体"/>
      <w:color w:val="000000"/>
      <w:kern w:val="0"/>
      <w:sz w:val="20"/>
    </w:rPr>
  </w:style>
  <w:style w:type="paragraph" w:customStyle="1" w:styleId="371">
    <w:name w:val="text"/>
    <w:basedOn w:val="1"/>
    <w:autoRedefine/>
    <w:qFormat/>
    <w:uiPriority w:val="0"/>
    <w:pPr>
      <w:widowControl/>
      <w:spacing w:before="100" w:beforeAutospacing="1" w:after="100" w:afterAutospacing="1"/>
      <w:ind w:firstLine="336"/>
      <w:jc w:val="left"/>
    </w:pPr>
    <w:rPr>
      <w:rFonts w:ascii="宋体" w:hAnsi="宋体" w:cs="宋体"/>
      <w:kern w:val="0"/>
      <w:sz w:val="24"/>
      <w:szCs w:val="24"/>
    </w:rPr>
  </w:style>
  <w:style w:type="paragraph" w:customStyle="1" w:styleId="372">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b/>
      <w:bCs/>
      <w:color w:val="000000"/>
      <w:kern w:val="0"/>
      <w:sz w:val="20"/>
    </w:rPr>
  </w:style>
  <w:style w:type="paragraph" w:customStyle="1" w:styleId="373">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74">
    <w:name w:val="xl1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0"/>
    </w:rPr>
  </w:style>
  <w:style w:type="paragraph" w:customStyle="1" w:styleId="375">
    <w:name w:val="font2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76">
    <w:name w:val="font1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77">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78">
    <w:name w:val="font2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79">
    <w:name w:val="font2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0">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1">
    <w:name w:val="font2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2">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3">
    <w:name w:val="font2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4">
    <w:name w:val="Table Paragraph"/>
    <w:basedOn w:val="1"/>
    <w:autoRedefine/>
    <w:qFormat/>
    <w:uiPriority w:val="99"/>
    <w:pPr>
      <w:jc w:val="left"/>
    </w:pPr>
    <w:rPr>
      <w:rFonts w:ascii="Calibri" w:hAnsi="Calibri"/>
      <w:kern w:val="0"/>
      <w:sz w:val="22"/>
      <w:szCs w:val="22"/>
      <w:lang w:eastAsia="en-US"/>
    </w:rPr>
  </w:style>
  <w:style w:type="paragraph" w:customStyle="1" w:styleId="385">
    <w:name w:val="font26"/>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86">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7">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88">
    <w:name w:val="xl1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89">
    <w:name w:val="xl18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90">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391">
    <w:name w:val="纯文本1"/>
    <w:basedOn w:val="1"/>
    <w:autoRedefine/>
    <w:qFormat/>
    <w:uiPriority w:val="0"/>
    <w:pPr>
      <w:widowControl/>
      <w:jc w:val="left"/>
    </w:pPr>
    <w:rPr>
      <w:rFonts w:ascii="宋体" w:hAnsi="Courier New" w:cs="宋体"/>
      <w:kern w:val="0"/>
      <w:sz w:val="20"/>
    </w:rPr>
  </w:style>
  <w:style w:type="paragraph" w:customStyle="1" w:styleId="392">
    <w:name w:val="Char1 Char Char Char"/>
    <w:basedOn w:val="1"/>
    <w:autoRedefine/>
    <w:qFormat/>
    <w:uiPriority w:val="0"/>
    <w:pPr>
      <w:widowControl/>
      <w:snapToGrid w:val="0"/>
      <w:spacing w:before="120" w:after="160" w:line="360" w:lineRule="auto"/>
      <w:ind w:right="-360"/>
      <w:jc w:val="left"/>
    </w:pPr>
    <w:rPr>
      <w:rFonts w:ascii="Arial" w:hAnsi="Arial"/>
      <w:kern w:val="0"/>
      <w:sz w:val="24"/>
      <w:szCs w:val="24"/>
      <w:lang w:eastAsia="en-US"/>
    </w:rPr>
  </w:style>
  <w:style w:type="table" w:customStyle="1" w:styleId="393">
    <w:name w:val="Table Normal"/>
    <w:autoRedefine/>
    <w:unhideWhenUsed/>
    <w:qFormat/>
    <w:uiPriority w:val="0"/>
    <w:tblPr>
      <w:tblCellMar>
        <w:top w:w="0" w:type="dxa"/>
        <w:left w:w="0" w:type="dxa"/>
        <w:bottom w:w="0" w:type="dxa"/>
        <w:right w:w="0" w:type="dxa"/>
      </w:tblCellMar>
    </w:tblPr>
  </w:style>
  <w:style w:type="paragraph" w:customStyle="1" w:styleId="394">
    <w:name w:val="UserStyle_0"/>
    <w:autoRedefine/>
    <w:qFormat/>
    <w:uiPriority w:val="0"/>
    <w:pPr>
      <w:textAlignment w:val="baseline"/>
    </w:pPr>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21040</Words>
  <Characters>24081</Characters>
  <Lines>26</Lines>
  <Paragraphs>42</Paragraphs>
  <TotalTime>0</TotalTime>
  <ScaleCrop>false</ScaleCrop>
  <LinksUpToDate>false</LinksUpToDate>
  <CharactersWithSpaces>26151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2021-10-03T08:38:00Z</dcterms:created>
  <dc:creator>微软用户</dc:creator>
  <cp:lastModifiedBy>余清</cp:lastModifiedBy>
  <cp:lastPrinted>2022-12-12T13:39:00Z</cp:lastPrinted>
  <dcterms:modified xsi:type="dcterms:W3CDTF">2024-03-14T08:24:34Z</dcterms:modified>
  <dc:title>项目编号：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80669D5CDAF14D1FAA204477EE8F428B</vt:lpwstr>
  </property>
</Properties>
</file>