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公开询价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tabs>
          <w:tab w:val="left" w:pos="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u w:val="none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现将我单位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2023-2025年度员工体检服务项目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询价函发给贵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，请收到后于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平台公告发布之日起五日内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将所附报价表以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传送平台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平台开标时间为公告截止起第五日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届时以公开询价最低价评标方式确定中标医院，投标资料需包含项目资质要求及各分项报价等。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将依据贵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内容及价格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作出选择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最终选择贵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，希望贵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在指定的期限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按时按质完成相关报价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（报价单需加盖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公章，超过以上指定时间我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则不予接收）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敬颂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赖佳萍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15986797028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邮箱：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465304532@qq.com</w:t>
      </w:r>
    </w:p>
    <w:p>
      <w:pPr>
        <w:tabs>
          <w:tab w:val="left" w:pos="7560"/>
        </w:tabs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tabs>
          <w:tab w:val="left" w:pos="7560"/>
        </w:tabs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tabs>
          <w:tab w:val="left" w:pos="7560"/>
        </w:tabs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tabs>
          <w:tab w:val="left" w:pos="7560"/>
        </w:tabs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tabs>
          <w:tab w:val="left" w:pos="7560"/>
        </w:tabs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tabs>
          <w:tab w:val="left" w:pos="7560"/>
        </w:tabs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tabs>
          <w:tab w:val="left" w:pos="7560"/>
        </w:tabs>
        <w:spacing w:line="360" w:lineRule="auto"/>
        <w:ind w:left="1200" w:hanging="1200" w:hanging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项目名称：员工体检项目2023-2025年度服务商</w:t>
      </w:r>
    </w:p>
    <w:p>
      <w:pPr>
        <w:tabs>
          <w:tab w:val="left" w:pos="7560"/>
        </w:tabs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项目内容</w:t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</w:rPr>
        <w:t>本项目</w:t>
      </w:r>
      <w:r>
        <w:rPr>
          <w:rFonts w:hint="eastAsia" w:ascii="宋体" w:hAnsi="宋体" w:eastAsia="宋体" w:cs="宋体"/>
          <w:color w:val="000000"/>
          <w:sz w:val="24"/>
        </w:rPr>
        <w:t>选取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</w:rPr>
        <w:t>名中标人作为年度服务商，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首</w:t>
      </w:r>
      <w:r>
        <w:rPr>
          <w:rFonts w:hint="eastAsia" w:ascii="宋体" w:hAnsi="宋体" w:eastAsia="宋体" w:cs="宋体"/>
          <w:color w:val="000000"/>
          <w:sz w:val="24"/>
        </w:rPr>
        <w:t>年度预估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体检</w:t>
      </w:r>
      <w:r>
        <w:rPr>
          <w:rFonts w:hint="eastAsia" w:ascii="宋体" w:hAnsi="宋体" w:eastAsia="宋体" w:cs="宋体"/>
          <w:color w:val="000000"/>
          <w:sz w:val="24"/>
        </w:rPr>
        <w:t>人约有</w:t>
      </w:r>
      <w:r>
        <w:rPr>
          <w:rFonts w:hint="eastAsia" w:ascii="宋体" w:hAnsi="宋体" w:eastAsia="宋体"/>
          <w:color w:val="000000"/>
          <w:sz w:val="24"/>
          <w:shd w:val="clear" w:color="auto" w:fill="FFFFFF"/>
          <w:lang w:val="en-US" w:eastAsia="zh-CN"/>
        </w:rPr>
        <w:t>148</w:t>
      </w:r>
      <w:r>
        <w:rPr>
          <w:rFonts w:hint="eastAsia" w:ascii="宋体" w:hAnsi="宋体" w:eastAsia="宋体"/>
          <w:color w:val="000000"/>
          <w:sz w:val="24"/>
          <w:shd w:val="clear" w:color="auto" w:fill="FFFFFF"/>
        </w:rPr>
        <w:t>名员工参与体检，</w:t>
      </w:r>
      <w:r>
        <w:rPr>
          <w:rFonts w:hint="eastAsia" w:ascii="宋体" w:hAnsi="宋体" w:eastAsia="宋体"/>
          <w:color w:val="000000"/>
          <w:sz w:val="24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/>
          <w:color w:val="000000"/>
          <w:sz w:val="24"/>
          <w:shd w:val="clear" w:color="auto" w:fill="FFFFFF"/>
          <w:lang w:eastAsia="zh-CN"/>
        </w:rPr>
        <w:t>年度人员将增加</w:t>
      </w: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数量仅供参考，以实际发生额为准）</w:t>
      </w:r>
    </w:p>
    <w:p>
      <w:pPr>
        <w:tabs>
          <w:tab w:val="left" w:pos="7560"/>
        </w:tabs>
        <w:spacing w:line="360" w:lineRule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 w:cs="宋体"/>
          <w:sz w:val="24"/>
        </w:rPr>
        <w:t>投标报价的上限：</w:t>
      </w:r>
      <w:r>
        <w:rPr>
          <w:rFonts w:hint="eastAsia" w:ascii="宋体" w:hAnsi="宋体" w:eastAsia="宋体" w:cs="宋体"/>
          <w:color w:val="000000"/>
          <w:sz w:val="24"/>
        </w:rPr>
        <w:t>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ascii="宋体" w:hAnsi="宋体" w:eastAsia="宋体" w:cs="宋体"/>
          <w:color w:val="000000"/>
          <w:sz w:val="24"/>
        </w:rPr>
        <w:t>个套餐进行</w:t>
      </w:r>
      <w:r>
        <w:rPr>
          <w:rFonts w:hint="eastAsia" w:ascii="宋体" w:hAnsi="宋体" w:eastAsia="宋体" w:cs="宋体"/>
          <w:color w:val="000000"/>
          <w:sz w:val="24"/>
        </w:rPr>
        <w:t>限</w:t>
      </w:r>
      <w:r>
        <w:rPr>
          <w:rFonts w:ascii="宋体" w:hAnsi="宋体" w:eastAsia="宋体" w:cs="宋体"/>
          <w:color w:val="000000"/>
          <w:sz w:val="24"/>
        </w:rPr>
        <w:t>价</w:t>
      </w:r>
      <w:r>
        <w:rPr>
          <w:rFonts w:hint="eastAsia" w:ascii="宋体" w:hAnsi="宋体" w:eastAsia="宋体"/>
          <w:sz w:val="24"/>
        </w:rPr>
        <w:t>。(详</w:t>
      </w:r>
      <w:r>
        <w:rPr>
          <w:rFonts w:ascii="宋体" w:hAnsi="宋体" w:eastAsia="宋体"/>
          <w:sz w:val="24"/>
        </w:rPr>
        <w:t>见服务清单</w:t>
      </w:r>
      <w:r>
        <w:rPr>
          <w:rFonts w:hint="eastAsia" w:ascii="宋体" w:hAnsi="宋体" w:eastAsia="宋体"/>
          <w:sz w:val="24"/>
        </w:rPr>
        <w:t>)</w:t>
      </w:r>
    </w:p>
    <w:p>
      <w:pPr>
        <w:tabs>
          <w:tab w:val="left" w:pos="7560"/>
        </w:tabs>
        <w:spacing w:line="360" w:lineRule="auto"/>
      </w:pPr>
      <w:r>
        <w:rPr>
          <w:rFonts w:hint="eastAsia" w:ascii="宋体" w:hAnsi="宋体" w:eastAsia="宋体" w:cs="宋体"/>
          <w:sz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</w:rPr>
        <w:t>服务期限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</w:rPr>
        <w:t>本次招标服务期限为2年。（按1+1模式执行）</w:t>
      </w:r>
    </w:p>
    <w:p>
      <w:pPr>
        <w:tabs>
          <w:tab w:val="left" w:pos="7560"/>
        </w:tabs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投标人资质要求：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1.投标人必须是在中华人民共和国境内（不含港澳台地区）注册且具有独立法人资格</w:t>
      </w:r>
      <w:r>
        <w:rPr>
          <w:rFonts w:hint="eastAsia" w:ascii="宋体" w:hAnsi="宋体" w:eastAsia="宋体" w:cs="宋体"/>
          <w:color w:val="000000"/>
          <w:sz w:val="24"/>
        </w:rPr>
        <w:t>或</w:t>
      </w:r>
      <w:r>
        <w:rPr>
          <w:rFonts w:ascii="宋体" w:hAnsi="宋体" w:eastAsia="宋体" w:cs="宋体"/>
          <w:color w:val="000000"/>
          <w:sz w:val="24"/>
        </w:rPr>
        <w:t>事</w:t>
      </w:r>
      <w:r>
        <w:rPr>
          <w:rFonts w:hint="eastAsia" w:ascii="宋体" w:hAnsi="宋体" w:eastAsia="宋体" w:cs="宋体"/>
          <w:color w:val="000000"/>
          <w:sz w:val="24"/>
        </w:rPr>
        <w:t>业</w:t>
      </w:r>
      <w:r>
        <w:rPr>
          <w:rFonts w:ascii="宋体" w:hAnsi="宋体" w:eastAsia="宋体" w:cs="宋体"/>
          <w:color w:val="000000"/>
          <w:sz w:val="24"/>
        </w:rPr>
        <w:t>单位法人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/>
          <w:sz w:val="24"/>
        </w:rPr>
        <w:t>投标人</w:t>
      </w:r>
      <w:r>
        <w:rPr>
          <w:rFonts w:hint="eastAsia" w:ascii="宋体" w:hAnsi="宋体" w:eastAsia="宋体" w:cs="宋体"/>
          <w:color w:val="000000"/>
          <w:sz w:val="24"/>
        </w:rPr>
        <w:t>必</w:t>
      </w:r>
      <w:r>
        <w:rPr>
          <w:rFonts w:hint="eastAsia" w:ascii="宋体" w:hAnsi="宋体" w:eastAsia="宋体"/>
          <w:sz w:val="24"/>
        </w:rPr>
        <w:t>须提供有效期内的</w:t>
      </w:r>
      <w:r>
        <w:rPr>
          <w:rFonts w:ascii="宋体" w:hAnsi="宋体" w:eastAsia="宋体"/>
          <w:sz w:val="24"/>
        </w:rPr>
        <w:t>《医疗机构执业许可证》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color w:val="000000"/>
          <w:sz w:val="24"/>
        </w:rPr>
        <w:t>投标人必须是</w:t>
      </w:r>
      <w:r>
        <w:rPr>
          <w:rFonts w:hint="eastAsia" w:ascii="宋体" w:hAnsi="宋体" w:eastAsia="宋体"/>
          <w:sz w:val="24"/>
        </w:rPr>
        <w:t>三级</w:t>
      </w:r>
      <w:r>
        <w:rPr>
          <w:rFonts w:hint="eastAsia" w:ascii="宋体" w:hAnsi="宋体" w:eastAsia="宋体"/>
          <w:sz w:val="24"/>
          <w:lang w:eastAsia="zh-CN"/>
        </w:rPr>
        <w:t>甲</w:t>
      </w:r>
      <w:r>
        <w:rPr>
          <w:rFonts w:hint="eastAsia" w:ascii="宋体" w:hAnsi="宋体" w:eastAsia="宋体"/>
          <w:color w:val="000000"/>
          <w:sz w:val="24"/>
        </w:rPr>
        <w:t>等</w:t>
      </w:r>
      <w:r>
        <w:rPr>
          <w:rFonts w:hint="eastAsia" w:ascii="宋体" w:hAnsi="宋体" w:eastAsia="宋体"/>
          <w:color w:val="000000"/>
          <w:sz w:val="24"/>
          <w:lang w:eastAsia="zh-CN"/>
        </w:rPr>
        <w:t>及</w:t>
      </w:r>
      <w:r>
        <w:rPr>
          <w:rFonts w:ascii="宋体" w:hAnsi="宋体" w:eastAsia="宋体"/>
          <w:color w:val="000000"/>
          <w:sz w:val="24"/>
        </w:rPr>
        <w:t>以</w:t>
      </w:r>
      <w:r>
        <w:rPr>
          <w:rFonts w:hint="eastAsia" w:ascii="宋体" w:hAnsi="宋体" w:eastAsia="宋体"/>
          <w:color w:val="000000"/>
          <w:sz w:val="24"/>
        </w:rPr>
        <w:t>上</w:t>
      </w:r>
      <w:r>
        <w:rPr>
          <w:rFonts w:ascii="宋体" w:hAnsi="宋体" w:eastAsia="宋体"/>
          <w:sz w:val="24"/>
        </w:rPr>
        <w:t>医院。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</w:rPr>
        <w:t>.同一服务商或者服务商集团下属服务公司，只允许一家参与本次投标；同一投标人不能重复参与本次投标。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</w:t>
      </w:r>
      <w:r>
        <w:rPr>
          <w:rFonts w:hint="eastAsia" w:ascii="宋体" w:hAnsi="宋体" w:eastAsia="宋体" w:cs="宋体"/>
          <w:sz w:val="24"/>
        </w:rPr>
        <w:t>.投标人信誉良好，近三年内（近三年指2019年</w:t>
      </w:r>
      <w:r>
        <w:rPr>
          <w:rFonts w:ascii="宋体" w:hAnsi="宋体" w:eastAsia="宋体" w:cs="宋体"/>
          <w:sz w:val="24"/>
        </w:rPr>
        <w:t>7</w:t>
      </w:r>
      <w:r>
        <w:rPr>
          <w:rFonts w:hint="eastAsia" w:ascii="宋体" w:hAnsi="宋体" w:eastAsia="宋体" w:cs="宋体"/>
          <w:sz w:val="24"/>
        </w:rPr>
        <w:t>月1日至投标截止日期间），没有骗取中标和严重违约、提供的服务没有出现重大问题及行政处罚。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</w:rPr>
        <w:t>.投标人</w:t>
      </w:r>
      <w:r>
        <w:rPr>
          <w:rFonts w:hint="eastAsia" w:ascii="宋体" w:hAnsi="宋体" w:eastAsia="宋体" w:cs="宋体"/>
          <w:color w:val="000000"/>
          <w:sz w:val="24"/>
        </w:rPr>
        <w:t>必须</w:t>
      </w:r>
      <w:r>
        <w:rPr>
          <w:rFonts w:hint="eastAsia" w:ascii="宋体" w:hAnsi="宋体" w:eastAsia="宋体" w:cs="宋体"/>
          <w:sz w:val="24"/>
        </w:rPr>
        <w:t>在深圳市</w:t>
      </w:r>
      <w:r>
        <w:rPr>
          <w:rFonts w:hint="eastAsia" w:ascii="宋体" w:hAnsi="宋体" w:eastAsia="宋体" w:cs="宋体"/>
          <w:sz w:val="24"/>
          <w:lang w:eastAsia="zh-CN"/>
        </w:rPr>
        <w:t>或汕尾市</w:t>
      </w:r>
      <w:r>
        <w:rPr>
          <w:rFonts w:hint="eastAsia" w:ascii="宋体" w:hAnsi="宋体" w:eastAsia="宋体" w:cs="宋体"/>
          <w:sz w:val="24"/>
        </w:rPr>
        <w:t>设有</w:t>
      </w:r>
      <w:r>
        <w:rPr>
          <w:rFonts w:ascii="宋体" w:hAnsi="宋体" w:eastAsia="宋体"/>
          <w:sz w:val="24"/>
        </w:rPr>
        <w:t>专门体检中心</w:t>
      </w:r>
      <w:r>
        <w:rPr>
          <w:rFonts w:hint="eastAsia" w:ascii="宋体" w:hAnsi="宋体" w:eastAsia="宋体" w:cs="宋体"/>
          <w:sz w:val="24"/>
        </w:rPr>
        <w:t>。</w:t>
      </w:r>
      <w:bookmarkStart w:id="0" w:name="_GoBack"/>
      <w:bookmarkEnd w:id="0"/>
    </w:p>
    <w:p>
      <w:pPr>
        <w:pStyle w:val="58"/>
        <w:spacing w:line="560" w:lineRule="exact"/>
        <w:ind w:left="0" w:leftChars="0" w:firstLine="0" w:firstLineChars="0"/>
        <w:rPr>
          <w:rFonts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同步</w:t>
      </w: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提交以下投标文件（加盖公章）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zh-CN"/>
        </w:rPr>
        <w:t>2019年7月1日以来投标人提供的类似体检服务项目的业绩。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bidi="ar"/>
        </w:rPr>
        <w:t>根据投标人提供的专属增值服务方案，包括不限于医疗保健知识讲座、就医服务便利安排、医疗抢救对接等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  <w:t>方案</w:t>
      </w: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根</w:t>
      </w:r>
      <w:r>
        <w:rPr>
          <w:rFonts w:ascii="宋体" w:hAnsi="宋体" w:eastAsia="宋体"/>
          <w:bCs/>
          <w:sz w:val="24"/>
          <w:szCs w:val="24"/>
        </w:rPr>
        <w:t>据投标人提供</w:t>
      </w:r>
      <w:r>
        <w:rPr>
          <w:rFonts w:hint="eastAsia" w:ascii="宋体" w:hAnsi="宋体" w:eastAsia="宋体"/>
          <w:bCs/>
          <w:sz w:val="24"/>
          <w:szCs w:val="24"/>
        </w:rPr>
        <w:t>给本</w:t>
      </w:r>
      <w:r>
        <w:rPr>
          <w:rFonts w:ascii="宋体" w:hAnsi="宋体" w:eastAsia="宋体"/>
          <w:bCs/>
          <w:sz w:val="24"/>
          <w:szCs w:val="24"/>
        </w:rPr>
        <w:t>项目</w:t>
      </w:r>
      <w:r>
        <w:rPr>
          <w:rFonts w:hint="eastAsia" w:ascii="宋体" w:hAnsi="宋体" w:eastAsia="宋体"/>
          <w:bCs/>
          <w:sz w:val="24"/>
          <w:szCs w:val="24"/>
        </w:rPr>
        <w:t>的</w:t>
      </w:r>
      <w:r>
        <w:rPr>
          <w:rFonts w:ascii="宋体" w:hAnsi="宋体" w:eastAsia="宋体"/>
          <w:bCs/>
          <w:sz w:val="24"/>
          <w:szCs w:val="24"/>
        </w:rPr>
        <w:t>体检中心</w:t>
      </w:r>
      <w:r>
        <w:rPr>
          <w:rFonts w:hint="eastAsia" w:ascii="宋体" w:hAnsi="宋体" w:eastAsia="宋体"/>
          <w:bCs/>
          <w:sz w:val="24"/>
          <w:szCs w:val="24"/>
        </w:rPr>
        <w:t>现</w:t>
      </w:r>
      <w:r>
        <w:rPr>
          <w:rFonts w:ascii="宋体" w:hAnsi="宋体" w:eastAsia="宋体"/>
          <w:bCs/>
          <w:sz w:val="24"/>
          <w:szCs w:val="24"/>
        </w:rPr>
        <w:t>场图片</w:t>
      </w:r>
      <w:r>
        <w:rPr>
          <w:rFonts w:hint="eastAsia" w:ascii="宋体" w:hAnsi="宋体" w:eastAsia="宋体"/>
          <w:bCs/>
          <w:sz w:val="24"/>
          <w:szCs w:val="24"/>
        </w:rPr>
        <w:t>，以及体</w:t>
      </w:r>
      <w:r>
        <w:rPr>
          <w:rFonts w:ascii="宋体" w:hAnsi="宋体" w:eastAsia="宋体"/>
          <w:bCs/>
          <w:sz w:val="24"/>
          <w:szCs w:val="24"/>
        </w:rPr>
        <w:t>检环境</w:t>
      </w:r>
      <w:r>
        <w:rPr>
          <w:rFonts w:hint="eastAsia" w:ascii="宋体" w:hAnsi="宋体" w:eastAsia="宋体"/>
          <w:bCs/>
          <w:sz w:val="24"/>
          <w:szCs w:val="24"/>
        </w:rPr>
        <w:t>情</w:t>
      </w:r>
      <w:r>
        <w:rPr>
          <w:rFonts w:ascii="宋体" w:hAnsi="宋体" w:eastAsia="宋体"/>
          <w:bCs/>
          <w:sz w:val="24"/>
          <w:szCs w:val="24"/>
        </w:rPr>
        <w:t>况</w:t>
      </w:r>
      <w:r>
        <w:rPr>
          <w:rFonts w:hint="eastAsia" w:ascii="宋体" w:hAnsi="宋体" w:eastAsia="宋体"/>
          <w:bCs/>
          <w:sz w:val="24"/>
          <w:szCs w:val="24"/>
        </w:rPr>
        <w:t>的</w:t>
      </w:r>
      <w:r>
        <w:rPr>
          <w:rFonts w:ascii="宋体" w:hAnsi="宋体" w:eastAsia="宋体"/>
          <w:bCs/>
          <w:sz w:val="24"/>
          <w:szCs w:val="24"/>
        </w:rPr>
        <w:t>详细描述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报价单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：</w:t>
      </w:r>
    </w:p>
    <w:tbl>
      <w:tblPr>
        <w:tblStyle w:val="12"/>
        <w:tblW w:w="14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3925"/>
        <w:gridCol w:w="2670"/>
        <w:gridCol w:w="2325"/>
        <w:gridCol w:w="243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41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体检服务项目报价单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7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投标限价（元/人）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暂定人数（人）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投标报价（元/人）</w:t>
            </w:r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男员工体检套餐</w:t>
            </w:r>
          </w:p>
        </w:tc>
        <w:tc>
          <w:tcPr>
            <w:tcW w:w="267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529.5</w:t>
            </w:r>
          </w:p>
        </w:tc>
        <w:tc>
          <w:tcPr>
            <w:tcW w:w="2325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24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女员工体检套餐</w:t>
            </w:r>
          </w:p>
        </w:tc>
        <w:tc>
          <w:tcPr>
            <w:tcW w:w="267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769.5</w:t>
            </w:r>
          </w:p>
        </w:tc>
        <w:tc>
          <w:tcPr>
            <w:tcW w:w="2325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4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附加赠送项目</w:t>
            </w:r>
          </w:p>
        </w:tc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9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9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注：（1）上述价格是固定单价，单价在服务期间内原则上不再进行调整。执行期满1年后，如双方无法就价格达成一致时，甲方有权终止年度单价协议。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（2）本</w:t>
      </w:r>
      <w:r>
        <w:rPr>
          <w:rFonts w:hint="eastAsia" w:ascii="宋体" w:hAnsi="宋体" w:eastAsia="宋体" w:cs="宋体"/>
          <w:sz w:val="24"/>
          <w:lang w:eastAsia="zh-CN"/>
        </w:rPr>
        <w:t>次</w:t>
      </w:r>
      <w:r>
        <w:rPr>
          <w:rFonts w:hint="eastAsia" w:ascii="宋体" w:hAnsi="宋体" w:eastAsia="宋体" w:cs="宋体"/>
          <w:sz w:val="24"/>
        </w:rPr>
        <w:t>的采购总金额以采购主体的实际采购金额为准。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（3）提供的服务项目内容、服务要求必须与投标文件中服务项目内容、服务要相一致。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（4）“项目单价”已包含本次体检项目所发生的一切含税费用（含一次性消耗用品费、检查仪器费、人工费、早餐费等），甲方不再另向乙方支付本合同规定之外的任何费用。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投标人中标后，由招标人与中标年度供应商签订年度单价协议；根据中标约定，按需以服务订单方式采购，按服务订单最终实际参加体检人数进行结算；原则上在一个招标年度内单价不做调整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本项目将产生的年度服务商有效期为2年（按1+1模式执行）。服务考核达到合格及以上的，合同可继续执行；如考核不合格的，招标人视情况有权对中标人提出整改要求或提前终止合同</w:t>
      </w:r>
      <w:r>
        <w:rPr>
          <w:rFonts w:hint="eastAsia" w:ascii="宋体" w:hAnsi="宋体" w:eastAsia="宋体" w:cs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服务内容清单</w:t>
      </w:r>
    </w:p>
    <w:tbl>
      <w:tblPr>
        <w:tblStyle w:val="11"/>
        <w:tblpPr w:leftFromText="180" w:rightFromText="180" w:vertAnchor="text" w:horzAnchor="page" w:tblpX="2503" w:tblpY="1256"/>
        <w:tblOverlap w:val="never"/>
        <w:tblW w:w="96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8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8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胸部正位片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腹部（肝、胆、脾、胰）彩超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泌尿系统(双肾、输尿管、膀胱)，彩超（前列腺）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葡萄糖测定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肝功八项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肾功三项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血脂四项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血常规(五分类)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尿液分析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静脉采血及建立健康档案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健康咨询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男员工体检套餐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女员工体检套餐</w:t>
      </w:r>
    </w:p>
    <w:tbl>
      <w:tblPr>
        <w:tblStyle w:val="11"/>
        <w:tblpPr w:leftFromText="180" w:rightFromText="180" w:vertAnchor="text" w:horzAnchor="page" w:tblpX="2368" w:tblpY="490"/>
        <w:tblOverlap w:val="never"/>
        <w:tblW w:w="103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8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8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一般检查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胸部正位片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心电图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腹部（肝、胆、脾、胰）彩超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泌尿系统(双肾、输尿管、膀胱)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子宫、附件彩超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乳腺彩超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葡萄糖测定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肝功八项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肾功三项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血脂四项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血常规(五分类)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尿液分析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静脉采血及建立健康档案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健康咨询</w:t>
            </w:r>
          </w:p>
        </w:tc>
      </w:tr>
    </w:tbl>
    <w:p>
      <w:pPr>
        <w:jc w:val="left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597" w:right="1440" w:bottom="851" w:left="1440" w:header="851" w:footer="1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5519666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MDgyZGI1ZTRiNjk1YzE0OGE4ZTEwY2Y3MGZhYzIifQ=="/>
  </w:docVars>
  <w:rsids>
    <w:rsidRoot w:val="00D8265B"/>
    <w:rsid w:val="00002F7E"/>
    <w:rsid w:val="00020401"/>
    <w:rsid w:val="00054B2D"/>
    <w:rsid w:val="000F3A1F"/>
    <w:rsid w:val="00116D1D"/>
    <w:rsid w:val="001B4FBA"/>
    <w:rsid w:val="0033671C"/>
    <w:rsid w:val="00365C66"/>
    <w:rsid w:val="003B7681"/>
    <w:rsid w:val="00476515"/>
    <w:rsid w:val="004A5709"/>
    <w:rsid w:val="0050681D"/>
    <w:rsid w:val="0055781B"/>
    <w:rsid w:val="006027EE"/>
    <w:rsid w:val="00656832"/>
    <w:rsid w:val="00670560"/>
    <w:rsid w:val="00676454"/>
    <w:rsid w:val="006D40A2"/>
    <w:rsid w:val="0071008D"/>
    <w:rsid w:val="00774412"/>
    <w:rsid w:val="007B41D4"/>
    <w:rsid w:val="007D54D1"/>
    <w:rsid w:val="00810902"/>
    <w:rsid w:val="00833FB9"/>
    <w:rsid w:val="008E7323"/>
    <w:rsid w:val="00A92D53"/>
    <w:rsid w:val="00AB5BDB"/>
    <w:rsid w:val="00B54D57"/>
    <w:rsid w:val="00B64193"/>
    <w:rsid w:val="00BA0D24"/>
    <w:rsid w:val="00C044A8"/>
    <w:rsid w:val="00C24E04"/>
    <w:rsid w:val="00CC0845"/>
    <w:rsid w:val="00CE4DF8"/>
    <w:rsid w:val="00D8265B"/>
    <w:rsid w:val="00DB0E91"/>
    <w:rsid w:val="00E14B03"/>
    <w:rsid w:val="00E42A7D"/>
    <w:rsid w:val="00EB2230"/>
    <w:rsid w:val="00EC6D79"/>
    <w:rsid w:val="04043AA5"/>
    <w:rsid w:val="05F2584F"/>
    <w:rsid w:val="0CB56A98"/>
    <w:rsid w:val="0D7A43AB"/>
    <w:rsid w:val="0D875431"/>
    <w:rsid w:val="0DE1193F"/>
    <w:rsid w:val="138A7B45"/>
    <w:rsid w:val="14232ED5"/>
    <w:rsid w:val="18A94BED"/>
    <w:rsid w:val="1AD60417"/>
    <w:rsid w:val="1D527F56"/>
    <w:rsid w:val="1FA13C98"/>
    <w:rsid w:val="217F10E2"/>
    <w:rsid w:val="21C32C2D"/>
    <w:rsid w:val="25E863C9"/>
    <w:rsid w:val="26BC4E62"/>
    <w:rsid w:val="26FC6002"/>
    <w:rsid w:val="281D775F"/>
    <w:rsid w:val="2A0601F5"/>
    <w:rsid w:val="392550F7"/>
    <w:rsid w:val="3A870E6B"/>
    <w:rsid w:val="3B1F1EA1"/>
    <w:rsid w:val="3B3B7CFE"/>
    <w:rsid w:val="3B5E12B8"/>
    <w:rsid w:val="3DFD6388"/>
    <w:rsid w:val="3ED50F0C"/>
    <w:rsid w:val="436153C8"/>
    <w:rsid w:val="43DE0EC0"/>
    <w:rsid w:val="467D1A4B"/>
    <w:rsid w:val="4E736128"/>
    <w:rsid w:val="50F25583"/>
    <w:rsid w:val="51DD5679"/>
    <w:rsid w:val="524C0A10"/>
    <w:rsid w:val="56407FE3"/>
    <w:rsid w:val="58B85138"/>
    <w:rsid w:val="59597B42"/>
    <w:rsid w:val="59F6309A"/>
    <w:rsid w:val="5AAE6C79"/>
    <w:rsid w:val="664C70CA"/>
    <w:rsid w:val="677E01D8"/>
    <w:rsid w:val="69164A76"/>
    <w:rsid w:val="6AF61DCE"/>
    <w:rsid w:val="6FD6290B"/>
    <w:rsid w:val="76F27EC5"/>
    <w:rsid w:val="7A134D8B"/>
    <w:rsid w:val="7A9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5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styleId="6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3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批注框文本 字符"/>
    <w:basedOn w:val="13"/>
    <w:link w:val="7"/>
    <w:semiHidden/>
    <w:qFormat/>
    <w:uiPriority w:val="99"/>
    <w:rPr>
      <w:sz w:val="18"/>
      <w:szCs w:val="18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70"/>
    <w:basedOn w:val="1"/>
    <w:qFormat/>
    <w:uiPriority w:val="0"/>
    <w:pPr>
      <w:widowControl/>
      <w:shd w:val="clear" w:color="000000" w:fill="70AD47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1"/>
    <w:basedOn w:val="1"/>
    <w:qFormat/>
    <w:uiPriority w:val="0"/>
    <w:pPr>
      <w:widowControl/>
      <w:shd w:val="clear" w:color="000000" w:fill="F8CBAD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2"/>
    <w:basedOn w:val="1"/>
    <w:qFormat/>
    <w:uiPriority w:val="0"/>
    <w:pPr>
      <w:widowControl/>
      <w:shd w:val="clear" w:color="000000" w:fill="FFC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9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7">
    <w:name w:val="xl9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9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57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314</Words>
  <Characters>1794</Characters>
  <Lines>14</Lines>
  <Paragraphs>4</Paragraphs>
  <TotalTime>24</TotalTime>
  <ScaleCrop>false</ScaleCrop>
  <LinksUpToDate>false</LinksUpToDate>
  <CharactersWithSpaces>2104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2023-10-10T13:02:00Z</dcterms:created>
  <dc:creator>蔡玉叶</dc:creator>
  <cp:lastModifiedBy>黄杰</cp:lastModifiedBy>
  <cp:lastPrinted>2023-12-04T02:04:00Z</cp:lastPrinted>
  <dcterms:modified xsi:type="dcterms:W3CDTF">2024-01-03T07:57:07Z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EC7AA3E6ACB749F08946EE67467B0E06_13</vt:lpwstr>
  </property>
</Properties>
</file>