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采购清单</w:t>
      </w:r>
    </w:p>
    <w:bookmarkEnd w:id="0"/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87"/>
        <w:gridCol w:w="1478"/>
        <w:gridCol w:w="1058"/>
        <w:gridCol w:w="162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货物名称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规格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单位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30"/>
                <w:szCs w:val="3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氢氧化钠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30%</w:t>
            </w: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、液体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吨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3次运送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氯化铁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30%</w:t>
            </w: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、液体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吨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3次运送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面粉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工业级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吨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highlight w:val="none"/>
                <w:lang w:val="en-US" w:eastAsia="zh-CN"/>
              </w:rPr>
              <w:t>5次运送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2023-11-14T10:24:26Z</dcterms:created>
  <dc:creator>Administrator</dc:creator>
  <cp:lastModifiedBy>Administrator</cp:lastModifiedBy>
  <dcterms:modified xsi:type="dcterms:W3CDTF">2023-11-14T10:30:45Z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4B0BB48C6511416E8076CE33E80005BB</vt:lpwstr>
  </property>
</Properties>
</file>