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20" w:beforeLines="50" w:line="360" w:lineRule="auto"/>
        <w:ind w:firstLine="181" w:firstLineChars="50"/>
        <w:jc w:val="center"/>
        <w:rPr>
          <w:rFonts w:hint="eastAsia" w:ascii="宋体" w:hAnsi="宋体" w:cs="宋体"/>
          <w:b/>
          <w:kern w:val="0"/>
          <w:sz w:val="36"/>
          <w:szCs w:val="36"/>
          <w:highlight w:val="none"/>
          <w:lang w:val="en-US" w:eastAsia="zh-CN"/>
        </w:rPr>
      </w:pPr>
      <w:bookmarkStart w:id="9" w:name="_GoBack"/>
      <w:r>
        <w:rPr>
          <w:rFonts w:hint="eastAsia" w:ascii="宋体" w:hAnsi="宋体" w:cs="宋体"/>
          <w:b/>
          <w:kern w:val="0"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宋体" w:hAnsi="宋体" w:cs="宋体"/>
          <w:b/>
          <w:kern w:val="0"/>
          <w:sz w:val="36"/>
          <w:szCs w:val="36"/>
          <w:highlight w:val="none"/>
          <w:lang w:val="en-US" w:eastAsia="zh-CN"/>
        </w:rPr>
        <w:t>023年度</w:t>
      </w:r>
      <w:bookmarkStart w:id="0" w:name="PO_pbbg_xmmc_0"/>
      <w:r>
        <w:rPr>
          <w:rFonts w:hint="eastAsia" w:ascii="宋体" w:hAnsi="宋体" w:cs="宋体"/>
          <w:b/>
          <w:kern w:val="0"/>
          <w:sz w:val="36"/>
          <w:szCs w:val="36"/>
          <w:highlight w:val="none"/>
          <w:lang w:val="en-US" w:eastAsia="zh-CN"/>
        </w:rPr>
        <w:t>南山水厂</w:t>
      </w:r>
      <w:bookmarkEnd w:id="0"/>
      <w:r>
        <w:rPr>
          <w:rFonts w:hint="eastAsia" w:ascii="宋体" w:hAnsi="宋体" w:cs="宋体"/>
          <w:b/>
          <w:kern w:val="0"/>
          <w:sz w:val="36"/>
          <w:szCs w:val="36"/>
          <w:highlight w:val="none"/>
          <w:lang w:val="en-US" w:eastAsia="zh-CN"/>
        </w:rPr>
        <w:t>污泥系统等清淤工程</w:t>
      </w:r>
    </w:p>
    <w:p>
      <w:pPr>
        <w:widowControl/>
        <w:snapToGrid w:val="0"/>
        <w:spacing w:before="120" w:beforeLines="50" w:line="360" w:lineRule="auto"/>
        <w:ind w:firstLine="181" w:firstLineChars="50"/>
        <w:jc w:val="center"/>
        <w:rPr>
          <w:rFonts w:hint="eastAsia" w:ascii="宋体" w:hAnsi="宋体" w:cs="宋体"/>
          <w:b/>
          <w:kern w:val="0"/>
          <w:sz w:val="36"/>
          <w:szCs w:val="36"/>
          <w:highlight w:val="none"/>
        </w:rPr>
      </w:pPr>
      <w:r>
        <w:rPr>
          <w:rFonts w:hint="eastAsia" w:ascii="宋体" w:hAnsi="宋体" w:cs="宋体"/>
          <w:b/>
          <w:kern w:val="0"/>
          <w:sz w:val="36"/>
          <w:szCs w:val="36"/>
          <w:highlight w:val="none"/>
          <w:lang w:val="en-US" w:eastAsia="zh-CN"/>
        </w:rPr>
        <w:t>评标</w:t>
      </w:r>
      <w:r>
        <w:rPr>
          <w:rFonts w:hint="eastAsia" w:ascii="宋体" w:hAnsi="宋体" w:cs="宋体"/>
          <w:b/>
          <w:kern w:val="0"/>
          <w:sz w:val="36"/>
          <w:szCs w:val="36"/>
          <w:highlight w:val="none"/>
        </w:rPr>
        <w:t>报告</w:t>
      </w:r>
      <w:bookmarkEnd w:id="9"/>
    </w:p>
    <w:p>
      <w:pPr>
        <w:widowControl/>
        <w:snapToGrid w:val="0"/>
        <w:spacing w:before="120" w:beforeLines="50" w:line="360" w:lineRule="auto"/>
        <w:jc w:val="center"/>
        <w:rPr>
          <w:rFonts w:hint="eastAsia" w:ascii="宋体" w:hAnsi="宋体" w:cs="宋体"/>
          <w:kern w:val="0"/>
          <w:sz w:val="30"/>
          <w:szCs w:val="30"/>
          <w:highlight w:val="none"/>
        </w:rPr>
      </w:pPr>
    </w:p>
    <w:p>
      <w:pPr>
        <w:widowControl/>
        <w:snapToGrid w:val="0"/>
        <w:spacing w:before="120" w:beforeLines="50" w:line="360" w:lineRule="auto"/>
        <w:jc w:val="left"/>
        <w:rPr>
          <w:rFonts w:hint="eastAsia" w:ascii="宋体" w:hAnsi="宋体" w:cs="宋体"/>
          <w:kern w:val="0"/>
          <w:sz w:val="30"/>
          <w:szCs w:val="30"/>
          <w:highlight w:val="none"/>
        </w:rPr>
      </w:pPr>
      <w:r>
        <w:rPr>
          <w:rFonts w:ascii="宋体" w:hAnsi="宋体" w:cs="宋体"/>
          <w:kern w:val="0"/>
          <w:sz w:val="30"/>
          <w:szCs w:val="30"/>
          <w:highlight w:val="none"/>
        </w:rPr>
        <w:t> 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 xml:space="preserve">   </w:t>
      </w:r>
    </w:p>
    <w:p>
      <w:pPr>
        <w:widowControl/>
        <w:snapToGrid w:val="0"/>
        <w:spacing w:before="120" w:beforeLines="50" w:line="360" w:lineRule="auto"/>
        <w:ind w:left="1080"/>
        <w:jc w:val="left"/>
        <w:rPr>
          <w:rFonts w:hint="eastAsia" w:ascii="宋体" w:hAnsi="宋体" w:cs="宋体"/>
          <w:kern w:val="0"/>
          <w:sz w:val="30"/>
          <w:szCs w:val="30"/>
          <w:highlight w:val="none"/>
        </w:rPr>
      </w:pPr>
    </w:p>
    <w:p>
      <w:pPr>
        <w:widowControl/>
        <w:snapToGrid w:val="0"/>
        <w:spacing w:before="120" w:beforeLines="50" w:line="360" w:lineRule="auto"/>
        <w:ind w:left="1080"/>
        <w:jc w:val="left"/>
        <w:rPr>
          <w:rFonts w:ascii="宋体" w:hAnsi="宋体" w:cs="宋体"/>
          <w:kern w:val="0"/>
          <w:sz w:val="30"/>
          <w:szCs w:val="30"/>
          <w:highlight w:val="none"/>
        </w:rPr>
      </w:pPr>
    </w:p>
    <w:p>
      <w:pPr>
        <w:widowControl/>
        <w:snapToGrid w:val="0"/>
        <w:spacing w:before="120" w:beforeLines="50" w:line="360" w:lineRule="auto"/>
        <w:ind w:left="1080"/>
        <w:jc w:val="left"/>
        <w:rPr>
          <w:rFonts w:ascii="宋体" w:hAnsi="宋体" w:cs="宋体"/>
          <w:kern w:val="0"/>
          <w:sz w:val="30"/>
          <w:szCs w:val="30"/>
          <w:highlight w:val="none"/>
        </w:rPr>
      </w:pPr>
    </w:p>
    <w:p>
      <w:pPr>
        <w:widowControl/>
        <w:snapToGrid w:val="0"/>
        <w:spacing w:before="120" w:beforeLines="50" w:line="360" w:lineRule="auto"/>
        <w:ind w:left="1080"/>
        <w:jc w:val="left"/>
        <w:rPr>
          <w:rFonts w:hint="eastAsia" w:ascii="宋体" w:hAnsi="宋体" w:cs="宋体"/>
          <w:kern w:val="0"/>
          <w:sz w:val="30"/>
          <w:szCs w:val="30"/>
          <w:highlight w:val="none"/>
        </w:rPr>
      </w:pPr>
    </w:p>
    <w:p>
      <w:pPr>
        <w:widowControl/>
        <w:snapToGrid w:val="0"/>
        <w:spacing w:before="120" w:beforeLines="50" w:line="360" w:lineRule="auto"/>
        <w:ind w:left="1080"/>
        <w:jc w:val="left"/>
        <w:rPr>
          <w:rFonts w:hint="eastAsia" w:ascii="宋体" w:hAnsi="宋体" w:cs="宋体"/>
          <w:bCs/>
          <w:kern w:val="0"/>
          <w:sz w:val="28"/>
          <w:szCs w:val="28"/>
          <w:highlight w:val="none"/>
          <w:u w:val="single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</w:rPr>
        <w:t>招标编号：</w:t>
      </w:r>
      <w:r>
        <w:rPr>
          <w:rFonts w:hint="eastAsia" w:ascii="宋体" w:hAnsi="宋体" w:cs="宋体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highlight w:val="none"/>
          <w:u w:val="single"/>
          <w:lang w:eastAsia="zh-CN"/>
        </w:rPr>
        <w:t>GC20423088</w:t>
      </w:r>
    </w:p>
    <w:p>
      <w:pPr>
        <w:widowControl/>
        <w:snapToGrid w:val="0"/>
        <w:spacing w:before="120" w:beforeLines="50" w:line="360" w:lineRule="auto"/>
        <w:ind w:left="1080"/>
        <w:jc w:val="left"/>
        <w:rPr>
          <w:rFonts w:hint="eastAsia" w:ascii="宋体" w:hAnsi="宋体"/>
          <w:sz w:val="28"/>
          <w:szCs w:val="28"/>
          <w:highlight w:val="none"/>
          <w:u w:val="single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</w:rPr>
        <w:t>招 标 人：</w:t>
      </w:r>
      <w:r>
        <w:rPr>
          <w:rFonts w:ascii="宋体" w:hAnsi="宋体" w:cs="宋体"/>
          <w:kern w:val="0"/>
          <w:sz w:val="28"/>
          <w:szCs w:val="28"/>
          <w:highlight w:val="none"/>
          <w:u w:val="single"/>
        </w:rPr>
        <w:t xml:space="preserve"> </w:t>
      </w:r>
      <w:bookmarkStart w:id="1" w:name="PO_pbbg_yzdwmc_0"/>
      <w:r>
        <w:rPr>
          <w:rFonts w:hint="eastAsia" w:ascii="宋体" w:hAnsi="宋体" w:cs="宋体"/>
          <w:kern w:val="0"/>
          <w:sz w:val="28"/>
          <w:szCs w:val="28"/>
          <w:highlight w:val="none"/>
          <w:u w:val="single"/>
        </w:rPr>
        <w:t>南山分公司</w:t>
      </w:r>
      <w:bookmarkEnd w:id="1"/>
      <w:r>
        <w:rPr>
          <w:rFonts w:hint="eastAsia" w:ascii="宋体" w:hAnsi="宋体" w:cs="宋体"/>
          <w:kern w:val="0"/>
          <w:sz w:val="28"/>
          <w:szCs w:val="28"/>
          <w:highlight w:val="none"/>
          <w:u w:val="single"/>
        </w:rPr>
        <w:t xml:space="preserve"> </w:t>
      </w:r>
    </w:p>
    <w:p>
      <w:pPr>
        <w:widowControl/>
        <w:snapToGrid w:val="0"/>
        <w:spacing w:before="120" w:beforeLines="50" w:line="360" w:lineRule="auto"/>
        <w:ind w:left="108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</w:rPr>
        <w:t>招标代理机构：</w:t>
      </w:r>
      <w:bookmarkStart w:id="2" w:name="PO_pbbg_dljgmc_0"/>
      <w:bookmarkEnd w:id="2"/>
    </w:p>
    <w:p>
      <w:pPr>
        <w:widowControl/>
        <w:snapToGrid w:val="0"/>
        <w:spacing w:before="120" w:beforeLines="50" w:line="360" w:lineRule="auto"/>
        <w:jc w:val="left"/>
        <w:rPr>
          <w:rFonts w:ascii="宋体" w:hAnsi="宋体" w:cs="宋体"/>
          <w:kern w:val="0"/>
          <w:sz w:val="28"/>
          <w:szCs w:val="28"/>
          <w:highlight w:val="none"/>
        </w:rPr>
      </w:pPr>
      <w:r>
        <w:rPr>
          <w:rFonts w:ascii="宋体" w:hAnsi="宋体" w:cs="宋体"/>
          <w:kern w:val="0"/>
          <w:sz w:val="28"/>
          <w:szCs w:val="28"/>
          <w:highlight w:val="none"/>
        </w:rPr>
        <w:t>  </w:t>
      </w:r>
    </w:p>
    <w:p>
      <w:pPr>
        <w:widowControl/>
        <w:snapToGrid w:val="0"/>
        <w:spacing w:before="120" w:beforeLines="50" w:line="360" w:lineRule="auto"/>
        <w:jc w:val="center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</w:pPr>
      <w:bookmarkStart w:id="3" w:name="PO_pbbg_nowCnDayStr_0"/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  <w:t>2023年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  <w:t>月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  <w:t>日</w:t>
      </w:r>
      <w:bookmarkEnd w:id="3"/>
    </w:p>
    <w:p>
      <w:pPr>
        <w:widowControl/>
        <w:snapToGrid w:val="0"/>
        <w:spacing w:before="120" w:beforeLines="50" w:line="360" w:lineRule="auto"/>
        <w:rPr>
          <w:rFonts w:ascii="宋体" w:hAnsi="宋体" w:cs="宋体"/>
          <w:kern w:val="0"/>
          <w:sz w:val="32"/>
          <w:szCs w:val="20"/>
          <w:highlight w:val="none"/>
        </w:rPr>
        <w:sectPr>
          <w:headerReference r:id="rId3" w:type="default"/>
          <w:footerReference r:id="rId4" w:type="default"/>
          <w:pgSz w:w="12240" w:h="15840"/>
          <w:pgMar w:top="1440" w:right="1800" w:bottom="1440" w:left="1800" w:header="720" w:footer="720" w:gutter="0"/>
          <w:cols w:space="720" w:num="1"/>
        </w:sectPr>
      </w:pPr>
    </w:p>
    <w:p>
      <w:pPr>
        <w:widowControl/>
        <w:snapToGrid w:val="0"/>
        <w:spacing w:before="156" w:beforeLines="50" w:after="156" w:afterLines="50" w:line="360" w:lineRule="auto"/>
        <w:jc w:val="left"/>
        <w:outlineLvl w:val="0"/>
        <w:rPr>
          <w:rFonts w:hint="eastAsia" w:ascii="宋体" w:hAnsi="宋体" w:cs="宋体"/>
          <w:b/>
          <w:kern w:val="0"/>
          <w:sz w:val="24"/>
          <w:szCs w:val="20"/>
          <w:highlight w:val="none"/>
        </w:rPr>
      </w:pPr>
      <w:r>
        <w:rPr>
          <w:rFonts w:hint="eastAsia" w:ascii="宋体" w:hAnsi="宋体" w:cs="宋体"/>
          <w:b/>
          <w:kern w:val="0"/>
          <w:sz w:val="24"/>
          <w:szCs w:val="20"/>
          <w:highlight w:val="none"/>
        </w:rPr>
        <w:t>一、项目简介：</w:t>
      </w:r>
    </w:p>
    <w:p>
      <w:pPr>
        <w:adjustRightInd w:val="0"/>
        <w:snapToGrid w:val="0"/>
        <w:spacing w:before="156" w:beforeLines="50" w:line="360" w:lineRule="auto"/>
        <w:ind w:firstLine="480" w:firstLineChars="200"/>
        <w:jc w:val="left"/>
        <w:rPr>
          <w:rFonts w:hint="eastAsia" w:ascii="宋体" w:hAnsi="宋体" w:cs="宋体"/>
          <w:sz w:val="24"/>
          <w:highlight w:val="none"/>
          <w:u w:val="single"/>
        </w:rPr>
      </w:pPr>
      <w:r>
        <w:rPr>
          <w:rFonts w:hint="eastAsia" w:ascii="宋体" w:hAnsi="宋体" w:cs="宋体"/>
          <w:kern w:val="0"/>
          <w:sz w:val="24"/>
          <w:szCs w:val="20"/>
          <w:highlight w:val="none"/>
        </w:rPr>
        <w:t>2023年度南山水厂污泥系统等清淤工程（招标编号</w:t>
      </w:r>
      <w:bookmarkStart w:id="4" w:name="projectnumber"/>
      <w:bookmarkEnd w:id="4"/>
      <w:r>
        <w:rPr>
          <w:rFonts w:hint="eastAsia" w:ascii="宋体" w:hAnsi="宋体" w:cs="宋体"/>
          <w:kern w:val="0"/>
          <w:sz w:val="24"/>
          <w:szCs w:val="20"/>
          <w:highlight w:val="none"/>
        </w:rPr>
        <w:t>：GC20423088）</w:t>
      </w:r>
      <w:r>
        <w:rPr>
          <w:rFonts w:hint="eastAsia" w:ascii="宋体" w:hAnsi="宋体" w:cs="宋体"/>
          <w:kern w:val="0"/>
          <w:sz w:val="24"/>
          <w:szCs w:val="20"/>
          <w:highlight w:val="none"/>
          <w:lang w:eastAsia="zh-CN"/>
        </w:rPr>
        <w:t>通过公开询价，采取综合评估法。</w:t>
      </w:r>
    </w:p>
    <w:p>
      <w:pPr>
        <w:widowControl/>
        <w:snapToGrid w:val="0"/>
        <w:spacing w:before="156" w:beforeLines="50" w:after="156" w:afterLines="50" w:line="360" w:lineRule="auto"/>
        <w:jc w:val="left"/>
        <w:outlineLvl w:val="0"/>
        <w:rPr>
          <w:rFonts w:hint="eastAsia" w:ascii="宋体" w:hAnsi="宋体" w:cs="宋体"/>
          <w:b/>
          <w:kern w:val="0"/>
          <w:sz w:val="24"/>
          <w:szCs w:val="20"/>
          <w:highlight w:val="none"/>
        </w:rPr>
      </w:pPr>
      <w:r>
        <w:rPr>
          <w:rFonts w:hint="eastAsia" w:ascii="宋体" w:hAnsi="宋体" w:cs="宋体"/>
          <w:b/>
          <w:kern w:val="0"/>
          <w:sz w:val="24"/>
          <w:szCs w:val="20"/>
          <w:highlight w:val="none"/>
        </w:rPr>
        <w:t xml:space="preserve">二、评标委员会组建情况 </w:t>
      </w:r>
    </w:p>
    <w:p>
      <w:pPr>
        <w:widowControl/>
        <w:snapToGrid w:val="0"/>
        <w:spacing w:before="156" w:beforeLines="50" w:line="360" w:lineRule="auto"/>
        <w:ind w:firstLine="480"/>
        <w:jc w:val="left"/>
        <w:rPr>
          <w:rFonts w:hint="eastAsia" w:ascii="宋体" w:hAnsi="宋体" w:cs="宋体"/>
          <w:kern w:val="0"/>
          <w:sz w:val="24"/>
          <w:szCs w:val="20"/>
          <w:highlight w:val="none"/>
        </w:rPr>
      </w:pPr>
      <w:r>
        <w:rPr>
          <w:rFonts w:hint="eastAsia" w:ascii="宋体" w:hAnsi="宋体" w:cs="宋体"/>
          <w:kern w:val="0"/>
          <w:sz w:val="24"/>
          <w:szCs w:val="20"/>
          <w:highlight w:val="none"/>
        </w:rPr>
        <w:t>评标委员会</w:t>
      </w:r>
      <w:bookmarkStart w:id="5" w:name="PO_pbbg_zjfzxxStr_0"/>
      <w:r>
        <w:rPr>
          <w:rFonts w:hint="eastAsia" w:ascii="宋体" w:hAnsi="宋体" w:cs="宋体"/>
          <w:kern w:val="0"/>
          <w:sz w:val="24"/>
          <w:szCs w:val="20"/>
          <w:highlight w:val="none"/>
        </w:rPr>
        <w:t>由5人组成的采购小组,（其中，组长：梁明，组员:陈红发</w:t>
      </w:r>
      <w:r>
        <w:rPr>
          <w:rFonts w:hint="eastAsia" w:ascii="宋体" w:hAnsi="宋体" w:cs="宋体"/>
          <w:kern w:val="0"/>
          <w:sz w:val="24"/>
          <w:szCs w:val="20"/>
          <w:highlight w:val="none"/>
          <w:lang w:eastAsia="zh-CN"/>
        </w:rPr>
        <w:t>、</w:t>
      </w:r>
      <w:r>
        <w:rPr>
          <w:rFonts w:hint="eastAsia" w:ascii="宋体" w:hAnsi="宋体" w:cs="宋体"/>
          <w:kern w:val="0"/>
          <w:sz w:val="24"/>
          <w:szCs w:val="20"/>
          <w:highlight w:val="none"/>
        </w:rPr>
        <w:t>唐业梅</w:t>
      </w:r>
      <w:r>
        <w:rPr>
          <w:rFonts w:hint="eastAsia" w:ascii="宋体" w:hAnsi="宋体" w:cs="宋体"/>
          <w:kern w:val="0"/>
          <w:sz w:val="24"/>
          <w:szCs w:val="20"/>
          <w:highlight w:val="none"/>
          <w:lang w:eastAsia="zh-CN"/>
        </w:rPr>
        <w:t>、王书平、陶嘉熙，监督人员：李雅萍</w:t>
      </w:r>
      <w:r>
        <w:rPr>
          <w:rFonts w:hint="eastAsia" w:ascii="宋体" w:hAnsi="宋体" w:cs="宋体"/>
          <w:kern w:val="0"/>
          <w:sz w:val="24"/>
          <w:szCs w:val="20"/>
          <w:highlight w:val="none"/>
        </w:rPr>
        <w:t>）负责本次采购项目的评审工作。</w:t>
      </w:r>
      <w:bookmarkEnd w:id="5"/>
    </w:p>
    <w:p>
      <w:pPr>
        <w:widowControl/>
        <w:snapToGrid w:val="0"/>
        <w:spacing w:before="156" w:beforeLines="50" w:after="156" w:afterLines="50" w:line="360" w:lineRule="auto"/>
        <w:jc w:val="left"/>
        <w:outlineLvl w:val="0"/>
        <w:rPr>
          <w:rFonts w:hint="eastAsia" w:ascii="宋体" w:hAnsi="宋体" w:cs="宋体"/>
          <w:b/>
          <w:kern w:val="0"/>
          <w:sz w:val="24"/>
          <w:szCs w:val="20"/>
          <w:highlight w:val="none"/>
        </w:rPr>
      </w:pPr>
      <w:r>
        <w:rPr>
          <w:rFonts w:hint="eastAsia" w:ascii="宋体" w:hAnsi="宋体" w:cs="宋体"/>
          <w:b/>
          <w:kern w:val="0"/>
          <w:sz w:val="24"/>
          <w:szCs w:val="20"/>
          <w:highlight w:val="none"/>
        </w:rPr>
        <w:t>三、开标、评标过程</w:t>
      </w:r>
    </w:p>
    <w:p>
      <w:pPr>
        <w:numPr>
          <w:ilvl w:val="0"/>
          <w:numId w:val="1"/>
        </w:numPr>
        <w:spacing w:before="156" w:beforeLines="50" w:line="360" w:lineRule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评审情况</w:t>
      </w:r>
    </w:p>
    <w:p>
      <w:pPr>
        <w:spacing w:before="156" w:beforeLines="50" w:line="360" w:lineRule="auto"/>
        <w:ind w:left="465"/>
        <w:rPr>
          <w:rFonts w:hint="eastAsia" w:ascii="宋体" w:hAnsi="宋体" w:eastAsia="宋体"/>
          <w:sz w:val="24"/>
          <w:highlight w:val="none"/>
          <w:lang w:eastAsia="zh-CN"/>
        </w:rPr>
      </w:pPr>
      <w:r>
        <w:rPr>
          <w:rFonts w:hint="eastAsia" w:ascii="宋体" w:hAnsi="宋体"/>
          <w:sz w:val="24"/>
          <w:highlight w:val="none"/>
        </w:rPr>
        <w:t>经评议，各投标人综合得分如下：</w:t>
      </w:r>
      <w:bookmarkStart w:id="6" w:name="PO_pbbg_pshzjgTable_0"/>
    </w:p>
    <w:tbl>
      <w:tblPr>
        <w:tblStyle w:val="6"/>
        <w:tblW w:w="4691" w:type="pct"/>
        <w:tblCellSpacing w:w="0" w:type="dxa"/>
        <w:tblInd w:w="0" w:type="dxa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62"/>
        <w:gridCol w:w="1716"/>
        <w:gridCol w:w="1658"/>
      </w:tblGrid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Header/>
          <w:tblCellSpacing w:w="0" w:type="dxa"/>
        </w:trPr>
        <w:tc>
          <w:tcPr>
            <w:tcW w:w="5000" w:type="pct"/>
            <w:gridSpan w:val="3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评审结果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Header/>
          <w:tblCellSpacing w:w="0" w:type="dxa"/>
        </w:trPr>
        <w:tc>
          <w:tcPr>
            <w:tcW w:w="2847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投标人</w:t>
            </w:r>
          </w:p>
        </w:tc>
        <w:tc>
          <w:tcPr>
            <w:tcW w:w="1095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综合得分</w:t>
            </w:r>
          </w:p>
        </w:tc>
        <w:tc>
          <w:tcPr>
            <w:tcW w:w="1057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最终排名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CellSpacing w:w="0" w:type="dxa"/>
        </w:trPr>
        <w:tc>
          <w:tcPr>
            <w:tcW w:w="2847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1" w:after="100" w:afterAutospacing="1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深圳市科伟达建筑劳务有限公司</w:t>
            </w:r>
          </w:p>
        </w:tc>
        <w:tc>
          <w:tcPr>
            <w:tcW w:w="1095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84.93</w:t>
            </w:r>
          </w:p>
        </w:tc>
        <w:tc>
          <w:tcPr>
            <w:tcW w:w="1057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CellSpacing w:w="0" w:type="dxa"/>
        </w:trPr>
        <w:tc>
          <w:tcPr>
            <w:tcW w:w="2847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深圳市金鹏建设有限公司</w:t>
            </w:r>
          </w:p>
        </w:tc>
        <w:tc>
          <w:tcPr>
            <w:tcW w:w="1095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92.22</w:t>
            </w:r>
          </w:p>
        </w:tc>
        <w:tc>
          <w:tcPr>
            <w:tcW w:w="1057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CellSpacing w:w="0" w:type="dxa"/>
        </w:trPr>
        <w:tc>
          <w:tcPr>
            <w:tcW w:w="2847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深圳市金润建设工程有限公司</w:t>
            </w:r>
          </w:p>
        </w:tc>
        <w:tc>
          <w:tcPr>
            <w:tcW w:w="1095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85.55</w:t>
            </w:r>
          </w:p>
        </w:tc>
        <w:tc>
          <w:tcPr>
            <w:tcW w:w="1057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CellSpacing w:w="0" w:type="dxa"/>
        </w:trPr>
        <w:tc>
          <w:tcPr>
            <w:tcW w:w="2847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"javascript:stopBubble();" \o "东莞市益翔市政清洁服务有限公司"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东莞市益翔市政清洁服务有限公司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</w:tc>
        <w:tc>
          <w:tcPr>
            <w:tcW w:w="1095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82.6</w:t>
            </w:r>
          </w:p>
        </w:tc>
        <w:tc>
          <w:tcPr>
            <w:tcW w:w="1057" w:type="pct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</w:tr>
      <w:bookmarkEnd w:id="6"/>
    </w:tbl>
    <w:p>
      <w:pPr>
        <w:numPr>
          <w:ilvl w:val="0"/>
          <w:numId w:val="1"/>
        </w:numPr>
        <w:spacing w:before="156" w:beforeLines="50" w:line="360" w:lineRule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评标情况说明</w:t>
      </w:r>
      <w:r>
        <w:rPr>
          <w:rFonts w:hint="eastAsia" w:ascii="宋体" w:hAnsi="宋体"/>
          <w:sz w:val="24"/>
          <w:highlight w:val="none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</w:rPr>
        <w:t>本项目经各评标专家认真、综合考量，确定中标单位为</w:t>
      </w:r>
      <w:r>
        <w:rPr>
          <w:rFonts w:ascii="宋体" w:hAnsi="宋体" w:eastAsia="宋体" w:cs="宋体"/>
          <w:sz w:val="24"/>
          <w:szCs w:val="24"/>
        </w:rPr>
        <w:t>深圳市金鹏建设有限公司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widowControl/>
        <w:snapToGrid w:val="0"/>
        <w:spacing w:before="156" w:beforeLines="50" w:after="156" w:afterLines="50" w:line="360" w:lineRule="auto"/>
        <w:jc w:val="left"/>
        <w:outlineLvl w:val="0"/>
        <w:rPr>
          <w:rFonts w:hint="eastAsia" w:ascii="宋体" w:hAnsi="宋体" w:cs="宋体"/>
          <w:b/>
          <w:kern w:val="0"/>
          <w:sz w:val="24"/>
          <w:szCs w:val="20"/>
          <w:highlight w:val="none"/>
        </w:rPr>
      </w:pPr>
      <w:r>
        <w:rPr>
          <w:rFonts w:hint="eastAsia" w:ascii="宋体" w:hAnsi="宋体" w:cs="宋体"/>
          <w:b/>
          <w:kern w:val="0"/>
          <w:sz w:val="24"/>
          <w:szCs w:val="20"/>
          <w:highlight w:val="none"/>
        </w:rPr>
        <w:t>四、评标结果</w:t>
      </w:r>
    </w:p>
    <w:p>
      <w:pPr>
        <w:spacing w:line="360" w:lineRule="auto"/>
        <w:ind w:firstLine="436" w:firstLineChars="182"/>
        <w:rPr>
          <w:rFonts w:ascii="宋体" w:hAnsi="宋体" w:cs="宋体"/>
          <w:kern w:val="0"/>
          <w:sz w:val="24"/>
          <w:szCs w:val="20"/>
          <w:highlight w:val="none"/>
        </w:rPr>
      </w:pPr>
      <w:r>
        <w:rPr>
          <w:rFonts w:hint="eastAsia" w:ascii="宋体" w:hAnsi="宋体" w:cs="宋体"/>
          <w:kern w:val="0"/>
          <w:sz w:val="24"/>
          <w:szCs w:val="20"/>
          <w:highlight w:val="none"/>
        </w:rPr>
        <w:t>根据招标文件的推荐原则，评委会推荐</w:t>
      </w:r>
      <w:r>
        <w:rPr>
          <w:rFonts w:hint="eastAsia" w:ascii="宋体" w:hAnsi="宋体" w:cs="宋体"/>
          <w:bCs/>
          <w:sz w:val="24"/>
          <w:highlight w:val="none"/>
        </w:rPr>
        <w:t>中标候选人</w:t>
      </w:r>
      <w:r>
        <w:rPr>
          <w:rFonts w:hint="eastAsia" w:ascii="宋体" w:hAnsi="宋体" w:cs="宋体"/>
          <w:kern w:val="0"/>
          <w:sz w:val="24"/>
          <w:szCs w:val="20"/>
          <w:highlight w:val="none"/>
        </w:rPr>
        <w:t>情况如下：</w:t>
      </w:r>
    </w:p>
    <w:tbl>
      <w:tblPr>
        <w:tblStyle w:val="6"/>
        <w:tblW w:w="4500" w:type="pct"/>
        <w:tblCellSpacing w:w="0" w:type="dxa"/>
        <w:tblInd w:w="31" w:type="dxa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55"/>
        <w:gridCol w:w="3162"/>
      </w:tblGrid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</w:trPr>
        <w:tc>
          <w:tcPr>
            <w:tcW w:w="0" w:type="auto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jc w:val="center"/>
              <w:rPr>
                <w:rStyle w:val="7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bookmarkStart w:id="7" w:name="PO_pbbg_gysxyb_nzb_Table_0"/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供应商名单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</w:trPr>
        <w:tc>
          <w:tcPr>
            <w:tcW w:w="2896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jc w:val="center"/>
              <w:rPr>
                <w:rStyle w:val="7"/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103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jc w:val="center"/>
              <w:rPr>
                <w:rStyle w:val="7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承包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商名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tblCellSpacing w:w="0" w:type="dxa"/>
        </w:trPr>
        <w:tc>
          <w:tcPr>
            <w:tcW w:w="2896" w:type="pct"/>
            <w:tcBorders>
              <w:top w:val="single" w:color="808080" w:sz="6" w:space="0"/>
              <w:left w:val="single" w:color="808080" w:sz="6" w:space="0"/>
              <w:right w:val="single" w:color="80808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jc w:val="center"/>
              <w:rPr>
                <w:rStyle w:val="7"/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2023年度南山水厂污泥系统等清淤工程</w:t>
            </w:r>
          </w:p>
        </w:tc>
        <w:tc>
          <w:tcPr>
            <w:tcW w:w="2103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jc w:val="center"/>
              <w:rPr>
                <w:rStyle w:val="7"/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深圳市金鹏建设有限公司</w:t>
            </w:r>
          </w:p>
        </w:tc>
      </w:tr>
      <w:bookmarkEnd w:id="7"/>
    </w:tbl>
    <w:p>
      <w:pPr>
        <w:spacing w:before="156" w:beforeLines="50" w:line="360" w:lineRule="auto"/>
      </w:pPr>
      <w:bookmarkStart w:id="8" w:name="projectbidingtime"/>
      <w:bookmarkEnd w:id="8"/>
    </w:p>
    <w:sectPr>
      <w:headerReference r:id="rId5" w:type="default"/>
      <w:footerReference r:id="rId6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ascii="楷体_GB2312" w:eastAsia="楷体_GB2312"/>
      </w:rPr>
    </w:pPr>
    <w:r>
      <w:drawing>
        <wp:inline distT="0" distB="0" distL="114300" distR="114300">
          <wp:extent cx="1372235" cy="304800"/>
          <wp:effectExtent l="0" t="0" r="1841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223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_GB2312" w:eastAsia="楷体_GB2312"/>
      </w:rPr>
      <w:t xml:space="preserve">       </w:t>
    </w:r>
    <w:r>
      <w:rPr>
        <w:rFonts w:ascii="楷体_GB2312" w:eastAsia="楷体_GB2312"/>
      </w:rPr>
      <w:t xml:space="preserve">       </w:t>
    </w:r>
    <w:r>
      <w:rPr>
        <w:rFonts w:ascii="楷体_GB2312" w:eastAsia="楷体_GB2312"/>
        <w:b/>
        <w:sz w:val="36"/>
      </w:rPr>
      <w:t xml:space="preserve"> </w:t>
    </w:r>
    <w:r>
      <w:rPr>
        <w:rFonts w:hint="eastAsia" w:ascii="楷体_GB2312" w:eastAsia="楷体_GB2312"/>
        <w:b/>
        <w:sz w:val="36"/>
      </w:rPr>
      <w:t>南山</w:t>
    </w:r>
    <w:r>
      <w:rPr>
        <w:rFonts w:ascii="楷体_GB2312" w:eastAsia="楷体_GB2312"/>
        <w:b/>
        <w:sz w:val="36"/>
      </w:rPr>
      <w:t>水厂</w:t>
    </w:r>
  </w:p>
  <w:p>
    <w:pPr>
      <w:pStyle w:val="5"/>
      <w:jc w:val="left"/>
      <w:rPr>
        <w:rFonts w:hint="eastAsia" w:ascii="楷体_GB2312" w:eastAsia="楷体_GB2312"/>
      </w:rPr>
    </w:pPr>
  </w:p>
  <w:p>
    <w:pPr>
      <w:pStyle w:val="5"/>
      <w:pBdr>
        <w:bottom w:val="none" w:color="auto" w:sz="0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073FAE"/>
    <w:multiLevelType w:val="multilevel"/>
    <w:tmpl w:val="4D073FAE"/>
    <w:lvl w:ilvl="0" w:tentative="0">
      <w:start w:val="1"/>
      <w:numFmt w:val="decimal"/>
      <w:lvlText w:val="%1."/>
      <w:lvlJc w:val="left"/>
      <w:pPr>
        <w:ind w:left="885" w:hanging="420"/>
      </w:pPr>
    </w:lvl>
    <w:lvl w:ilvl="1" w:tentative="0">
      <w:start w:val="1"/>
      <w:numFmt w:val="lowerLetter"/>
      <w:lvlText w:val="%2)"/>
      <w:lvlJc w:val="left"/>
      <w:pPr>
        <w:ind w:left="1305" w:hanging="420"/>
      </w:pPr>
    </w:lvl>
    <w:lvl w:ilvl="2" w:tentative="0">
      <w:start w:val="1"/>
      <w:numFmt w:val="lowerRoman"/>
      <w:lvlText w:val="%3."/>
      <w:lvlJc w:val="right"/>
      <w:pPr>
        <w:ind w:left="1725" w:hanging="420"/>
      </w:pPr>
    </w:lvl>
    <w:lvl w:ilvl="3" w:tentative="0">
      <w:start w:val="1"/>
      <w:numFmt w:val="decimal"/>
      <w:lvlText w:val="%4."/>
      <w:lvlJc w:val="left"/>
      <w:pPr>
        <w:ind w:left="2145" w:hanging="420"/>
      </w:pPr>
    </w:lvl>
    <w:lvl w:ilvl="4" w:tentative="0">
      <w:start w:val="1"/>
      <w:numFmt w:val="lowerLetter"/>
      <w:lvlText w:val="%5)"/>
      <w:lvlJc w:val="left"/>
      <w:pPr>
        <w:ind w:left="2565" w:hanging="420"/>
      </w:pPr>
    </w:lvl>
    <w:lvl w:ilvl="5" w:tentative="0">
      <w:start w:val="1"/>
      <w:numFmt w:val="lowerRoman"/>
      <w:lvlText w:val="%6."/>
      <w:lvlJc w:val="right"/>
      <w:pPr>
        <w:ind w:left="2985" w:hanging="420"/>
      </w:pPr>
    </w:lvl>
    <w:lvl w:ilvl="6" w:tentative="0">
      <w:start w:val="1"/>
      <w:numFmt w:val="decimal"/>
      <w:lvlText w:val="%7."/>
      <w:lvlJc w:val="left"/>
      <w:pPr>
        <w:ind w:left="3405" w:hanging="420"/>
      </w:pPr>
    </w:lvl>
    <w:lvl w:ilvl="7" w:tentative="0">
      <w:start w:val="1"/>
      <w:numFmt w:val="lowerLetter"/>
      <w:lvlText w:val="%8)"/>
      <w:lvlJc w:val="left"/>
      <w:pPr>
        <w:ind w:left="3825" w:hanging="420"/>
      </w:pPr>
    </w:lvl>
    <w:lvl w:ilvl="8" w:tentative="0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02CFA"/>
    <w:rsid w:val="1DE0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673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tabs>
        <w:tab w:val="left" w:pos="673"/>
      </w:tabs>
      <w:ind w:firstLine="560"/>
    </w:pPr>
    <w:rPr>
      <w:rFonts w:ascii="宋体" w:hAnsi="宋体"/>
      <w:sz w:val="2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2023-12-01T01:35:00Z</dcterms:created>
  <dc:creator>伍锦川</dc:creator>
  <cp:lastModifiedBy>伍锦川</cp:lastModifiedBy>
  <dcterms:modified xsi:type="dcterms:W3CDTF">2023-12-01T01:49:26Z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221830FD958D4D61A7657E18E8146387</vt:lpwstr>
  </property>
</Properties>
</file>