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hint="eastAsia" w:ascii="黑体" w:hAnsi="黑体" w:eastAsia="黑体" w:cs="Arial"/>
          <w:b/>
          <w:bCs/>
          <w:iCs/>
          <w:sz w:val="36"/>
          <w:szCs w:val="36"/>
        </w:rPr>
      </w:pPr>
      <w:bookmarkStart w:id="0" w:name="_GoBack"/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023-2024年度深圳市深水光明水务有限公司环境污染强制责任保险采购采购</w:t>
      </w: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项目修改公告</w:t>
      </w:r>
    </w:p>
    <w:bookmarkEnd w:id="0"/>
    <w:p>
      <w:pPr>
        <w:rPr>
          <w:rFonts w:hint="eastAsia"/>
        </w:rPr>
      </w:pPr>
    </w:p>
    <w:p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一、澄修改内容</w:t>
      </w:r>
    </w:p>
    <w:p>
      <w:pPr>
        <w:pStyle w:val="10"/>
        <w:numPr>
          <w:ilvl w:val="0"/>
          <w:numId w:val="1"/>
        </w:numPr>
        <w:spacing w:line="360" w:lineRule="exact"/>
        <w:ind w:firstLine="0" w:firstLineChars="0"/>
        <w:rPr>
          <w:rFonts w:hint="default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现对“</w:t>
      </w:r>
      <w:r>
        <w:rPr>
          <w:rFonts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shd w:val="clear" w:fill="FFFFFF"/>
        </w:rPr>
        <w:t>2023-2024年度深圳市深水光明水务有限公司环境污染强制责任保险采购采购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”（项目编号：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微软雅黑" w:hAnsi="微软雅黑" w:eastAsia="微软雅黑" w:cs="微软雅黑"/>
          <w:i w:val="0"/>
          <w:iCs w:val="0"/>
          <w:caps w:val="0"/>
          <w:color w:val="1F3149"/>
          <w:spacing w:val="0"/>
          <w:sz w:val="21"/>
          <w:szCs w:val="21"/>
          <w:shd w:val="clear" w:fill="FFFFFF"/>
        </w:rPr>
        <w:t>FW16123045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）采购文件进行修改内容如下：</w:t>
      </w:r>
    </w:p>
    <w:p>
      <w:pPr>
        <w:pStyle w:val="10"/>
        <w:numPr>
          <w:numId w:val="0"/>
        </w:numPr>
        <w:spacing w:line="360" w:lineRule="exact"/>
        <w:rPr>
          <w:rFonts w:hint="default"/>
          <w:lang w:val="en-US" w:eastAsia="zh-CN"/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lang w:val="en-US" w:eastAsia="zh-CN"/>
        </w:rPr>
        <w:t>原</w:t>
      </w:r>
      <w:r>
        <w:rPr>
          <w:rFonts w:hint="eastAsia"/>
        </w:rPr>
        <w:t>承保</w:t>
      </w:r>
      <w: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光明</w:t>
      </w:r>
      <w:r>
        <w:t>水环境</w:t>
      </w:r>
      <w:r>
        <w:rPr>
          <w:rFonts w:hint="eastAsia"/>
        </w:rPr>
        <w:t>光明水质净化厂</w:t>
      </w:r>
      <w:r>
        <w:rPr>
          <w:rFonts w:hint="eastAsia"/>
          <w:lang w:val="en-US" w:eastAsia="zh-CN"/>
        </w:rPr>
        <w:t>改为上村水厂和甲子塘水厂·</w:t>
      </w:r>
    </w:p>
    <w:p>
      <w:pPr>
        <w:rPr>
          <w:rFonts w:hint="default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2.</w:t>
      </w:r>
    </w:p>
    <w:tbl>
      <w:tblPr>
        <w:tblStyle w:val="8"/>
        <w:tblpPr w:leftFromText="180" w:rightFromText="180" w:vertAnchor="text" w:horzAnchor="page" w:tblpX="1617" w:tblpY="84"/>
        <w:tblOverlap w:val="never"/>
        <w:tblW w:w="46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1557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pct"/>
            <w:vMerge w:val="restart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责任限额改为</w:t>
            </w:r>
          </w:p>
        </w:tc>
        <w:tc>
          <w:tcPr>
            <w:tcW w:w="1524" w:type="pct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975" w:type="pct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原</w:t>
            </w:r>
          </w:p>
        </w:tc>
        <w:tc>
          <w:tcPr>
            <w:tcW w:w="975" w:type="pct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pct"/>
            <w:vMerge w:val="continue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24" w:type="pct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每次事故应急处置与清污费用责任限额</w:t>
            </w:r>
          </w:p>
        </w:tc>
        <w:tc>
          <w:tcPr>
            <w:tcW w:w="975" w:type="pct"/>
            <w:vAlign w:val="top"/>
          </w:tcPr>
          <w:p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480,000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  <w:tc>
          <w:tcPr>
            <w:tcW w:w="975" w:type="pct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  <w:lang w:val="en-US" w:eastAsia="zh-CN"/>
              </w:rPr>
              <w:t>220000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pct"/>
            <w:vMerge w:val="continue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每次事故应急补偿责任赔偿费用责任限额</w:t>
            </w:r>
          </w:p>
        </w:tc>
        <w:tc>
          <w:tcPr>
            <w:tcW w:w="975" w:type="pct"/>
            <w:vAlign w:val="top"/>
          </w:tcPr>
          <w:p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480,000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  <w:tc>
          <w:tcPr>
            <w:tcW w:w="975" w:type="pct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  <w:lang w:val="en-US" w:eastAsia="zh-CN"/>
              </w:rPr>
              <w:t>220000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pct"/>
            <w:vMerge w:val="continue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24" w:type="pct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每次事故法律费用责任限额</w:t>
            </w:r>
          </w:p>
        </w:tc>
        <w:tc>
          <w:tcPr>
            <w:tcW w:w="975" w:type="pct"/>
            <w:vAlign w:val="top"/>
          </w:tcPr>
          <w:p>
            <w:pPr>
              <w:spacing w:line="360" w:lineRule="exact"/>
              <w:rPr>
                <w:rFonts w:hint="eastAsia" w:cs="Times New Roman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480,000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  <w:tc>
          <w:tcPr>
            <w:tcW w:w="975" w:type="pct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RMB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  <w:lang w:val="en-US" w:eastAsia="zh-CN"/>
              </w:rPr>
              <w:t>220000</w:t>
            </w:r>
            <w:r>
              <w:rPr>
                <w:rFonts w:asciiTheme="minorEastAsia" w:hAnsiTheme="minorEastAsia" w:eastAsiaTheme="minor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u w:val="single"/>
              </w:rPr>
              <w:t>元</w:t>
            </w:r>
          </w:p>
        </w:tc>
      </w:tr>
    </w:tbl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r>
        <w:rPr>
          <w:rFonts w:hint="eastAsia"/>
          <w:sz w:val="24"/>
          <w:u w:val="single"/>
          <w:lang w:val="en-US" w:eastAsia="zh-CN"/>
        </w:rPr>
        <w:t>李景峰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r>
        <w:rPr>
          <w:rFonts w:hint="eastAsia"/>
          <w:sz w:val="24"/>
          <w:u w:val="single"/>
          <w:lang w:val="en-US" w:eastAsia="zh-CN"/>
        </w:rPr>
        <w:t>13632435363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   电子邮件：</w:t>
      </w:r>
      <w:r>
        <w:rPr>
          <w:rFonts w:hint="eastAsia" w:ascii="宋体" w:hAnsi="宋体" w:cs="宋体"/>
          <w:sz w:val="24"/>
          <w:lang w:val="en-US" w:eastAsia="zh-CN"/>
        </w:rPr>
        <w:t>jingfengli2009@163.com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r>
      <w:rPr>
        <w:rFonts w:hint="eastAsia"/>
      </w:rPr>
      <w:t xml:space="preserve">                        </w:t>
    </w:r>
  </w:p>
  <w:p/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5887B"/>
    <w:multiLevelType w:val="singleLevel"/>
    <w:tmpl w:val="DAC588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6BBA"/>
    <w:rsid w:val="32152BD5"/>
    <w:rsid w:val="3DE8265F"/>
    <w:rsid w:val="43FD701B"/>
    <w:rsid w:val="5E047642"/>
    <w:rsid w:val="72997645"/>
    <w:rsid w:val="7D2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iPriority="99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</w:tabs>
      <w:spacing w:line="420" w:lineRule="exact"/>
      <w:ind w:firstLine="525"/>
    </w:pPr>
    <w:rPr>
      <w:rFonts w:ascii="仿宋_GB2312" w:hAnsi="Times New Roman" w:eastAsia="仿宋_GB2312"/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heading"/>
    <w:basedOn w:val="1"/>
    <w:next w:val="5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Normal (Web)"/>
    <w:basedOn w:val="1"/>
    <w:unhideWhenUsed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4"/>
    <w:qFormat/>
    <w:uiPriority w:val="0"/>
    <w:pPr>
      <w:spacing w:before="120" w:after="120" w:line="500" w:lineRule="atLeast"/>
      <w:outlineLvl w:val="1"/>
    </w:pPr>
    <w:rPr>
      <w:rFonts w:ascii="Arial" w:hAnsi="宋体" w:eastAsia="宋体" w:cs="Arial"/>
      <w:sz w:val="28"/>
      <w:szCs w:val="20"/>
    </w:rPr>
  </w:style>
  <w:style w:type="paragraph" w:customStyle="1" w:styleId="12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2023-11-24T07:47:00Z</dcterms:created>
  <dc:creator>Administrator</dc:creator>
  <cp:lastModifiedBy>李景峰</cp:lastModifiedBy>
  <dcterms:modified xsi:type="dcterms:W3CDTF">2023-11-28T03:27:57Z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7A9211DDCC594DD0AAE1949A44295729</vt:lpwstr>
  </property>
</Properties>
</file>