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/>
        <w:jc w:val="center"/>
        <w:textAlignment w:val="auto"/>
        <w:outlineLvl w:val="9"/>
        <w:rPr>
          <w:rFonts w:hint="eastAsia" w:ascii="Arial" w:hAnsi="Arial" w:eastAsia="宋体" w:cs="Arial"/>
          <w:b/>
          <w:bCs/>
          <w:color w:val="auto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eastAsia="zh-CN"/>
        </w:rPr>
        <w:t>关于深圳市深水龙岗水务集团中高层管理人员高校学习培训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的澄清公告</w:t>
      </w:r>
      <w:r>
        <w:rPr>
          <w:rFonts w:hint="eastAsia" w:ascii="Arial" w:hAnsi="Arial" w:eastAsia="宋体" w:cs="Arial"/>
          <w:b/>
          <w:bCs/>
          <w:color w:val="auto"/>
          <w:kern w:val="0"/>
          <w:sz w:val="24"/>
          <w:szCs w:val="24"/>
        </w:rPr>
        <w:br w:type="textWrapping"/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关于深圳市深水龙岗水务集团中高层管理人员高校学习培训（项目编号：FW8523036）的招标文件“第六章 项目评分表、商务部分”的澄清修改：</w:t>
      </w:r>
    </w:p>
    <w:p>
      <w:pPr>
        <w:pStyle w:val="9"/>
        <w:rPr>
          <w:rFonts w:hint="eastAsia"/>
          <w:lang w:val="en-US" w:eastAsia="zh-CN"/>
        </w:rPr>
      </w:pPr>
    </w:p>
    <w:tbl>
      <w:tblPr>
        <w:tblStyle w:val="10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6200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6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同类业绩</w:t>
            </w:r>
          </w:p>
        </w:tc>
        <w:tc>
          <w:tcPr>
            <w:tcW w:w="6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提供20</w:t>
            </w:r>
            <w:r>
              <w:rPr>
                <w:rFonts w:ascii="宋体" w:hAnsi="宋体" w:eastAsia="宋体"/>
              </w:rPr>
              <w:t>20</w:t>
            </w:r>
            <w:r>
              <w:rPr>
                <w:rFonts w:hint="eastAsia" w:ascii="宋体" w:hAnsi="宋体" w:eastAsia="宋体"/>
              </w:rPr>
              <w:t>年1月1日起至本项目开标日止（以合同签订日期为准），承办过党政机关、事业单位或国有企业赴外培训项目：每提供1个得1分，最高得</w:t>
            </w:r>
            <w:r>
              <w:rPr>
                <w:rFonts w:ascii="宋体" w:hAnsi="宋体" w:eastAsia="宋体"/>
              </w:rPr>
              <w:t>10</w:t>
            </w:r>
            <w:r>
              <w:rPr>
                <w:rFonts w:hint="eastAsia" w:ascii="宋体" w:hAnsi="宋体" w:eastAsia="宋体"/>
              </w:rPr>
              <w:t>分。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投标人提供相关证明材料原件复印件并加盖投标人公章，原件备查，未提供或提供不清晰导致无法判断的不得分。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  <w:r>
              <w:rPr>
                <w:rFonts w:ascii="宋体" w:hAnsi="宋体" w:eastAsia="宋体"/>
                <w:color w:val="000000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变更为：</w:t>
      </w:r>
    </w:p>
    <w:tbl>
      <w:tblPr>
        <w:tblStyle w:val="10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6200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同类业绩</w:t>
            </w:r>
          </w:p>
        </w:tc>
        <w:tc>
          <w:tcPr>
            <w:tcW w:w="6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提供</w:t>
            </w:r>
            <w:r>
              <w:rPr>
                <w:rFonts w:hint="eastAsia" w:ascii="宋体" w:hAnsi="宋体" w:eastAsia="宋体"/>
                <w:b/>
                <w:bCs/>
                <w:highlight w:val="yellow"/>
                <w:lang w:val="en-US" w:eastAsia="zh-CN"/>
              </w:rPr>
              <w:t>2018</w:t>
            </w:r>
            <w:r>
              <w:rPr>
                <w:rFonts w:hint="eastAsia" w:ascii="宋体" w:hAnsi="宋体" w:eastAsia="宋体"/>
                <w:b/>
                <w:bCs/>
                <w:highlight w:val="yellow"/>
              </w:rPr>
              <w:t>年1月1日</w:t>
            </w:r>
            <w:r>
              <w:rPr>
                <w:rFonts w:hint="eastAsia" w:ascii="宋体" w:hAnsi="宋体" w:eastAsia="宋体"/>
              </w:rPr>
              <w:t>起至本项目开标日止（以合同签订日期为准），承办过党政机关、事业单位或国有企业赴外培训项目：每提供1个得1分，最高得</w:t>
            </w:r>
            <w:r>
              <w:rPr>
                <w:rFonts w:ascii="宋体" w:hAnsi="宋体" w:eastAsia="宋体"/>
              </w:rPr>
              <w:t>10</w:t>
            </w:r>
            <w:r>
              <w:rPr>
                <w:rFonts w:hint="eastAsia" w:ascii="宋体" w:hAnsi="宋体" w:eastAsia="宋体"/>
              </w:rPr>
              <w:t>分。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投标人提供相关证明材料原件复印件并加盖投标人公章，原件备查，未提供或提供不清晰导致无法判断的不得分。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  <w:r>
              <w:rPr>
                <w:rFonts w:ascii="宋体" w:hAnsi="宋体" w:eastAsia="宋体"/>
                <w:color w:val="000000"/>
              </w:rPr>
              <w:t>0</w:t>
            </w:r>
          </w:p>
        </w:tc>
      </w:tr>
    </w:tbl>
    <w:p>
      <w:pPr>
        <w:pStyle w:val="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特此说明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1699" w:firstLineChars="708"/>
        <w:jc w:val="righ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          深圳市深水龙岗水务集团有限公司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1699" w:firstLineChars="708"/>
        <w:jc w:val="righ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　　　　　　　　　　　　　　　   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043A4"/>
    <w:rsid w:val="116B138E"/>
    <w:rsid w:val="2C0C2A4A"/>
    <w:rsid w:val="2E261332"/>
    <w:rsid w:val="36FA41E8"/>
    <w:rsid w:val="43101ADF"/>
    <w:rsid w:val="43C375FB"/>
    <w:rsid w:val="4CB85B92"/>
    <w:rsid w:val="510D175B"/>
    <w:rsid w:val="557A5B4A"/>
    <w:rsid w:val="5BB63B02"/>
    <w:rsid w:val="641B47EE"/>
    <w:rsid w:val="70040DA1"/>
    <w:rsid w:val="7852383B"/>
    <w:rsid w:val="7D6A6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2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3"/>
    <w:qFormat/>
    <w:uiPriority w:val="9"/>
    <w:pPr>
      <w:keepNext/>
      <w:keepLines/>
      <w:snapToGrid w:val="0"/>
      <w:spacing w:line="360" w:lineRule="auto"/>
      <w:outlineLvl w:val="1"/>
    </w:pPr>
    <w:rPr>
      <w:rFonts w:ascii="Calibri Light" w:hAnsi="Calibri Light" w:eastAsia="宋体"/>
      <w:b/>
      <w:sz w:val="30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  <w:rPr>
      <w:szCs w:val="20"/>
    </w:rPr>
  </w:style>
  <w:style w:type="paragraph" w:styleId="5">
    <w:name w:val="annotation text"/>
    <w:basedOn w:val="1"/>
    <w:qFormat/>
    <w:uiPriority w:val="99"/>
    <w:pPr>
      <w:keepNext/>
      <w:keepLines/>
      <w:adjustRightInd w:val="0"/>
      <w:spacing w:line="360" w:lineRule="atLeast"/>
      <w:textAlignment w:val="baseline"/>
    </w:pPr>
    <w:rPr>
      <w:rFonts w:ascii="Times New Roman" w:eastAsia="宋体"/>
      <w:kern w:val="0"/>
      <w:sz w:val="24"/>
      <w:szCs w:val="20"/>
    </w:rPr>
  </w:style>
  <w:style w:type="paragraph" w:styleId="6">
    <w:name w:val="Body Text Indent"/>
    <w:basedOn w:val="1"/>
    <w:qFormat/>
    <w:uiPriority w:val="0"/>
    <w:pPr>
      <w:spacing w:line="480" w:lineRule="exact"/>
      <w:ind w:firstLine="480" w:firstLineChars="200"/>
    </w:pPr>
    <w:rPr>
      <w:rFonts w:ascii="宋体" w:hAnsi="宋体" w:eastAsia="宋体"/>
      <w:sz w:val="24"/>
    </w:rPr>
  </w:style>
  <w:style w:type="paragraph" w:styleId="7">
    <w:name w:val="Plain Text"/>
    <w:basedOn w:val="1"/>
    <w:next w:val="8"/>
    <w:qFormat/>
    <w:uiPriority w:val="99"/>
    <w:rPr>
      <w:rFonts w:ascii="宋体" w:hAnsi="Courier New"/>
      <w:szCs w:val="21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9">
    <w:name w:val="Body Text First Indent 2"/>
    <w:basedOn w:val="6"/>
    <w:qFormat/>
    <w:uiPriority w:val="0"/>
    <w:pPr>
      <w:tabs>
        <w:tab w:val="left" w:pos="673"/>
      </w:tabs>
      <w:ind w:firstLine="420"/>
    </w:pPr>
  </w:style>
  <w:style w:type="character" w:customStyle="1" w:styleId="12">
    <w:name w:val="1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QJW</cp:lastModifiedBy>
  <cp:lastPrinted>2022-11-04T01:41:00Z</cp:lastPrinted>
  <dcterms:modified xsi:type="dcterms:W3CDTF">2023-05-22T03:41:16Z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