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44"/>
          <w:szCs w:val="44"/>
        </w:rPr>
      </w:pPr>
      <w:r>
        <w:rPr>
          <w:rFonts w:hint="eastAsia" w:ascii="宋体" w:hAnsi="宋体" w:eastAsia="宋体"/>
          <w:b/>
          <w:sz w:val="44"/>
          <w:szCs w:val="44"/>
        </w:rPr>
        <w:t>布沙分公司关于202</w:t>
      </w:r>
      <w:r>
        <w:rPr>
          <w:rFonts w:hint="eastAsia" w:ascii="宋体" w:hAnsi="宋体"/>
          <w:b/>
          <w:sz w:val="44"/>
          <w:szCs w:val="44"/>
          <w:lang w:val="en-US" w:eastAsia="zh-CN"/>
        </w:rPr>
        <w:t>3</w:t>
      </w:r>
      <w:r>
        <w:rPr>
          <w:rFonts w:hint="eastAsia" w:ascii="宋体" w:hAnsi="宋体" w:eastAsia="宋体"/>
          <w:b/>
          <w:sz w:val="44"/>
          <w:szCs w:val="44"/>
        </w:rPr>
        <w:t>年</w:t>
      </w:r>
      <w:r>
        <w:rPr>
          <w:rFonts w:hint="eastAsia" w:ascii="宋体" w:hAnsi="宋体"/>
          <w:b/>
          <w:sz w:val="44"/>
          <w:szCs w:val="44"/>
          <w:lang w:val="en-US" w:eastAsia="zh-CN"/>
        </w:rPr>
        <w:t>布吉</w:t>
      </w:r>
      <w:r>
        <w:rPr>
          <w:rFonts w:hint="eastAsia" w:ascii="宋体" w:hAnsi="宋体" w:eastAsia="宋体"/>
          <w:b/>
          <w:sz w:val="44"/>
          <w:szCs w:val="44"/>
        </w:rPr>
        <w:t>片区防洪排涝易淹点值守服务项目采购的请示</w:t>
      </w:r>
    </w:p>
    <w:p>
      <w:pPr>
        <w:spacing w:line="360" w:lineRule="auto"/>
        <w:jc w:val="left"/>
        <w:rPr>
          <w:rFonts w:ascii="仿宋_GB2312" w:hAnsi="宋体" w:eastAsia="仿宋_GB2312"/>
          <w:color w:val="000000"/>
          <w:sz w:val="32"/>
          <w:szCs w:val="32"/>
        </w:rPr>
      </w:pPr>
      <w:r>
        <w:rPr>
          <w:rFonts w:hint="eastAsia" w:ascii="仿宋_GB2312" w:hAnsi="宋体" w:eastAsia="仿宋_GB2312"/>
          <w:color w:val="000000"/>
          <w:sz w:val="32"/>
          <w:szCs w:val="32"/>
          <w:lang w:val="en-US" w:eastAsia="zh-CN"/>
        </w:rPr>
        <w:t>分</w:t>
      </w:r>
      <w:r>
        <w:rPr>
          <w:rFonts w:hint="eastAsia" w:ascii="仿宋_GB2312" w:hAnsi="宋体" w:eastAsia="仿宋_GB2312"/>
          <w:color w:val="000000"/>
          <w:sz w:val="32"/>
          <w:szCs w:val="32"/>
        </w:rPr>
        <w:t>公司领导：</w:t>
      </w:r>
    </w:p>
    <w:p>
      <w:pPr>
        <w:spacing w:line="360" w:lineRule="auto"/>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由于我司采取“核心管理、外部协同”业务模式，自有员工无法满足2</w:t>
      </w:r>
      <w:r>
        <w:rPr>
          <w:rFonts w:ascii="仿宋_GB2312" w:hAnsi="宋体" w:eastAsia="仿宋_GB2312"/>
          <w:color w:val="000000"/>
          <w:sz w:val="32"/>
          <w:szCs w:val="32"/>
        </w:rPr>
        <w:t>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年防洪排涝工作的易淹点值守任务，为确保布沙分公司</w:t>
      </w:r>
      <w:r>
        <w:rPr>
          <w:rFonts w:hint="eastAsia" w:ascii="仿宋_GB2312" w:hAnsi="宋体" w:eastAsia="仿宋_GB2312"/>
          <w:color w:val="000000"/>
          <w:sz w:val="32"/>
          <w:szCs w:val="32"/>
          <w:lang w:val="en-US" w:eastAsia="zh-CN"/>
        </w:rPr>
        <w:t>布吉</w:t>
      </w:r>
      <w:r>
        <w:rPr>
          <w:rFonts w:hint="eastAsia" w:ascii="仿宋_GB2312" w:hAnsi="宋体" w:eastAsia="仿宋_GB2312"/>
          <w:color w:val="000000"/>
          <w:sz w:val="32"/>
          <w:szCs w:val="32"/>
        </w:rPr>
        <w:t>片区</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3</w:t>
      </w:r>
      <w:r>
        <w:rPr>
          <w:rFonts w:ascii="仿宋_GB2312" w:hAnsi="宋体" w:eastAsia="仿宋_GB2312"/>
          <w:color w:val="000000"/>
          <w:sz w:val="32"/>
          <w:szCs w:val="32"/>
        </w:rPr>
        <w:t>年防洪排涝</w:t>
      </w:r>
      <w:r>
        <w:rPr>
          <w:rFonts w:hint="eastAsia" w:ascii="仿宋_GB2312" w:hAnsi="宋体" w:eastAsia="仿宋_GB2312"/>
          <w:color w:val="000000"/>
          <w:sz w:val="32"/>
          <w:szCs w:val="32"/>
        </w:rPr>
        <w:t>工作顺利开展，需将该值守服务进行外包，现将采购情况请示如下：</w:t>
      </w:r>
    </w:p>
    <w:p>
      <w:pPr>
        <w:pStyle w:val="4"/>
        <w:numPr>
          <w:ilvl w:val="0"/>
          <w:numId w:val="1"/>
        </w:numPr>
        <w:spacing w:line="360" w:lineRule="auto"/>
        <w:ind w:firstLineChars="0"/>
        <w:jc w:val="left"/>
        <w:rPr>
          <w:rFonts w:ascii="黑体" w:hAnsi="黑体" w:eastAsia="黑体" w:cs="仿宋_GB2312"/>
          <w:sz w:val="32"/>
          <w:szCs w:val="32"/>
        </w:rPr>
      </w:pPr>
      <w:r>
        <w:rPr>
          <w:rFonts w:hint="eastAsia" w:ascii="黑体" w:hAnsi="黑体" w:eastAsia="黑体" w:cs="仿宋_GB2312"/>
          <w:sz w:val="32"/>
          <w:szCs w:val="32"/>
        </w:rPr>
        <w:t>项目概况与预算情况说明：</w:t>
      </w:r>
    </w:p>
    <w:p>
      <w:pPr>
        <w:spacing w:line="360" w:lineRule="auto"/>
        <w:ind w:firstLine="640" w:firstLineChars="200"/>
        <w:jc w:val="left"/>
        <w:rPr>
          <w:rFonts w:ascii="仿宋" w:hAnsi="仿宋" w:eastAsia="仿宋" w:cs="仿宋_GB2312"/>
          <w:sz w:val="32"/>
          <w:szCs w:val="32"/>
        </w:rPr>
      </w:pPr>
      <w:r>
        <w:rPr>
          <w:rFonts w:hint="eastAsia" w:ascii="仿宋_GB2312" w:hAnsi="宋体" w:eastAsia="仿宋_GB2312"/>
          <w:color w:val="000000"/>
          <w:sz w:val="32"/>
          <w:szCs w:val="32"/>
        </w:rPr>
        <w:t>为确保布沙分公司</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3</w:t>
      </w:r>
      <w:r>
        <w:rPr>
          <w:rFonts w:ascii="仿宋_GB2312" w:hAnsi="宋体" w:eastAsia="仿宋_GB2312"/>
          <w:color w:val="000000"/>
          <w:sz w:val="32"/>
          <w:szCs w:val="32"/>
        </w:rPr>
        <w:t>年防洪排涝</w:t>
      </w:r>
      <w:r>
        <w:rPr>
          <w:rFonts w:hint="eastAsia" w:ascii="仿宋_GB2312" w:hAnsi="宋体" w:eastAsia="仿宋_GB2312"/>
          <w:color w:val="000000"/>
          <w:sz w:val="32"/>
          <w:szCs w:val="32"/>
        </w:rPr>
        <w:t>工作顺利开展,拟将2</w:t>
      </w:r>
      <w:r>
        <w:rPr>
          <w:rFonts w:ascii="仿宋_GB2312" w:hAnsi="宋体" w:eastAsia="仿宋_GB2312"/>
          <w:color w:val="000000"/>
          <w:sz w:val="32"/>
          <w:szCs w:val="32"/>
        </w:rPr>
        <w:t>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年防洪排涝期间</w:t>
      </w:r>
      <w:r>
        <w:rPr>
          <w:rFonts w:hint="eastAsia" w:ascii="仿宋_GB2312" w:hAnsi="宋体" w:eastAsia="仿宋_GB2312"/>
          <w:color w:val="000000"/>
          <w:sz w:val="32"/>
          <w:szCs w:val="32"/>
          <w:lang w:val="en-US" w:eastAsia="zh-CN"/>
        </w:rPr>
        <w:t>布吉</w:t>
      </w:r>
      <w:bookmarkStart w:id="0" w:name="_GoBack"/>
      <w:bookmarkEnd w:id="0"/>
      <w:r>
        <w:rPr>
          <w:rFonts w:hint="eastAsia" w:ascii="仿宋_GB2312" w:hAnsi="宋体" w:eastAsia="仿宋_GB2312"/>
          <w:color w:val="000000"/>
          <w:sz w:val="32"/>
          <w:szCs w:val="32"/>
        </w:rPr>
        <w:t>片区</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个易淹点值守任务进行外包采购</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通过近年辖区内防洪现场情况统计分析，结合往年防洪经验对策，要求值守点增备发电机及水泵，用于现场应急抽排，利于控制小规模积水或紧急情况的前期抑制作用。故</w:t>
      </w: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日至202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月1日期间</w:t>
      </w:r>
      <w:r>
        <w:rPr>
          <w:rFonts w:hint="eastAsia" w:ascii="仿宋" w:hAnsi="仿宋" w:eastAsia="仿宋" w:cs="仿宋_GB2312"/>
          <w:color w:val="000000"/>
          <w:sz w:val="32"/>
          <w:szCs w:val="32"/>
          <w:lang w:val="en-US" w:eastAsia="zh-CN"/>
        </w:rPr>
        <w:t>至少</w:t>
      </w:r>
      <w:r>
        <w:rPr>
          <w:rFonts w:hint="eastAsia" w:ascii="仿宋_GB2312" w:hAnsi="宋体" w:eastAsia="仿宋_GB2312"/>
          <w:color w:val="000000"/>
          <w:sz w:val="32"/>
          <w:szCs w:val="32"/>
        </w:rPr>
        <w:t>需</w:t>
      </w:r>
      <w:r>
        <w:rPr>
          <w:rFonts w:hint="eastAsia" w:ascii="仿宋_GB2312" w:hAnsi="宋体" w:eastAsia="仿宋_GB2312"/>
          <w:color w:val="000000"/>
          <w:sz w:val="32"/>
          <w:szCs w:val="32"/>
          <w:lang w:val="en-US" w:eastAsia="zh-CN"/>
        </w:rPr>
        <w:t>12</w:t>
      </w:r>
      <w:r>
        <w:rPr>
          <w:rFonts w:hint="eastAsia" w:ascii="仿宋_GB2312" w:hAnsi="宋体" w:eastAsia="仿宋_GB2312"/>
          <w:color w:val="000000"/>
          <w:sz w:val="32"/>
          <w:szCs w:val="32"/>
        </w:rPr>
        <w:t>人</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辆载货汽车</w:t>
      </w:r>
      <w:r>
        <w:rPr>
          <w:rFonts w:hint="eastAsia" w:ascii="仿宋_GB2312" w:hAnsi="宋体" w:eastAsia="仿宋_GB2312"/>
          <w:color w:val="000000"/>
          <w:sz w:val="32"/>
          <w:szCs w:val="32"/>
          <w:lang w:val="en-US" w:eastAsia="zh-CN"/>
        </w:rPr>
        <w:t>及相应发电机及水泵</w:t>
      </w:r>
      <w:r>
        <w:rPr>
          <w:rFonts w:hint="eastAsia" w:ascii="仿宋_GB2312" w:hAnsi="宋体" w:eastAsia="仿宋_GB2312"/>
          <w:color w:val="000000"/>
          <w:sz w:val="32"/>
          <w:szCs w:val="32"/>
        </w:rPr>
        <w:t>完成本片区防洪排涝值守任务</w:t>
      </w:r>
      <w:r>
        <w:rPr>
          <w:rFonts w:hint="eastAsia" w:ascii="仿宋" w:hAnsi="仿宋" w:eastAsia="仿宋" w:cs="仿宋_GB2312"/>
          <w:sz w:val="32"/>
          <w:szCs w:val="32"/>
        </w:rPr>
        <w:t>。</w:t>
      </w:r>
    </w:p>
    <w:p>
      <w:pPr>
        <w:pStyle w:val="4"/>
        <w:numPr>
          <w:ilvl w:val="0"/>
          <w:numId w:val="1"/>
        </w:numPr>
        <w:spacing w:line="360" w:lineRule="auto"/>
        <w:ind w:firstLineChars="0"/>
        <w:jc w:val="left"/>
        <w:rPr>
          <w:rFonts w:ascii="黑体" w:hAnsi="黑体" w:eastAsia="黑体"/>
          <w:sz w:val="32"/>
          <w:szCs w:val="28"/>
        </w:rPr>
      </w:pPr>
      <w:r>
        <w:rPr>
          <w:rFonts w:hint="eastAsia" w:ascii="黑体" w:hAnsi="黑体" w:eastAsia="黑体"/>
          <w:sz w:val="32"/>
          <w:szCs w:val="28"/>
        </w:rPr>
        <w:t>拟采用的采购方式和理由：</w:t>
      </w:r>
    </w:p>
    <w:p>
      <w:pPr>
        <w:pStyle w:val="4"/>
        <w:spacing w:line="360" w:lineRule="auto"/>
        <w:ind w:firstLine="640"/>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rPr>
        <w:t>拟采用</w:t>
      </w:r>
      <w:r>
        <w:rPr>
          <w:rFonts w:hint="eastAsia" w:ascii="仿宋" w:hAnsi="仿宋" w:eastAsia="仿宋" w:cs="仿宋_GB2312"/>
          <w:color w:val="000000"/>
          <w:sz w:val="32"/>
          <w:szCs w:val="32"/>
          <w:lang w:eastAsia="zh-CN"/>
        </w:rPr>
        <w:t>密封报价</w:t>
      </w:r>
      <w:r>
        <w:rPr>
          <w:rFonts w:hint="eastAsia" w:ascii="仿宋" w:hAnsi="仿宋" w:eastAsia="仿宋" w:cs="仿宋_GB2312"/>
          <w:color w:val="000000"/>
          <w:sz w:val="32"/>
          <w:szCs w:val="32"/>
        </w:rPr>
        <w:t>的方式进行本次值守服务采购，邀请</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家</w:t>
      </w:r>
      <w:r>
        <w:rPr>
          <w:rFonts w:hint="eastAsia" w:ascii="仿宋" w:hAnsi="仿宋" w:eastAsia="仿宋" w:cs="仿宋_GB2312"/>
          <w:color w:val="000000"/>
          <w:sz w:val="32"/>
          <w:szCs w:val="32"/>
          <w:lang w:val="en-US" w:eastAsia="zh-CN"/>
        </w:rPr>
        <w:t>分公司集团2022-2024年排水管渠（含泵站）清疏工程年度承包商名录</w:t>
      </w:r>
      <w:r>
        <w:rPr>
          <w:rFonts w:hint="eastAsia" w:ascii="仿宋" w:hAnsi="仿宋" w:eastAsia="仿宋" w:cs="仿宋_GB2312"/>
          <w:color w:val="000000"/>
          <w:sz w:val="32"/>
          <w:szCs w:val="32"/>
        </w:rPr>
        <w:t>的服务单位进行报价，选取1家服务单位负责</w:t>
      </w:r>
      <w:r>
        <w:rPr>
          <w:rFonts w:hint="eastAsia" w:ascii="仿宋_GB2312" w:hAnsi="宋体" w:eastAsia="仿宋_GB2312"/>
          <w:color w:val="000000"/>
          <w:sz w:val="32"/>
          <w:szCs w:val="32"/>
        </w:rPr>
        <w:t>2</w:t>
      </w:r>
      <w:r>
        <w:rPr>
          <w:rFonts w:ascii="仿宋_GB2312" w:hAnsi="宋体" w:eastAsia="仿宋_GB2312"/>
          <w:color w:val="000000"/>
          <w:sz w:val="32"/>
          <w:szCs w:val="32"/>
        </w:rPr>
        <w:t>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年防洪排涝期间</w:t>
      </w:r>
      <w:r>
        <w:rPr>
          <w:rFonts w:hint="eastAsia" w:ascii="仿宋_GB2312" w:hAnsi="宋体" w:eastAsia="仿宋_GB2312"/>
          <w:color w:val="000000"/>
          <w:sz w:val="32"/>
          <w:szCs w:val="32"/>
          <w:lang w:val="en-US" w:eastAsia="zh-CN"/>
        </w:rPr>
        <w:t>布吉</w:t>
      </w:r>
      <w:r>
        <w:rPr>
          <w:rFonts w:hint="eastAsia" w:ascii="仿宋_GB2312" w:hAnsi="宋体" w:eastAsia="仿宋_GB2312"/>
          <w:color w:val="000000"/>
          <w:sz w:val="32"/>
          <w:szCs w:val="32"/>
        </w:rPr>
        <w:t>片区易淹点值守任务</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 xml:space="preserve">   </w:t>
      </w:r>
    </w:p>
    <w:p>
      <w:pPr>
        <w:ind w:firstLine="560"/>
        <w:rPr>
          <w:rFonts w:ascii="仿宋" w:hAnsi="仿宋" w:eastAsia="仿宋"/>
          <w:sz w:val="32"/>
          <w:szCs w:val="32"/>
        </w:rPr>
      </w:pPr>
      <w:r>
        <w:rPr>
          <w:rFonts w:hint="eastAsia" w:ascii="仿宋" w:hAnsi="仿宋" w:eastAsia="仿宋" w:cs="仿宋_GB2312"/>
          <w:color w:val="000000"/>
          <w:sz w:val="32"/>
          <w:szCs w:val="32"/>
        </w:rPr>
        <w:t>理由：</w:t>
      </w:r>
      <w:r>
        <w:rPr>
          <w:rFonts w:hint="eastAsia" w:ascii="仿宋" w:hAnsi="仿宋" w:eastAsia="仿宋"/>
          <w:sz w:val="32"/>
          <w:szCs w:val="32"/>
        </w:rPr>
        <w:t>因本服务项目为合同估算价</w:t>
      </w:r>
      <w:r>
        <w:rPr>
          <w:rFonts w:ascii="仿宋" w:hAnsi="仿宋" w:eastAsia="仿宋"/>
          <w:sz w:val="32"/>
          <w:szCs w:val="32"/>
        </w:rPr>
        <w:t>5</w:t>
      </w:r>
      <w:r>
        <w:rPr>
          <w:rFonts w:hint="eastAsia" w:ascii="仿宋" w:hAnsi="仿宋" w:eastAsia="仿宋"/>
          <w:sz w:val="32"/>
          <w:szCs w:val="32"/>
        </w:rPr>
        <w:t>万元以上5</w:t>
      </w:r>
      <w:r>
        <w:rPr>
          <w:rFonts w:ascii="仿宋" w:hAnsi="仿宋" w:eastAsia="仿宋"/>
          <w:sz w:val="32"/>
          <w:szCs w:val="32"/>
        </w:rPr>
        <w:t>0</w:t>
      </w:r>
      <w:r>
        <w:rPr>
          <w:rFonts w:hint="eastAsia" w:ascii="仿宋" w:hAnsi="仿宋" w:eastAsia="仿宋"/>
          <w:sz w:val="32"/>
          <w:szCs w:val="32"/>
        </w:rPr>
        <w:t>万元以下，</w:t>
      </w:r>
      <w:r>
        <w:rPr>
          <w:rFonts w:hint="eastAsia" w:ascii="仿宋" w:hAnsi="仿宋" w:eastAsia="仿宋" w:cs="仿宋_GB2312"/>
          <w:color w:val="000000"/>
          <w:sz w:val="32"/>
          <w:szCs w:val="32"/>
        </w:rPr>
        <w:t>根据</w:t>
      </w:r>
      <w:r>
        <w:rPr>
          <w:rFonts w:ascii="仿宋" w:hAnsi="仿宋" w:eastAsia="仿宋"/>
          <w:sz w:val="32"/>
          <w:szCs w:val="32"/>
        </w:rPr>
        <w:t>《深圳市水务（集团）有限公司采购管理办法和实施细则》</w:t>
      </w:r>
      <w:r>
        <w:rPr>
          <w:rFonts w:hint="eastAsia" w:ascii="仿宋" w:hAnsi="仿宋" w:eastAsia="仿宋"/>
          <w:sz w:val="32"/>
          <w:szCs w:val="32"/>
        </w:rPr>
        <w:t>中“附件三：服务项目采购实施细则”的“第十</w:t>
      </w:r>
      <w:r>
        <w:rPr>
          <w:rFonts w:hint="eastAsia" w:ascii="仿宋" w:hAnsi="仿宋" w:eastAsia="仿宋"/>
          <w:sz w:val="32"/>
          <w:szCs w:val="32"/>
          <w:lang w:val="en-US" w:eastAsia="zh-CN"/>
        </w:rPr>
        <w:t>一</w:t>
      </w:r>
      <w:r>
        <w:rPr>
          <w:rFonts w:hint="eastAsia" w:ascii="仿宋" w:hAnsi="仿宋" w:eastAsia="仿宋"/>
          <w:sz w:val="32"/>
          <w:szCs w:val="32"/>
        </w:rPr>
        <w:t>条：（三）集团既无年度供应商又无预选供应商或响应预选供应商不足3家的，采购人可向满足采购需求的供应商进行采购。应采取竞争性方式（邀请招标、竞争性谈判、</w:t>
      </w:r>
      <w:r>
        <w:rPr>
          <w:rFonts w:hint="eastAsia" w:ascii="仿宋" w:hAnsi="仿宋" w:eastAsia="仿宋"/>
          <w:sz w:val="32"/>
          <w:szCs w:val="32"/>
          <w:lang w:val="en-US" w:eastAsia="zh-CN"/>
        </w:rPr>
        <w:t>询价</w:t>
      </w:r>
      <w:r>
        <w:rPr>
          <w:rFonts w:hint="eastAsia" w:ascii="仿宋" w:hAnsi="仿宋" w:eastAsia="仿宋"/>
          <w:sz w:val="32"/>
          <w:szCs w:val="32"/>
        </w:rPr>
        <w:t>、</w:t>
      </w:r>
      <w:r>
        <w:rPr>
          <w:rFonts w:hint="eastAsia" w:ascii="仿宋" w:hAnsi="仿宋" w:eastAsia="仿宋"/>
          <w:sz w:val="32"/>
          <w:szCs w:val="32"/>
          <w:lang w:eastAsia="zh-CN"/>
        </w:rPr>
        <w:t>密封报价</w:t>
      </w:r>
      <w:r>
        <w:rPr>
          <w:rFonts w:hint="eastAsia" w:ascii="仿宋" w:hAnsi="仿宋" w:eastAsia="仿宋"/>
          <w:sz w:val="32"/>
          <w:szCs w:val="32"/>
        </w:rPr>
        <w:t>等），难以采用竞争性方式的，可参考本细则第七条判定，按单一来源、直接发包方式采购。</w:t>
      </w:r>
    </w:p>
    <w:p>
      <w:pPr>
        <w:spacing w:line="360" w:lineRule="auto"/>
        <w:jc w:val="left"/>
        <w:rPr>
          <w:rFonts w:ascii="黑体" w:hAnsi="黑体" w:eastAsia="黑体"/>
          <w:sz w:val="32"/>
          <w:szCs w:val="32"/>
        </w:rPr>
      </w:pPr>
      <w:r>
        <w:rPr>
          <w:rFonts w:hint="eastAsia" w:ascii="黑体" w:hAnsi="黑体" w:eastAsia="黑体"/>
          <w:sz w:val="32"/>
          <w:szCs w:val="32"/>
        </w:rPr>
        <w:t>三、招标控制价及结算方式：</w:t>
      </w:r>
    </w:p>
    <w:p>
      <w:pPr>
        <w:spacing w:line="360" w:lineRule="auto"/>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按照</w:t>
      </w:r>
      <w:r>
        <w:rPr>
          <w:rFonts w:hint="eastAsia" w:ascii="仿宋" w:hAnsi="仿宋" w:eastAsia="仿宋" w:cs="仿宋"/>
          <w:sz w:val="32"/>
          <w:szCs w:val="32"/>
          <w:lang w:val="en-US" w:eastAsia="zh-CN"/>
        </w:rPr>
        <w:t>造价咨询出具</w:t>
      </w:r>
      <w:r>
        <w:rPr>
          <w:rFonts w:hint="eastAsia" w:ascii="仿宋" w:hAnsi="仿宋" w:eastAsia="仿宋" w:cs="仿宋"/>
          <w:sz w:val="32"/>
          <w:szCs w:val="32"/>
        </w:rPr>
        <w:t>的测算</w:t>
      </w:r>
      <w:r>
        <w:rPr>
          <w:rFonts w:hint="eastAsia" w:ascii="仿宋" w:hAnsi="仿宋" w:eastAsia="仿宋" w:cs="仿宋"/>
          <w:sz w:val="32"/>
          <w:szCs w:val="32"/>
          <w:lang w:val="en-US" w:eastAsia="zh-CN"/>
        </w:rPr>
        <w:t>报告</w:t>
      </w:r>
      <w:r>
        <w:rPr>
          <w:rFonts w:hint="eastAsia" w:ascii="仿宋" w:hAnsi="仿宋" w:eastAsia="仿宋" w:cs="仿宋"/>
          <w:sz w:val="32"/>
          <w:szCs w:val="32"/>
        </w:rPr>
        <w:t>（详见</w:t>
      </w:r>
      <w:r>
        <w:rPr>
          <w:rFonts w:hint="eastAsia" w:ascii="仿宋" w:hAnsi="仿宋" w:eastAsia="仿宋" w:cs="仿宋"/>
          <w:sz w:val="32"/>
          <w:szCs w:val="32"/>
          <w:u w:val="single"/>
          <w:lang w:val="en-US" w:eastAsia="zh-CN"/>
        </w:rPr>
        <w:t>附件一），拟采用人民币：</w:t>
      </w:r>
      <w:r>
        <w:rPr>
          <w:rFonts w:hint="eastAsia" w:ascii="仿宋" w:hAnsi="仿宋" w:eastAsia="仿宋" w:cs="仿宋"/>
          <w:sz w:val="32"/>
          <w:szCs w:val="32"/>
          <w:u w:val="single"/>
          <w:lang w:val="en-US" w:eastAsia="zh-CN"/>
        </w:rPr>
        <w:t>叁拾叁万肆仟陆佰玖拾伍元整（¥334695.00</w:t>
      </w:r>
      <w:r>
        <w:rPr>
          <w:rFonts w:hint="eastAsia" w:ascii="仿宋" w:hAnsi="仿宋" w:eastAsia="仿宋" w:cs="仿宋"/>
          <w:sz w:val="32"/>
          <w:szCs w:val="32"/>
          <w:u w:val="single"/>
          <w:lang w:val="en-US" w:eastAsia="zh-CN"/>
        </w:rPr>
        <w:t>元/年）</w:t>
      </w:r>
      <w:r>
        <w:rPr>
          <w:rFonts w:hint="eastAsia" w:ascii="仿宋" w:hAnsi="仿宋" w:eastAsia="仿宋" w:cs="仿宋"/>
          <w:sz w:val="32"/>
          <w:szCs w:val="32"/>
        </w:rPr>
        <w:t>作为本次</w:t>
      </w:r>
      <w:r>
        <w:rPr>
          <w:rFonts w:hint="eastAsia" w:ascii="仿宋" w:hAnsi="仿宋" w:eastAsia="仿宋" w:cs="仿宋"/>
          <w:sz w:val="32"/>
          <w:szCs w:val="32"/>
          <w:lang w:eastAsia="zh-CN"/>
        </w:rPr>
        <w:t>密封报价</w:t>
      </w:r>
      <w:r>
        <w:rPr>
          <w:rFonts w:hint="eastAsia" w:ascii="仿宋" w:hAnsi="仿宋" w:eastAsia="仿宋" w:cs="仿宋"/>
          <w:sz w:val="32"/>
          <w:szCs w:val="32"/>
        </w:rPr>
        <w:t>的上限价。报价单位按本单位实际报</w:t>
      </w:r>
      <w:r>
        <w:rPr>
          <w:rFonts w:hint="eastAsia" w:ascii="仿宋" w:hAnsi="仿宋" w:eastAsia="仿宋" w:cs="仿宋"/>
          <w:sz w:val="32"/>
          <w:szCs w:val="32"/>
          <w:lang w:val="en-US" w:eastAsia="zh-CN"/>
        </w:rPr>
        <w:t>暂定</w:t>
      </w:r>
      <w:r>
        <w:rPr>
          <w:rFonts w:hint="eastAsia" w:ascii="仿宋" w:hAnsi="仿宋" w:eastAsia="仿宋" w:cs="仿宋"/>
          <w:sz w:val="32"/>
          <w:szCs w:val="32"/>
        </w:rPr>
        <w:t>总价，该报价为</w:t>
      </w:r>
      <w:r>
        <w:rPr>
          <w:rFonts w:hint="eastAsia" w:ascii="仿宋" w:hAnsi="仿宋" w:eastAsia="仿宋" w:cs="仿宋"/>
          <w:sz w:val="32"/>
          <w:szCs w:val="32"/>
          <w:lang w:val="en-US" w:eastAsia="zh-CN"/>
        </w:rPr>
        <w:t>最终</w:t>
      </w:r>
      <w:r>
        <w:rPr>
          <w:rFonts w:hint="eastAsia" w:ascii="仿宋" w:hAnsi="仿宋" w:eastAsia="仿宋" w:cs="仿宋"/>
          <w:sz w:val="32"/>
          <w:szCs w:val="32"/>
        </w:rPr>
        <w:t>合同价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结算根据2023年的实际值守次数按实结算，超出部分不予调整。</w:t>
      </w:r>
    </w:p>
    <w:p>
      <w:pPr>
        <w:spacing w:line="360" w:lineRule="auto"/>
        <w:jc w:val="left"/>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密封报价</w:t>
      </w:r>
      <w:r>
        <w:rPr>
          <w:rFonts w:hint="eastAsia" w:ascii="黑体" w:hAnsi="黑体" w:eastAsia="黑体"/>
          <w:sz w:val="32"/>
          <w:szCs w:val="32"/>
        </w:rPr>
        <w:t>小组名单</w:t>
      </w:r>
    </w:p>
    <w:p>
      <w:pPr>
        <w:spacing w:line="360" w:lineRule="auto"/>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rPr>
        <w:t>计划组成</w:t>
      </w:r>
      <w:r>
        <w:rPr>
          <w:rFonts w:ascii="仿宋" w:hAnsi="仿宋" w:eastAsia="仿宋"/>
          <w:sz w:val="32"/>
          <w:szCs w:val="32"/>
          <w:highlight w:val="none"/>
        </w:rPr>
        <w:t>5人成员的</w:t>
      </w:r>
      <w:r>
        <w:rPr>
          <w:rFonts w:hint="eastAsia" w:ascii="仿宋" w:hAnsi="仿宋" w:eastAsia="仿宋"/>
          <w:sz w:val="32"/>
          <w:szCs w:val="32"/>
          <w:highlight w:val="none"/>
        </w:rPr>
        <w:t>采购小组，</w:t>
      </w:r>
      <w:r>
        <w:rPr>
          <w:rFonts w:hint="eastAsia" w:ascii="仿宋" w:hAnsi="仿宋" w:eastAsia="仿宋"/>
          <w:sz w:val="32"/>
          <w:szCs w:val="32"/>
          <w:highlight w:val="none"/>
          <w:lang w:val="en-US" w:eastAsia="zh-CN"/>
        </w:rPr>
        <w:t>统计</w:t>
      </w:r>
      <w:r>
        <w:rPr>
          <w:rFonts w:hint="eastAsia" w:ascii="仿宋" w:hAnsi="仿宋" w:eastAsia="仿宋"/>
          <w:sz w:val="32"/>
          <w:szCs w:val="32"/>
          <w:highlight w:val="none"/>
        </w:rPr>
        <w:t>本次报价的服务商满足要求的投标人报价</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充分了解潜在服务商，并按照最低价原则确定成交候选人。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973"/>
        <w:gridCol w:w="279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序号</w:t>
            </w:r>
          </w:p>
        </w:tc>
        <w:tc>
          <w:tcPr>
            <w:tcW w:w="1973"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姓名</w:t>
            </w:r>
          </w:p>
        </w:tc>
        <w:tc>
          <w:tcPr>
            <w:tcW w:w="2790"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部门</w:t>
            </w:r>
          </w:p>
        </w:tc>
        <w:tc>
          <w:tcPr>
            <w:tcW w:w="2268"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1</w:t>
            </w:r>
          </w:p>
        </w:tc>
        <w:tc>
          <w:tcPr>
            <w:tcW w:w="1973"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古勇</w:t>
            </w:r>
          </w:p>
        </w:tc>
        <w:tc>
          <w:tcPr>
            <w:tcW w:w="2790"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运营管理部</w:t>
            </w:r>
          </w:p>
        </w:tc>
        <w:tc>
          <w:tcPr>
            <w:tcW w:w="2268"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2</w:t>
            </w:r>
          </w:p>
        </w:tc>
        <w:tc>
          <w:tcPr>
            <w:tcW w:w="1973"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李永德</w:t>
            </w:r>
          </w:p>
        </w:tc>
        <w:tc>
          <w:tcPr>
            <w:tcW w:w="2790"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lang w:val="en-US" w:eastAsia="zh-CN"/>
              </w:rPr>
              <w:t>工程管理部</w:t>
            </w:r>
          </w:p>
        </w:tc>
        <w:tc>
          <w:tcPr>
            <w:tcW w:w="2268"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3</w:t>
            </w:r>
          </w:p>
        </w:tc>
        <w:tc>
          <w:tcPr>
            <w:tcW w:w="1973"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吴伟健</w:t>
            </w:r>
          </w:p>
        </w:tc>
        <w:tc>
          <w:tcPr>
            <w:tcW w:w="2790"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rPr>
              <w:t>布吉水务所</w:t>
            </w:r>
          </w:p>
        </w:tc>
        <w:tc>
          <w:tcPr>
            <w:tcW w:w="2268" w:type="dxa"/>
            <w:noWrap w:val="0"/>
            <w:vAlign w:val="top"/>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4</w:t>
            </w:r>
          </w:p>
        </w:tc>
        <w:tc>
          <w:tcPr>
            <w:tcW w:w="1973"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曹广明</w:t>
            </w:r>
          </w:p>
        </w:tc>
        <w:tc>
          <w:tcPr>
            <w:tcW w:w="2790"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lang w:val="en-US" w:eastAsia="zh-CN"/>
              </w:rPr>
              <w:t>吉华</w:t>
            </w:r>
            <w:r>
              <w:rPr>
                <w:rFonts w:hint="eastAsia" w:ascii="仿宋" w:hAnsi="仿宋" w:eastAsia="仿宋"/>
                <w:sz w:val="24"/>
                <w:szCs w:val="24"/>
              </w:rPr>
              <w:t>水务所</w:t>
            </w:r>
          </w:p>
        </w:tc>
        <w:tc>
          <w:tcPr>
            <w:tcW w:w="2268"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0"/>
            <w:vAlign w:val="top"/>
          </w:tcPr>
          <w:p>
            <w:pPr>
              <w:spacing w:line="360" w:lineRule="auto"/>
              <w:jc w:val="center"/>
              <w:rPr>
                <w:rFonts w:ascii="仿宋" w:hAnsi="仿宋" w:eastAsia="仿宋"/>
                <w:sz w:val="24"/>
                <w:szCs w:val="24"/>
              </w:rPr>
            </w:pPr>
            <w:r>
              <w:rPr>
                <w:rFonts w:hint="eastAsia" w:ascii="仿宋" w:hAnsi="仿宋" w:eastAsia="仿宋"/>
                <w:sz w:val="24"/>
                <w:szCs w:val="24"/>
              </w:rPr>
              <w:t>5</w:t>
            </w:r>
          </w:p>
        </w:tc>
        <w:tc>
          <w:tcPr>
            <w:tcW w:w="1973"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周理</w:t>
            </w:r>
          </w:p>
        </w:tc>
        <w:tc>
          <w:tcPr>
            <w:tcW w:w="2790" w:type="dxa"/>
            <w:noWrap w:val="0"/>
            <w:vAlign w:val="top"/>
          </w:tcPr>
          <w:p>
            <w:pPr>
              <w:spacing w:line="360"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沙湾水务所</w:t>
            </w:r>
          </w:p>
        </w:tc>
        <w:tc>
          <w:tcPr>
            <w:tcW w:w="2268" w:type="dxa"/>
            <w:noWrap w:val="0"/>
            <w:vAlign w:val="top"/>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val="en-US" w:eastAsia="zh-CN"/>
              </w:rPr>
              <w:t>所长</w:t>
            </w:r>
          </w:p>
        </w:tc>
      </w:tr>
    </w:tbl>
    <w:p>
      <w:pPr>
        <w:spacing w:line="360" w:lineRule="auto"/>
        <w:jc w:val="left"/>
        <w:rPr>
          <w:rFonts w:ascii="仿宋" w:hAnsi="仿宋" w:eastAsia="仿宋"/>
          <w:sz w:val="32"/>
          <w:szCs w:val="32"/>
        </w:rPr>
      </w:pPr>
    </w:p>
    <w:p>
      <w:pPr>
        <w:spacing w:line="360" w:lineRule="auto"/>
        <w:jc w:val="left"/>
        <w:rPr>
          <w:rFonts w:ascii="仿宋" w:hAnsi="仿宋" w:eastAsia="仿宋"/>
          <w:sz w:val="32"/>
          <w:szCs w:val="32"/>
        </w:rPr>
      </w:pPr>
    </w:p>
    <w:p>
      <w:pPr>
        <w:spacing w:line="360" w:lineRule="auto"/>
        <w:jc w:val="left"/>
        <w:rPr>
          <w:rFonts w:ascii="黑体" w:hAnsi="黑体" w:eastAsia="黑体"/>
          <w:sz w:val="32"/>
          <w:szCs w:val="32"/>
        </w:rPr>
      </w:pPr>
      <w:r>
        <w:rPr>
          <w:rFonts w:hint="eastAsia" w:ascii="黑体" w:hAnsi="黑体" w:eastAsia="黑体"/>
          <w:sz w:val="32"/>
          <w:szCs w:val="32"/>
        </w:rPr>
        <w:t>五、采购项目服务商资质条件要求</w:t>
      </w:r>
    </w:p>
    <w:p>
      <w:pPr>
        <w:numPr>
          <w:ilvl w:val="0"/>
          <w:numId w:val="2"/>
        </w:numPr>
        <w:spacing w:line="360" w:lineRule="auto"/>
        <w:ind w:firstLine="640"/>
        <w:jc w:val="left"/>
        <w:rPr>
          <w:rFonts w:ascii="仿宋" w:hAnsi="仿宋" w:eastAsia="仿宋" w:cs="仿宋"/>
          <w:sz w:val="32"/>
          <w:szCs w:val="32"/>
        </w:rPr>
      </w:pPr>
      <w:r>
        <w:rPr>
          <w:rFonts w:hint="eastAsia" w:ascii="仿宋" w:hAnsi="仿宋" w:eastAsia="仿宋" w:cs="仿宋"/>
          <w:sz w:val="32"/>
          <w:szCs w:val="32"/>
        </w:rPr>
        <w:t>曾参与过集团其他分公司防洪排涝值守工作，有防洪排涝值守工作经验的单位。</w:t>
      </w:r>
    </w:p>
    <w:p>
      <w:pPr>
        <w:numPr>
          <w:ilvl w:val="0"/>
          <w:numId w:val="2"/>
        </w:numPr>
        <w:spacing w:line="360" w:lineRule="auto"/>
        <w:ind w:firstLine="640"/>
        <w:jc w:val="left"/>
        <w:rPr>
          <w:rFonts w:ascii="仿宋" w:hAnsi="仿宋" w:eastAsia="仿宋" w:cs="仿宋"/>
          <w:sz w:val="32"/>
          <w:szCs w:val="32"/>
        </w:rPr>
      </w:pPr>
      <w:r>
        <w:rPr>
          <w:rFonts w:hint="eastAsia" w:ascii="仿宋" w:hAnsi="仿宋" w:eastAsia="仿宋" w:cs="仿宋"/>
          <w:sz w:val="32"/>
          <w:szCs w:val="32"/>
        </w:rPr>
        <w:t>在布沙分公司辖区（布吉、吉华、南湾、平湖等街道）已设立基地的单位；能快速响应我司防洪排涝值守任务。</w:t>
      </w:r>
    </w:p>
    <w:p>
      <w:pPr>
        <w:numPr>
          <w:ilvl w:val="0"/>
          <w:numId w:val="2"/>
        </w:numPr>
        <w:spacing w:line="360" w:lineRule="auto"/>
        <w:ind w:firstLine="640"/>
        <w:jc w:val="left"/>
        <w:rPr>
          <w:rFonts w:ascii="仿宋" w:hAnsi="仿宋" w:eastAsia="仿宋" w:cs="仿宋_GB2312"/>
          <w:sz w:val="32"/>
          <w:szCs w:val="32"/>
        </w:rPr>
      </w:pPr>
      <w:r>
        <w:rPr>
          <w:rFonts w:hint="eastAsia" w:ascii="仿宋" w:hAnsi="仿宋" w:eastAsia="仿宋" w:cs="仿宋"/>
          <w:sz w:val="32"/>
          <w:szCs w:val="32"/>
        </w:rPr>
        <w:t>近2年曾入选</w:t>
      </w:r>
      <w:r>
        <w:rPr>
          <w:rFonts w:hint="eastAsia" w:ascii="仿宋" w:hAnsi="仿宋" w:eastAsia="仿宋" w:cs="仿宋"/>
          <w:sz w:val="32"/>
          <w:szCs w:val="32"/>
          <w:lang w:val="en-US" w:eastAsia="zh-CN"/>
        </w:rPr>
        <w:t>布沙分公司</w:t>
      </w:r>
      <w:r>
        <w:rPr>
          <w:rFonts w:hint="eastAsia" w:ascii="仿宋" w:hAnsi="仿宋" w:eastAsia="仿宋" w:cs="仿宋"/>
          <w:sz w:val="32"/>
          <w:szCs w:val="32"/>
        </w:rPr>
        <w:t>各类预选承包商库的单位。</w:t>
      </w:r>
    </w:p>
    <w:p>
      <w:pPr>
        <w:numPr>
          <w:ilvl w:val="0"/>
          <w:numId w:val="2"/>
        </w:numPr>
        <w:spacing w:line="360" w:lineRule="auto"/>
        <w:ind w:firstLine="640"/>
        <w:jc w:val="left"/>
        <w:rPr>
          <w:rFonts w:ascii="仿宋" w:hAnsi="仿宋" w:eastAsia="仿宋" w:cs="仿宋_GB2312"/>
          <w:sz w:val="32"/>
          <w:szCs w:val="32"/>
        </w:rPr>
      </w:pPr>
      <w:r>
        <w:rPr>
          <w:rFonts w:hint="eastAsia" w:ascii="仿宋" w:hAnsi="仿宋" w:eastAsia="仿宋" w:cs="仿宋_GB2312"/>
          <w:sz w:val="32"/>
          <w:szCs w:val="32"/>
        </w:rPr>
        <w:t>提供值守名单中人员均应为该单位员工，且均应具有相应的劳动保险证明。</w:t>
      </w:r>
    </w:p>
    <w:p>
      <w:pPr>
        <w:pStyle w:val="4"/>
        <w:spacing w:line="360" w:lineRule="auto"/>
        <w:ind w:firstLine="0" w:firstLineChars="0"/>
        <w:jc w:val="left"/>
        <w:rPr>
          <w:rFonts w:ascii="黑体" w:hAnsi="黑体" w:eastAsia="黑体"/>
          <w:sz w:val="32"/>
          <w:szCs w:val="32"/>
        </w:rPr>
      </w:pPr>
      <w:r>
        <w:rPr>
          <w:rFonts w:hint="eastAsia" w:ascii="黑体" w:hAnsi="黑体" w:eastAsia="黑体"/>
          <w:sz w:val="32"/>
          <w:szCs w:val="32"/>
        </w:rPr>
        <w:t>六、合同关键条款</w:t>
      </w:r>
    </w:p>
    <w:p>
      <w:pPr>
        <w:spacing w:line="360" w:lineRule="auto"/>
        <w:ind w:firstLine="640" w:firstLineChars="200"/>
        <w:jc w:val="left"/>
        <w:rPr>
          <w:rFonts w:ascii="黑体" w:hAnsi="黑体" w:eastAsia="黑体"/>
          <w:sz w:val="32"/>
          <w:szCs w:val="32"/>
        </w:rPr>
      </w:pPr>
      <w:r>
        <w:rPr>
          <w:rFonts w:hint="eastAsia" w:ascii="仿宋" w:hAnsi="仿宋" w:eastAsia="仿宋" w:cs="仿宋_GB2312"/>
          <w:color w:val="000000"/>
          <w:sz w:val="32"/>
          <w:szCs w:val="32"/>
        </w:rPr>
        <w:t>1、服务时间：202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月</w:t>
      </w:r>
      <w:r>
        <w:rPr>
          <w:rFonts w:hint="eastAsia" w:ascii="仿宋" w:hAnsi="仿宋" w:eastAsia="仿宋" w:cs="仿宋_GB2312"/>
          <w:color w:val="000000"/>
          <w:sz w:val="32"/>
          <w:szCs w:val="32"/>
          <w:lang w:val="en-US" w:eastAsia="zh-CN"/>
        </w:rPr>
        <w:t>20</w:t>
      </w:r>
      <w:r>
        <w:rPr>
          <w:rFonts w:hint="eastAsia" w:ascii="仿宋" w:hAnsi="仿宋" w:eastAsia="仿宋" w:cs="仿宋_GB2312"/>
          <w:color w:val="000000"/>
          <w:sz w:val="32"/>
          <w:szCs w:val="32"/>
        </w:rPr>
        <w:t>日至202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rPr>
        <w:t>月1日。</w:t>
      </w:r>
    </w:p>
    <w:p>
      <w:pPr>
        <w:spacing w:line="360" w:lineRule="auto"/>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2、服务内容：服务时间内（不限次数)按质</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按量响应布沙分公司防洪排涝期间</w:t>
      </w:r>
      <w:r>
        <w:rPr>
          <w:rFonts w:hint="eastAsia" w:ascii="仿宋" w:hAnsi="仿宋" w:eastAsia="仿宋" w:cs="仿宋_GB2312"/>
          <w:color w:val="000000"/>
          <w:sz w:val="32"/>
          <w:szCs w:val="32"/>
          <w:lang w:val="en-US" w:eastAsia="zh-CN"/>
        </w:rPr>
        <w:t>布吉</w:t>
      </w:r>
      <w:r>
        <w:rPr>
          <w:rFonts w:hint="eastAsia" w:ascii="仿宋" w:hAnsi="仿宋" w:eastAsia="仿宋" w:cs="仿宋_GB2312"/>
          <w:color w:val="000000"/>
          <w:sz w:val="32"/>
          <w:szCs w:val="32"/>
        </w:rPr>
        <w:t>片区</w:t>
      </w:r>
      <w:r>
        <w:rPr>
          <w:rFonts w:hint="eastAsia" w:ascii="仿宋_GB2312" w:hAnsi="宋体" w:eastAsia="仿宋_GB2312"/>
          <w:color w:val="000000"/>
          <w:sz w:val="32"/>
          <w:szCs w:val="32"/>
        </w:rPr>
        <w:t>易淹点</w:t>
      </w:r>
      <w:r>
        <w:rPr>
          <w:rFonts w:hint="eastAsia" w:ascii="仿宋" w:hAnsi="仿宋" w:eastAsia="仿宋" w:cs="仿宋_GB2312"/>
          <w:color w:val="000000"/>
          <w:sz w:val="32"/>
          <w:szCs w:val="32"/>
        </w:rPr>
        <w:t>值守及相关工作要求。</w:t>
      </w:r>
    </w:p>
    <w:p>
      <w:pPr>
        <w:spacing w:line="360" w:lineRule="auto"/>
        <w:ind w:firstLine="640" w:firstLineChars="200"/>
        <w:jc w:val="left"/>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3、</w:t>
      </w:r>
      <w:r>
        <w:rPr>
          <w:rFonts w:hint="eastAsia" w:ascii="仿宋" w:hAnsi="仿宋" w:eastAsia="仿宋" w:cs="仿宋_GB2312"/>
          <w:color w:val="000000"/>
          <w:sz w:val="32"/>
          <w:szCs w:val="32"/>
          <w:lang w:val="en-US" w:eastAsia="zh-CN"/>
        </w:rPr>
        <w:t>考核方式：甲方建立考核小组于服务期间对乙方的工作情况每两个月进行1次考核，全年共4次，最终考核成绩由4次考核成绩各占25%组成并以最终考核结果确定服务费用总额</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考核分数</w:t>
      </w:r>
      <w:r>
        <w:rPr>
          <w:rFonts w:hint="eastAsia" w:ascii="仿宋" w:hAnsi="仿宋" w:eastAsia="仿宋" w:cs="仿宋_GB2312"/>
          <w:color w:val="000000"/>
          <w:sz w:val="32"/>
          <w:szCs w:val="32"/>
        </w:rPr>
        <w:t>低于80分扣服务费用10%，低于70分扣服务费用20%，低于60分扣服务费用30%）；同时，按每次防洪排涝响应程度进行考核（</w:t>
      </w:r>
      <w:r>
        <w:rPr>
          <w:rFonts w:hint="eastAsia" w:ascii="仿宋" w:hAnsi="仿宋" w:eastAsia="仿宋" w:cs="仿宋_GB2312"/>
          <w:color w:val="000000"/>
          <w:sz w:val="32"/>
          <w:szCs w:val="32"/>
          <w:lang w:val="en-US" w:eastAsia="zh-CN"/>
        </w:rPr>
        <w:t>每</w:t>
      </w:r>
      <w:r>
        <w:rPr>
          <w:rFonts w:hint="eastAsia" w:ascii="仿宋" w:hAnsi="仿宋" w:eastAsia="仿宋" w:cs="仿宋_GB2312"/>
          <w:color w:val="000000"/>
          <w:sz w:val="32"/>
          <w:szCs w:val="32"/>
        </w:rPr>
        <w:t>次</w:t>
      </w:r>
      <w:r>
        <w:rPr>
          <w:rFonts w:hint="eastAsia" w:ascii="仿宋" w:hAnsi="仿宋" w:eastAsia="仿宋" w:cs="仿宋_GB2312"/>
          <w:color w:val="000000"/>
          <w:sz w:val="32"/>
          <w:szCs w:val="32"/>
          <w:lang w:val="en-US" w:eastAsia="zh-CN"/>
        </w:rPr>
        <w:t>每处</w:t>
      </w:r>
      <w:r>
        <w:rPr>
          <w:rFonts w:hint="eastAsia" w:ascii="仿宋" w:hAnsi="仿宋" w:eastAsia="仿宋" w:cs="仿宋_GB2312"/>
          <w:color w:val="000000"/>
          <w:sz w:val="32"/>
          <w:szCs w:val="32"/>
        </w:rPr>
        <w:t>被判定为不积极响应扣</w:t>
      </w:r>
      <w:r>
        <w:rPr>
          <w:rFonts w:hint="eastAsia" w:ascii="仿宋" w:hAnsi="仿宋" w:eastAsia="仿宋" w:cs="仿宋_GB2312"/>
          <w:color w:val="000000"/>
          <w:sz w:val="32"/>
          <w:szCs w:val="32"/>
          <w:lang w:val="en-US" w:eastAsia="zh-CN"/>
        </w:rPr>
        <w:t>0.5</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eastAsia="zh-CN"/>
        </w:rPr>
        <w:t>。</w:t>
      </w:r>
    </w:p>
    <w:p>
      <w:pPr>
        <w:spacing w:line="360" w:lineRule="auto"/>
        <w:ind w:firstLine="640" w:firstLineChars="20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妥否，请批示</w:t>
      </w:r>
    </w:p>
    <w:p>
      <w:pPr>
        <w:spacing w:line="360" w:lineRule="auto"/>
        <w:ind w:firstLine="640" w:firstLineChars="200"/>
        <w:jc w:val="left"/>
        <w:rPr>
          <w:rFonts w:hint="eastAsia" w:ascii="仿宋" w:hAnsi="仿宋" w:eastAsia="仿宋" w:cs="仿宋_GB2312"/>
          <w:color w:val="000000"/>
          <w:sz w:val="32"/>
          <w:szCs w:val="32"/>
        </w:rPr>
      </w:pPr>
    </w:p>
    <w:p>
      <w:pPr>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 xml:space="preserve"> </w:t>
      </w:r>
      <w:r>
        <w:rPr>
          <w:rFonts w:ascii="仿宋" w:hAnsi="仿宋" w:eastAsia="仿宋" w:cs="仿宋_GB2312"/>
          <w:color w:val="000000"/>
          <w:sz w:val="32"/>
          <w:szCs w:val="32"/>
        </w:rPr>
        <w:t xml:space="preserve">              </w:t>
      </w:r>
      <w:r>
        <w:rPr>
          <w:rFonts w:hint="eastAsia" w:ascii="仿宋" w:hAnsi="仿宋" w:eastAsia="仿宋" w:cs="仿宋_GB2312"/>
          <w:color w:val="000000"/>
          <w:sz w:val="32"/>
          <w:szCs w:val="32"/>
        </w:rPr>
        <w:t>深圳市水务（集团）有限公司布沙分公司</w:t>
      </w:r>
      <w:r>
        <w:rPr>
          <w:rFonts w:hint="eastAsia" w:ascii="仿宋" w:hAnsi="仿宋" w:eastAsia="仿宋" w:cs="仿宋_GB2312"/>
          <w:color w:val="000000"/>
          <w:sz w:val="32"/>
          <w:szCs w:val="32"/>
          <w:lang w:val="en-US" w:eastAsia="zh-CN"/>
        </w:rPr>
        <w:t xml:space="preserve"> </w:t>
      </w:r>
    </w:p>
    <w:p>
      <w:pPr>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工程管理部</w:t>
      </w:r>
    </w:p>
    <w:p>
      <w:pPr>
        <w:jc w:val="left"/>
        <w:rPr>
          <w:rFonts w:hint="default" w:ascii="宋体" w:hAnsi="宋体" w:eastAsia="宋体" w:cs="宋体"/>
          <w:sz w:val="30"/>
          <w:szCs w:val="30"/>
          <w:highlight w:val="none"/>
          <w:lang w:val="en-US" w:eastAsia="zh-CN"/>
        </w:rPr>
      </w:pPr>
      <w:r>
        <w:rPr>
          <w:rFonts w:hint="eastAsia" w:ascii="仿宋" w:hAnsi="仿宋" w:eastAsia="仿宋" w:cs="仿宋_GB2312"/>
          <w:color w:val="000000"/>
          <w:sz w:val="32"/>
          <w:szCs w:val="32"/>
          <w:lang w:val="en-US" w:eastAsia="zh-CN"/>
        </w:rPr>
        <w:t xml:space="preserve">                           2023年3月9日 </w:t>
      </w:r>
      <w:r>
        <w:br w:type="page"/>
      </w:r>
      <w:r>
        <w:rPr>
          <w:rFonts w:hint="eastAsia" w:ascii="宋体" w:hAnsi="宋体" w:eastAsia="宋体" w:cs="宋体"/>
          <w:sz w:val="30"/>
          <w:szCs w:val="30"/>
          <w:highlight w:val="none"/>
          <w:lang w:val="en-US" w:eastAsia="zh-CN"/>
        </w:rPr>
        <w:t>附件1</w:t>
      </w:r>
    </w:p>
    <w:p>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202</w:t>
      </w:r>
      <w:r>
        <w:rPr>
          <w:rFonts w:hint="eastAsia" w:ascii="宋体" w:hAnsi="宋体" w:eastAsia="宋体" w:cs="宋体"/>
          <w:sz w:val="44"/>
          <w:szCs w:val="44"/>
          <w:highlight w:val="none"/>
          <w:lang w:val="en-US" w:eastAsia="zh-CN"/>
        </w:rPr>
        <w:t>3</w:t>
      </w:r>
      <w:r>
        <w:rPr>
          <w:rFonts w:hint="eastAsia" w:ascii="宋体" w:hAnsi="宋体" w:eastAsia="宋体" w:cs="宋体"/>
          <w:sz w:val="44"/>
          <w:szCs w:val="44"/>
          <w:highlight w:val="none"/>
        </w:rPr>
        <w:t>年布沙分公司防洪排涝工作易淹点值守劳务服务费用标准说明</w:t>
      </w:r>
    </w:p>
    <w:p>
      <w:pPr>
        <w:ind w:firstLine="560" w:firstLineChars="200"/>
        <w:rPr>
          <w:rFonts w:ascii="仿宋" w:hAnsi="仿宋" w:eastAsia="仿宋"/>
          <w:color w:val="auto"/>
          <w:sz w:val="28"/>
          <w:szCs w:val="28"/>
          <w:highlight w:val="none"/>
        </w:rPr>
      </w:pPr>
      <w:r>
        <w:rPr>
          <w:rFonts w:hint="eastAsia" w:ascii="仿宋" w:hAnsi="仿宋" w:eastAsia="仿宋" w:cs="仿宋"/>
          <w:color w:val="auto"/>
          <w:sz w:val="28"/>
          <w:szCs w:val="28"/>
          <w:highlight w:val="none"/>
        </w:rPr>
        <w:t>根据《城镇排水管渠与泵站运行、维护及安全技术规程》(</w:t>
      </w:r>
      <w:r>
        <w:rPr>
          <w:rFonts w:ascii="仿宋" w:hAnsi="仿宋" w:eastAsia="仿宋" w:cs="仿宋"/>
          <w:color w:val="auto"/>
          <w:sz w:val="28"/>
          <w:szCs w:val="28"/>
          <w:highlight w:val="none"/>
        </w:rPr>
        <w:t>CJJ68-2016)</w:t>
      </w:r>
      <w:r>
        <w:rPr>
          <w:rFonts w:hint="eastAsia" w:ascii="仿宋" w:hAnsi="仿宋" w:eastAsia="仿宋" w:cs="仿宋"/>
          <w:color w:val="auto"/>
          <w:sz w:val="28"/>
          <w:szCs w:val="28"/>
          <w:highlight w:val="none"/>
        </w:rPr>
        <w:t>（下简称技术规程）、《深圳市龙岗区深圳河流域排水设施运营管理特许经营协议（市政部分）》（下简称经营协议）、集团防洪排涝相关规定、</w:t>
      </w:r>
      <w:r>
        <w:rPr>
          <w:rFonts w:hint="eastAsia" w:ascii="仿宋" w:hAnsi="仿宋" w:eastAsia="仿宋"/>
          <w:color w:val="auto"/>
          <w:sz w:val="28"/>
          <w:szCs w:val="28"/>
          <w:highlight w:val="none"/>
        </w:rPr>
        <w:t>分公司《深圳市水务（集团）有限公司布沙分公司202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年管网运营防洪排涝应急预案（暂行）》规定及要求，拟定布沙分公司202</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年防洪排涝工作易淹点值守劳务服务费用标准。</w:t>
      </w:r>
    </w:p>
    <w:p>
      <w:pPr>
        <w:ind w:firstLine="560" w:firstLineChars="200"/>
        <w:rPr>
          <w:rFonts w:hint="eastAsia" w:ascii="仿宋" w:hAnsi="仿宋" w:eastAsia="仿宋"/>
          <w:sz w:val="28"/>
          <w:szCs w:val="28"/>
          <w:highlight w:val="none"/>
        </w:rPr>
      </w:pPr>
      <w:r>
        <w:rPr>
          <w:rFonts w:hint="eastAsia" w:ascii="仿宋" w:hAnsi="仿宋" w:eastAsia="仿宋"/>
          <w:color w:val="auto"/>
          <w:sz w:val="28"/>
          <w:szCs w:val="28"/>
          <w:highlight w:val="none"/>
        </w:rPr>
        <w:t>由于布沙分公司采用“核心管理、外部协同”的业务模式，防洪值守任务需采购外包服务。按实际需求划分为3个片区（布吉、吉华、南湾），每个片区防洪值守需求具体测算说明如下表</w:t>
      </w:r>
    </w:p>
    <w:tbl>
      <w:tblPr>
        <w:tblStyle w:val="2"/>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3"/>
        <w:gridCol w:w="843"/>
        <w:gridCol w:w="910"/>
        <w:gridCol w:w="848"/>
        <w:gridCol w:w="1230"/>
        <w:gridCol w:w="1470"/>
        <w:gridCol w:w="3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9000" w:type="dxa"/>
            <w:gridSpan w:val="7"/>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一、人工、机械费用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8"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费用类型</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项目</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配置数</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单价（元）</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费用(元）</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参考标准及说明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8"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人工费</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人员</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253元/工日</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506</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根据《深圳建设工程造价信息》2023年1月杂工工日价格按253元/工日费用进行测算。每个易淹易涝点安排2人值守。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6"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机械费</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2.5t载货汽车</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0.5</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482.95元/台班</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241.48</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要求每两个易淹易涝点要求配备载货汽车不少于1辆。根据《深圳建设工程造价信息》2023年2月造价信息，2.5t 载货汽车费用为482.95元/台班。另其他防洪物资由分公司统一调配。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6"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三</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机械费</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污水泵 出口直径φ100</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0.5</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293.63元/台班</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146.82</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同载货汽车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6"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四</w:t>
            </w:r>
          </w:p>
        </w:tc>
        <w:tc>
          <w:tcPr>
            <w:tcW w:w="8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机械费</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汽油发电机10KW</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0.5</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199.63元/台班</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99.82</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同载货汽车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9000" w:type="dxa"/>
            <w:gridSpan w:val="7"/>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8"/>
                <w:szCs w:val="28"/>
                <w:highlight w:val="none"/>
                <w:u w:val="none"/>
              </w:rPr>
            </w:pPr>
            <w:r>
              <w:rPr>
                <w:rFonts w:hint="eastAsia" w:ascii="仿宋" w:hAnsi="仿宋" w:eastAsia="仿宋" w:cs="仿宋"/>
                <w:b/>
                <w:i w:val="0"/>
                <w:color w:val="000000"/>
                <w:kern w:val="0"/>
                <w:sz w:val="28"/>
                <w:szCs w:val="28"/>
                <w:highlight w:val="none"/>
                <w:u w:val="none"/>
                <w:lang w:val="en-US" w:eastAsia="zh-CN" w:bidi="ar"/>
              </w:rPr>
              <w:t>二、其他费用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费用类型</w:t>
            </w:r>
          </w:p>
        </w:tc>
        <w:tc>
          <w:tcPr>
            <w:tcW w:w="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费率</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造价（元）</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计算过程</w:t>
            </w:r>
          </w:p>
        </w:tc>
        <w:tc>
          <w:tcPr>
            <w:tcW w:w="3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人工费</w:t>
            </w:r>
          </w:p>
        </w:tc>
        <w:tc>
          <w:tcPr>
            <w:tcW w:w="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506.00 </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highlight w:val="none"/>
                <w:u w:val="none"/>
              </w:rPr>
            </w:pP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二</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机械费</w:t>
            </w:r>
          </w:p>
        </w:tc>
        <w:tc>
          <w:tcPr>
            <w:tcW w:w="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488.11 </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highlight w:val="none"/>
                <w:u w:val="none"/>
              </w:rPr>
            </w:pP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4"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highlight w:val="none"/>
                <w:u w:val="none"/>
              </w:rPr>
            </w:pPr>
            <w:r>
              <w:rPr>
                <w:rFonts w:hint="eastAsia" w:ascii="仿宋" w:hAnsi="仿宋" w:eastAsia="仿宋" w:cs="仿宋"/>
                <w:b/>
                <w:i w:val="0"/>
                <w:color w:val="000000"/>
                <w:kern w:val="0"/>
                <w:sz w:val="24"/>
                <w:szCs w:val="24"/>
                <w:highlight w:val="none"/>
                <w:u w:val="none"/>
                <w:lang w:val="en-US" w:eastAsia="zh-CN" w:bidi="ar"/>
              </w:rPr>
              <w:t>三</w:t>
            </w:r>
          </w:p>
        </w:tc>
        <w:tc>
          <w:tcPr>
            <w:tcW w:w="1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直接费合计</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994.11 </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仿宋" w:hAnsi="仿宋" w:eastAsia="仿宋" w:cs="仿宋"/>
                <w:i w:val="0"/>
                <w:color w:val="000000"/>
                <w:sz w:val="24"/>
                <w:szCs w:val="24"/>
                <w:highlight w:val="none"/>
                <w:u w:val="none"/>
              </w:rPr>
            </w:pP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8"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四</w:t>
            </w:r>
          </w:p>
        </w:tc>
        <w:tc>
          <w:tcPr>
            <w:tcW w:w="1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管理费</w:t>
            </w:r>
          </w:p>
        </w:tc>
        <w:tc>
          <w:tcPr>
            <w:tcW w:w="8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27.74 </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(一+二*0.1）*5%</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(人工费+机械费×0.1)×5%,按《深圳市建设工程计价费率标准(2018)》及参照深圳市污水厂成本测算经验，考虑到外部协同队伍在防洪排涝等方面需要投入人员，管理费用一般按运行成本的5%测算。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rPr>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五</w:t>
            </w:r>
          </w:p>
        </w:tc>
        <w:tc>
          <w:tcPr>
            <w:tcW w:w="175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利润</w:t>
            </w:r>
          </w:p>
        </w:tc>
        <w:tc>
          <w:tcPr>
            <w:tcW w:w="8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30.66 </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（三+四）*3%</w:t>
            </w:r>
          </w:p>
        </w:tc>
        <w:tc>
          <w:tcPr>
            <w:tcW w:w="3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(人工费+机械费+管理费)×3%,按《深圳市建设工程计价费率标准(2018)》及类似服务类项目经验，故布沙片区防洪排涝利润取值3%测算。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6" w:hRule="atLeast"/>
        </w:trPr>
        <w:tc>
          <w:tcPr>
            <w:tcW w:w="63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六</w:t>
            </w:r>
          </w:p>
        </w:tc>
        <w:tc>
          <w:tcPr>
            <w:tcW w:w="1753"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税金</w:t>
            </w:r>
          </w:p>
        </w:tc>
        <w:tc>
          <w:tcPr>
            <w:tcW w:w="84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6%</w:t>
            </w:r>
          </w:p>
        </w:tc>
        <w:tc>
          <w:tcPr>
            <w:tcW w:w="123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63.15 </w:t>
            </w:r>
          </w:p>
        </w:tc>
        <w:tc>
          <w:tcPr>
            <w:tcW w:w="14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(三+四+五)*6%</w:t>
            </w:r>
          </w:p>
        </w:tc>
        <w:tc>
          <w:tcPr>
            <w:tcW w:w="306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(人工费+机械费+管理费+利润)×6%,参照《深圳市建设工程计价费率标准（2018）》及类似服务类项目经验，故布沙片区防洪排涝税金率取值6%测算。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633"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七</w:t>
            </w:r>
          </w:p>
        </w:tc>
        <w:tc>
          <w:tcPr>
            <w:tcW w:w="1753"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84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仿宋" w:hAnsi="仿宋" w:eastAsia="仿宋" w:cs="仿宋"/>
                <w:i w:val="0"/>
                <w:color w:val="000000"/>
                <w:sz w:val="24"/>
                <w:szCs w:val="24"/>
                <w:highlight w:val="none"/>
                <w:u w:val="none"/>
              </w:rPr>
            </w:pPr>
          </w:p>
        </w:tc>
        <w:tc>
          <w:tcPr>
            <w:tcW w:w="1230"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 xml:space="preserve">1115.65 </w:t>
            </w:r>
          </w:p>
        </w:tc>
        <w:tc>
          <w:tcPr>
            <w:tcW w:w="147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三+四+五+六</w:t>
            </w:r>
          </w:p>
        </w:tc>
        <w:tc>
          <w:tcPr>
            <w:tcW w:w="306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rPr>
                <w:rFonts w:hint="eastAsia" w:ascii="仿宋" w:hAnsi="仿宋" w:eastAsia="仿宋" w:cs="仿宋"/>
                <w:i w:val="0"/>
                <w:color w:val="000000"/>
                <w:sz w:val="24"/>
                <w:szCs w:val="24"/>
                <w:highlight w:val="none"/>
                <w:u w:val="none"/>
              </w:rPr>
            </w:pPr>
          </w:p>
        </w:tc>
      </w:tr>
    </w:tbl>
    <w:p>
      <w:pPr>
        <w:rPr>
          <w:rFonts w:hint="eastAsia" w:ascii="仿宋" w:hAnsi="仿宋" w:eastAsia="仿宋" w:cs="仿宋"/>
          <w:sz w:val="28"/>
          <w:szCs w:val="28"/>
          <w:highlight w:val="none"/>
        </w:rPr>
      </w:pPr>
    </w:p>
    <w:p>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根据测算，每个易淹点的防洪值守费用为</w:t>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115.65</w:t>
      </w:r>
      <w:r>
        <w:rPr>
          <w:rFonts w:hint="eastAsia" w:ascii="仿宋" w:hAnsi="仿宋" w:eastAsia="仿宋" w:cs="仿宋"/>
          <w:b/>
          <w:bCs/>
          <w:color w:val="auto"/>
          <w:sz w:val="28"/>
          <w:szCs w:val="28"/>
          <w:highlight w:val="none"/>
        </w:rPr>
        <w:t>元/次</w:t>
      </w:r>
      <w:r>
        <w:rPr>
          <w:rFonts w:hint="eastAsia" w:ascii="仿宋" w:hAnsi="仿宋" w:eastAsia="仿宋" w:cs="仿宋"/>
          <w:color w:val="auto"/>
          <w:sz w:val="28"/>
          <w:szCs w:val="28"/>
          <w:highlight w:val="none"/>
        </w:rPr>
        <w:t>。</w:t>
      </w:r>
    </w:p>
    <w:p>
      <w:pPr>
        <w:ind w:firstLine="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根据深圳市气象台，20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年在龙岗区发布的防洪排涝数据统计：20</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rPr>
        <w:t>年值守次数为</w:t>
      </w:r>
      <w:r>
        <w:rPr>
          <w:rFonts w:hint="eastAsia" w:ascii="仿宋" w:hAnsi="仿宋" w:eastAsia="仿宋" w:cs="仿宋"/>
          <w:color w:val="auto"/>
          <w:sz w:val="28"/>
          <w:szCs w:val="28"/>
          <w:highlight w:val="none"/>
          <w:lang w:val="en-US" w:eastAsia="zh-CN"/>
        </w:rPr>
        <w:t>35</w:t>
      </w:r>
      <w:r>
        <w:rPr>
          <w:rFonts w:hint="eastAsia" w:ascii="仿宋" w:hAnsi="仿宋" w:eastAsia="仿宋" w:cs="仿宋"/>
          <w:color w:val="auto"/>
          <w:sz w:val="28"/>
          <w:szCs w:val="28"/>
          <w:highlight w:val="none"/>
        </w:rPr>
        <w:t>次； 202</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年出动值守次数为</w:t>
      </w:r>
      <w:r>
        <w:rPr>
          <w:rFonts w:hint="eastAsia" w:ascii="仿宋" w:hAnsi="仿宋" w:eastAsia="仿宋" w:cs="仿宋"/>
          <w:color w:val="auto"/>
          <w:sz w:val="28"/>
          <w:szCs w:val="28"/>
          <w:highlight w:val="none"/>
          <w:lang w:val="en-US" w:eastAsia="zh-CN"/>
        </w:rPr>
        <w:t>66</w:t>
      </w:r>
      <w:r>
        <w:rPr>
          <w:rFonts w:hint="eastAsia" w:ascii="仿宋" w:hAnsi="仿宋" w:eastAsia="仿宋" w:cs="仿宋"/>
          <w:color w:val="auto"/>
          <w:sz w:val="28"/>
          <w:szCs w:val="28"/>
          <w:highlight w:val="none"/>
        </w:rPr>
        <w:t>次；202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年出动值守次数为</w:t>
      </w:r>
      <w:r>
        <w:rPr>
          <w:rFonts w:hint="eastAsia" w:ascii="仿宋" w:hAnsi="仿宋" w:eastAsia="仿宋" w:cs="仿宋"/>
          <w:color w:val="auto"/>
          <w:sz w:val="28"/>
          <w:szCs w:val="28"/>
          <w:highlight w:val="none"/>
          <w:lang w:val="en-US" w:eastAsia="zh-CN"/>
        </w:rPr>
        <w:t xml:space="preserve"> 50</w:t>
      </w:r>
      <w:r>
        <w:rPr>
          <w:rFonts w:hint="eastAsia" w:ascii="仿宋" w:hAnsi="仿宋" w:eastAsia="仿宋" w:cs="仿宋"/>
          <w:color w:val="auto"/>
          <w:sz w:val="28"/>
          <w:szCs w:val="28"/>
          <w:highlight w:val="none"/>
        </w:rPr>
        <w:t>次；综合三年龙岗区发布暴雨黄色预警及以上的次数，取</w:t>
      </w:r>
      <w:r>
        <w:rPr>
          <w:rFonts w:hint="eastAsia" w:ascii="仿宋" w:hAnsi="仿宋" w:eastAsia="仿宋" w:cs="仿宋"/>
          <w:color w:val="auto"/>
          <w:sz w:val="28"/>
          <w:szCs w:val="28"/>
          <w:highlight w:val="none"/>
          <w:lang w:val="en-US" w:eastAsia="zh-CN"/>
        </w:rPr>
        <w:t>平均值约50</w:t>
      </w:r>
      <w:r>
        <w:rPr>
          <w:rFonts w:hint="eastAsia" w:ascii="仿宋" w:hAnsi="仿宋" w:eastAsia="仿宋" w:cs="仿宋"/>
          <w:color w:val="auto"/>
          <w:sz w:val="28"/>
          <w:szCs w:val="28"/>
          <w:highlight w:val="none"/>
        </w:rPr>
        <w:t>次作为控制价测算依据。根据《布沙分公司202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年防洪排涝应急预案》南湾片区值守点为</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个，故一共需要</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次=</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次。布吉片区值守点为6个，故一共需要6点*</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次=</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次；吉华片区值守点数为</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个，故一共需要</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次=</w:t>
      </w:r>
      <w:r>
        <w:rPr>
          <w:rFonts w:hint="eastAsia" w:ascii="仿宋" w:hAnsi="仿宋" w:eastAsia="仿宋" w:cs="仿宋"/>
          <w:color w:val="auto"/>
          <w:sz w:val="28"/>
          <w:szCs w:val="28"/>
          <w:highlight w:val="none"/>
          <w:lang w:val="en-US" w:eastAsia="zh-CN"/>
        </w:rPr>
        <w:t>350</w:t>
      </w:r>
      <w:r>
        <w:rPr>
          <w:rFonts w:hint="eastAsia" w:ascii="仿宋" w:hAnsi="仿宋" w:eastAsia="仿宋" w:cs="仿宋"/>
          <w:color w:val="auto"/>
          <w:sz w:val="28"/>
          <w:szCs w:val="28"/>
          <w:highlight w:val="none"/>
        </w:rPr>
        <w:t>次。</w:t>
      </w:r>
    </w:p>
    <w:p>
      <w:pPr>
        <w:ind w:firstLine="600"/>
        <w:rPr>
          <w:rFonts w:ascii="仿宋" w:hAnsi="仿宋" w:eastAsia="仿宋" w:cs="仿宋"/>
          <w:color w:val="auto"/>
          <w:sz w:val="28"/>
          <w:szCs w:val="28"/>
          <w:highlight w:val="none"/>
        </w:rPr>
      </w:pPr>
      <w:r>
        <w:rPr>
          <w:rFonts w:hint="eastAsia" w:ascii="仿宋" w:hAnsi="仿宋" w:eastAsia="仿宋"/>
          <w:color w:val="auto"/>
          <w:sz w:val="28"/>
          <w:szCs w:val="28"/>
          <w:highlight w:val="none"/>
        </w:rPr>
        <w:t>考虑防洪排涝值守项目属于应急服务，综合折中考虑。值守时长不足8小时，按1台班计取（考虑外协队伍在防洪路上的时间损耗及预警取消后的收拾设备的时间损耗）；值守时长超过8小时，不另行增加费用，仍按照1台班计取。</w:t>
      </w:r>
      <w:r>
        <w:rPr>
          <w:rFonts w:hint="eastAsia" w:ascii="仿宋" w:hAnsi="仿宋" w:eastAsia="仿宋" w:cs="仿宋"/>
          <w:color w:val="auto"/>
          <w:sz w:val="28"/>
          <w:szCs w:val="28"/>
          <w:highlight w:val="none"/>
        </w:rPr>
        <w:t xml:space="preserve">  </w:t>
      </w:r>
    </w:p>
    <w:p>
      <w:pPr>
        <w:ind w:firstLine="600" w:firstLineChars="0"/>
        <w:rPr>
          <w:rFonts w:ascii="仿宋" w:hAnsi="仿宋" w:eastAsia="仿宋"/>
          <w:color w:val="auto"/>
          <w:sz w:val="32"/>
          <w:szCs w:val="32"/>
          <w:highlight w:val="none"/>
        </w:rPr>
      </w:pPr>
      <w:r>
        <w:rPr>
          <w:rFonts w:hint="eastAsia" w:ascii="仿宋" w:hAnsi="仿宋" w:eastAsia="仿宋" w:cs="仿宋"/>
          <w:color w:val="auto"/>
          <w:sz w:val="28"/>
          <w:szCs w:val="28"/>
          <w:highlight w:val="none"/>
        </w:rPr>
        <w:t>综上所述，202</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年布沙分公司南湾片区防洪排涝值守服务费用应不少于</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1115.65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334695.00</w:t>
      </w:r>
      <w:r>
        <w:rPr>
          <w:rFonts w:hint="eastAsia" w:ascii="仿宋" w:hAnsi="仿宋" w:eastAsia="仿宋" w:cs="仿宋"/>
          <w:color w:val="auto"/>
          <w:sz w:val="28"/>
          <w:szCs w:val="28"/>
          <w:highlight w:val="none"/>
        </w:rPr>
        <w:t>元/年。布吉片区防洪排涝值守服务费用应不少于</w:t>
      </w:r>
      <w:r>
        <w:rPr>
          <w:rFonts w:hint="eastAsia" w:ascii="仿宋" w:hAnsi="仿宋" w:eastAsia="仿宋" w:cs="仿宋"/>
          <w:color w:val="auto"/>
          <w:sz w:val="28"/>
          <w:szCs w:val="28"/>
          <w:highlight w:val="none"/>
          <w:lang w:val="en-US" w:eastAsia="zh-CN"/>
        </w:rPr>
        <w:t>300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1115.65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334695.00</w:t>
      </w:r>
      <w:r>
        <w:rPr>
          <w:rFonts w:hint="eastAsia" w:ascii="仿宋" w:hAnsi="仿宋" w:eastAsia="仿宋" w:cs="仿宋"/>
          <w:color w:val="auto"/>
          <w:sz w:val="28"/>
          <w:szCs w:val="28"/>
          <w:highlight w:val="none"/>
        </w:rPr>
        <w:t>元/年；吉华片区防洪排涝值守服务费用应不少于</w:t>
      </w:r>
      <w:r>
        <w:rPr>
          <w:rFonts w:hint="eastAsia" w:ascii="仿宋" w:hAnsi="仿宋" w:eastAsia="仿宋" w:cs="仿宋"/>
          <w:color w:val="auto"/>
          <w:sz w:val="28"/>
          <w:szCs w:val="28"/>
          <w:highlight w:val="none"/>
          <w:lang w:val="en-US" w:eastAsia="zh-CN"/>
        </w:rPr>
        <w:t>350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1115.65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390477.50</w:t>
      </w:r>
      <w:r>
        <w:rPr>
          <w:rFonts w:hint="eastAsia" w:ascii="仿宋" w:hAnsi="仿宋" w:eastAsia="仿宋" w:cs="仿宋"/>
          <w:color w:val="auto"/>
          <w:sz w:val="28"/>
          <w:szCs w:val="28"/>
          <w:highlight w:val="none"/>
        </w:rPr>
        <w:t>元/年。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FC78"/>
    <w:multiLevelType w:val="singleLevel"/>
    <w:tmpl w:val="0611FC78"/>
    <w:lvl w:ilvl="0" w:tentative="0">
      <w:start w:val="1"/>
      <w:numFmt w:val="decimal"/>
      <w:suff w:val="nothing"/>
      <w:lvlText w:val="%1、"/>
      <w:lvlJc w:val="left"/>
    </w:lvl>
  </w:abstractNum>
  <w:abstractNum w:abstractNumId="1">
    <w:nsid w:val="2D792E7E"/>
    <w:multiLevelType w:val="multilevel"/>
    <w:tmpl w:val="2D792E7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02B24"/>
    <w:rsid w:val="4A8611DB"/>
    <w:rsid w:val="54902B24"/>
    <w:rsid w:val="727D6194"/>
    <w:rsid w:val="7D12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2023-03-09T01:58:00Z</dcterms:created>
  <dc:creator>刘杰</dc:creator>
  <cp:lastModifiedBy>刘杰</cp:lastModifiedBy>
  <dcterms:modified xsi:type="dcterms:W3CDTF">2023-03-09T02:31:24Z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